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CDD1D">
      <w:pPr>
        <w:widowControl w:val="0"/>
        <w:snapToGrid w:val="0"/>
        <w:spacing w:line="560" w:lineRule="exact"/>
        <w:ind w:firstLine="241" w:firstLineChars="50"/>
        <w:jc w:val="center"/>
        <w:rPr>
          <w:rFonts w:eastAsia="黑体"/>
          <w:b/>
          <w:color w:val="auto"/>
          <w:spacing w:val="40"/>
          <w:sz w:val="40"/>
          <w:szCs w:val="40"/>
          <w:highlight w:val="none"/>
        </w:rPr>
      </w:pPr>
      <w:bookmarkStart w:id="52" w:name="_GoBack"/>
      <w:bookmarkEnd w:id="52"/>
    </w:p>
    <w:p w14:paraId="4878DE82">
      <w:pPr>
        <w:widowControl w:val="0"/>
        <w:snapToGrid w:val="0"/>
        <w:spacing w:line="560" w:lineRule="exact"/>
        <w:ind w:firstLine="241" w:firstLineChars="50"/>
        <w:jc w:val="center"/>
        <w:rPr>
          <w:rFonts w:eastAsia="黑体"/>
          <w:b/>
          <w:color w:val="auto"/>
          <w:spacing w:val="40"/>
          <w:sz w:val="40"/>
          <w:szCs w:val="40"/>
          <w:highlight w:val="none"/>
        </w:rPr>
      </w:pPr>
    </w:p>
    <w:p w14:paraId="2FEFD753">
      <w:pPr>
        <w:widowControl w:val="0"/>
        <w:snapToGrid w:val="0"/>
        <w:spacing w:line="560" w:lineRule="exact"/>
        <w:ind w:firstLine="241" w:firstLineChars="50"/>
        <w:jc w:val="center"/>
        <w:rPr>
          <w:rFonts w:eastAsia="黑体"/>
          <w:b/>
          <w:color w:val="auto"/>
          <w:spacing w:val="40"/>
          <w:sz w:val="40"/>
          <w:szCs w:val="40"/>
          <w:highlight w:val="none"/>
        </w:rPr>
      </w:pPr>
    </w:p>
    <w:p w14:paraId="28F86886">
      <w:pPr>
        <w:widowControl w:val="0"/>
        <w:snapToGrid w:val="0"/>
        <w:spacing w:line="560" w:lineRule="exact"/>
        <w:ind w:firstLine="221" w:firstLineChars="50"/>
        <w:jc w:val="center"/>
        <w:rPr>
          <w:rFonts w:hint="eastAsia" w:ascii="黑体" w:eastAsia="黑体"/>
          <w:b/>
          <w:color w:val="auto"/>
          <w:sz w:val="44"/>
          <w:szCs w:val="44"/>
          <w:highlight w:val="none"/>
        </w:rPr>
      </w:pPr>
      <w:r>
        <w:rPr>
          <w:rFonts w:hint="eastAsia" w:ascii="黑体" w:eastAsia="黑体"/>
          <w:b/>
          <w:color w:val="auto"/>
          <w:sz w:val="44"/>
          <w:szCs w:val="44"/>
          <w:highlight w:val="none"/>
        </w:rPr>
        <w:t>安阳市财政局安阳市执法执勤车辆监管平台</w:t>
      </w:r>
    </w:p>
    <w:p w14:paraId="1C2F7B2D">
      <w:pPr>
        <w:widowControl w:val="0"/>
        <w:snapToGrid w:val="0"/>
        <w:spacing w:line="560" w:lineRule="exact"/>
        <w:ind w:firstLine="221" w:firstLineChars="50"/>
        <w:jc w:val="center"/>
        <w:rPr>
          <w:rFonts w:hint="eastAsia" w:ascii="黑体" w:eastAsia="黑体"/>
          <w:b/>
          <w:color w:val="auto"/>
          <w:spacing w:val="40"/>
          <w:sz w:val="44"/>
          <w:szCs w:val="44"/>
          <w:highlight w:val="none"/>
          <w:lang w:eastAsia="zh-CN"/>
        </w:rPr>
      </w:pPr>
      <w:r>
        <w:rPr>
          <w:rFonts w:hint="eastAsia" w:ascii="黑体" w:eastAsia="黑体"/>
          <w:b/>
          <w:color w:val="auto"/>
          <w:sz w:val="44"/>
          <w:szCs w:val="44"/>
          <w:highlight w:val="none"/>
        </w:rPr>
        <w:t>运行维护项目</w:t>
      </w:r>
      <w:r>
        <w:rPr>
          <w:rFonts w:hint="eastAsia" w:ascii="黑体" w:eastAsia="黑体"/>
          <w:b/>
          <w:color w:val="auto"/>
          <w:sz w:val="44"/>
          <w:szCs w:val="44"/>
          <w:highlight w:val="none"/>
          <w:lang w:eastAsia="zh-CN"/>
        </w:rPr>
        <w:t>（</w:t>
      </w:r>
      <w:r>
        <w:rPr>
          <w:rFonts w:hint="eastAsia" w:ascii="黑体" w:eastAsia="黑体"/>
          <w:b/>
          <w:color w:val="auto"/>
          <w:sz w:val="44"/>
          <w:szCs w:val="44"/>
          <w:highlight w:val="none"/>
          <w:lang w:val="en-US" w:eastAsia="zh-CN"/>
        </w:rPr>
        <w:t>二次</w:t>
      </w:r>
      <w:r>
        <w:rPr>
          <w:rFonts w:hint="eastAsia" w:ascii="黑体" w:eastAsia="黑体"/>
          <w:b/>
          <w:color w:val="auto"/>
          <w:sz w:val="44"/>
          <w:szCs w:val="44"/>
          <w:highlight w:val="none"/>
          <w:lang w:eastAsia="zh-CN"/>
        </w:rPr>
        <w:t>）</w:t>
      </w:r>
    </w:p>
    <w:p w14:paraId="7DE71FA5">
      <w:pPr>
        <w:widowControl w:val="0"/>
        <w:snapToGrid w:val="0"/>
        <w:spacing w:line="560" w:lineRule="exact"/>
        <w:ind w:firstLine="261" w:firstLineChars="50"/>
        <w:jc w:val="center"/>
        <w:rPr>
          <w:rFonts w:ascii="黑体" w:eastAsia="黑体"/>
          <w:b/>
          <w:color w:val="auto"/>
          <w:spacing w:val="40"/>
          <w:sz w:val="44"/>
          <w:szCs w:val="44"/>
          <w:highlight w:val="none"/>
        </w:rPr>
      </w:pPr>
    </w:p>
    <w:p w14:paraId="2DB707A6">
      <w:pPr>
        <w:widowControl w:val="0"/>
        <w:snapToGrid w:val="0"/>
        <w:spacing w:before="240" w:beforeLines="100" w:line="560" w:lineRule="exact"/>
        <w:jc w:val="center"/>
        <w:rPr>
          <w:rFonts w:eastAsia="黑体"/>
          <w:b/>
          <w:color w:val="auto"/>
          <w:sz w:val="44"/>
          <w:highlight w:val="none"/>
        </w:rPr>
      </w:pPr>
    </w:p>
    <w:p w14:paraId="59020FEA">
      <w:pPr>
        <w:widowControl w:val="0"/>
        <w:snapToGrid w:val="0"/>
        <w:spacing w:before="240" w:beforeLines="100" w:line="240" w:lineRule="auto"/>
        <w:jc w:val="center"/>
        <w:rPr>
          <w:rFonts w:eastAsia="黑体"/>
          <w:b/>
          <w:color w:val="auto"/>
          <w:sz w:val="44"/>
          <w:highlight w:val="none"/>
        </w:rPr>
      </w:pPr>
    </w:p>
    <w:p w14:paraId="638CFA8F">
      <w:pPr>
        <w:widowControl w:val="0"/>
        <w:snapToGrid w:val="0"/>
        <w:spacing w:before="240" w:beforeLines="100" w:line="240" w:lineRule="auto"/>
        <w:jc w:val="center"/>
        <w:rPr>
          <w:rFonts w:eastAsia="黑体"/>
          <w:b/>
          <w:color w:val="auto"/>
          <w:sz w:val="44"/>
          <w:highlight w:val="none"/>
        </w:rPr>
      </w:pPr>
    </w:p>
    <w:p w14:paraId="07E0C7CF">
      <w:pPr>
        <w:widowControl w:val="0"/>
        <w:snapToGrid w:val="0"/>
        <w:spacing w:before="240" w:beforeLines="100" w:line="240" w:lineRule="auto"/>
        <w:jc w:val="center"/>
        <w:rPr>
          <w:rFonts w:ascii="华文新魏" w:hAnsi="微软雅黑" w:eastAsia="华文新魏"/>
          <w:b/>
          <w:color w:val="auto"/>
          <w:sz w:val="116"/>
          <w:szCs w:val="116"/>
          <w:highlight w:val="none"/>
        </w:rPr>
      </w:pPr>
      <w:r>
        <w:rPr>
          <w:rFonts w:hint="eastAsia" w:ascii="华文新魏" w:hAnsi="微软雅黑" w:eastAsia="华文新魏"/>
          <w:b/>
          <w:color w:val="auto"/>
          <w:sz w:val="116"/>
          <w:szCs w:val="116"/>
          <w:highlight w:val="none"/>
        </w:rPr>
        <w:t>磋</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商</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文</w:t>
      </w:r>
      <w:r>
        <w:rPr>
          <w:rFonts w:ascii="华文新魏" w:hAnsi="微软雅黑" w:eastAsia="华文新魏"/>
          <w:b/>
          <w:color w:val="auto"/>
          <w:sz w:val="116"/>
          <w:szCs w:val="116"/>
          <w:highlight w:val="none"/>
        </w:rPr>
        <w:t xml:space="preserve"> </w:t>
      </w:r>
      <w:r>
        <w:rPr>
          <w:rFonts w:hint="eastAsia" w:ascii="华文新魏" w:hAnsi="微软雅黑" w:eastAsia="华文新魏"/>
          <w:b/>
          <w:color w:val="auto"/>
          <w:sz w:val="116"/>
          <w:szCs w:val="116"/>
          <w:highlight w:val="none"/>
        </w:rPr>
        <w:t>件</w:t>
      </w:r>
    </w:p>
    <w:p w14:paraId="03793908">
      <w:pPr>
        <w:widowControl w:val="0"/>
        <w:snapToGrid w:val="0"/>
        <w:spacing w:before="240" w:beforeLines="100" w:line="560" w:lineRule="exact"/>
        <w:jc w:val="center"/>
        <w:rPr>
          <w:rFonts w:hint="default" w:ascii="宋体" w:hAnsi="宋体" w:eastAsia="宋体"/>
          <w:color w:val="auto"/>
          <w:sz w:val="32"/>
          <w:szCs w:val="32"/>
          <w:highlight w:val="none"/>
          <w:lang w:val="en-US" w:eastAsia="zh-CN"/>
        </w:rPr>
      </w:pPr>
      <w:r>
        <w:rPr>
          <w:rFonts w:hint="eastAsia" w:ascii="宋体" w:hAnsi="宋体"/>
          <w:color w:val="auto"/>
          <w:sz w:val="32"/>
          <w:szCs w:val="32"/>
          <w:highlight w:val="none"/>
        </w:rPr>
        <w:t>项目编号：安财磋商采购</w:t>
      </w:r>
      <w:r>
        <w:rPr>
          <w:rFonts w:hint="eastAsia" w:ascii="宋体" w:hAnsi="宋体"/>
          <w:color w:val="auto"/>
          <w:sz w:val="32"/>
          <w:szCs w:val="32"/>
          <w:highlight w:val="none"/>
          <w:lang w:val="en-US" w:eastAsia="zh-CN"/>
        </w:rPr>
        <w:t>-2025-59</w:t>
      </w:r>
    </w:p>
    <w:p w14:paraId="1A82566A">
      <w:pPr>
        <w:widowControl w:val="0"/>
        <w:snapToGrid w:val="0"/>
        <w:spacing w:before="240" w:beforeLines="100" w:line="560" w:lineRule="exact"/>
        <w:jc w:val="center"/>
        <w:rPr>
          <w:rFonts w:eastAsia="黑体"/>
          <w:b/>
          <w:color w:val="auto"/>
          <w:sz w:val="44"/>
          <w:highlight w:val="none"/>
        </w:rPr>
      </w:pPr>
    </w:p>
    <w:p w14:paraId="371D45DB">
      <w:pPr>
        <w:widowControl w:val="0"/>
        <w:snapToGrid w:val="0"/>
        <w:spacing w:before="240" w:beforeLines="100" w:line="560" w:lineRule="exact"/>
        <w:jc w:val="center"/>
        <w:rPr>
          <w:rFonts w:eastAsia="黑体"/>
          <w:b/>
          <w:color w:val="auto"/>
          <w:sz w:val="44"/>
          <w:highlight w:val="none"/>
        </w:rPr>
      </w:pPr>
    </w:p>
    <w:p w14:paraId="46D344AF">
      <w:pPr>
        <w:widowControl w:val="0"/>
        <w:snapToGrid w:val="0"/>
        <w:spacing w:before="240" w:beforeLines="100" w:line="560" w:lineRule="exact"/>
        <w:jc w:val="center"/>
        <w:rPr>
          <w:rFonts w:eastAsia="黑体"/>
          <w:b/>
          <w:color w:val="auto"/>
          <w:sz w:val="44"/>
          <w:highlight w:val="none"/>
        </w:rPr>
      </w:pPr>
    </w:p>
    <w:p w14:paraId="165B6DEB">
      <w:pPr>
        <w:widowControl w:val="0"/>
        <w:snapToGrid w:val="0"/>
        <w:spacing w:before="240" w:beforeLines="100" w:line="560" w:lineRule="exact"/>
        <w:rPr>
          <w:rFonts w:eastAsia="黑体"/>
          <w:b/>
          <w:color w:val="auto"/>
          <w:sz w:val="44"/>
          <w:highlight w:val="none"/>
        </w:rPr>
      </w:pPr>
    </w:p>
    <w:p w14:paraId="3737309D">
      <w:pPr>
        <w:widowControl w:val="0"/>
        <w:snapToGrid w:val="0"/>
        <w:spacing w:line="660" w:lineRule="exact"/>
        <w:ind w:firstLine="540" w:firstLineChars="168"/>
        <w:rPr>
          <w:rFonts w:ascii="黑体" w:hAnsi="黑体" w:eastAsia="黑体"/>
          <w:b/>
          <w:color w:val="auto"/>
          <w:sz w:val="32"/>
          <w:szCs w:val="32"/>
          <w:highlight w:val="none"/>
        </w:rPr>
      </w:pPr>
      <w:r>
        <w:rPr>
          <w:rFonts w:hint="eastAsia" w:ascii="黑体" w:hAnsi="黑体" w:eastAsia="黑体"/>
          <w:b/>
          <w:color w:val="auto"/>
          <w:sz w:val="32"/>
          <w:szCs w:val="32"/>
          <w:highlight w:val="none"/>
        </w:rPr>
        <w:t>采购人：安阳市财政局</w:t>
      </w:r>
    </w:p>
    <w:p w14:paraId="5ADF8EF1">
      <w:pPr>
        <w:widowControl w:val="0"/>
        <w:snapToGrid w:val="0"/>
        <w:spacing w:line="660" w:lineRule="exact"/>
        <w:ind w:firstLine="540" w:firstLineChars="168"/>
        <w:rPr>
          <w:rFonts w:ascii="黑体" w:hAnsi="黑体" w:eastAsia="黑体"/>
          <w:b/>
          <w:color w:val="auto"/>
          <w:sz w:val="32"/>
          <w:szCs w:val="32"/>
          <w:highlight w:val="none"/>
        </w:rPr>
        <w:sectPr>
          <w:footerReference r:id="rId9" w:type="first"/>
          <w:headerReference r:id="rId5" w:type="default"/>
          <w:footerReference r:id="rId7" w:type="default"/>
          <w:headerReference r:id="rId6" w:type="even"/>
          <w:footerReference r:id="rId8" w:type="even"/>
          <w:pgSz w:w="11905" w:h="16837"/>
          <w:pgMar w:top="1418" w:right="1106" w:bottom="1418" w:left="1418" w:header="567" w:footer="567" w:gutter="0"/>
          <w:pgNumType w:fmt="numberInDash" w:start="0"/>
          <w:cols w:space="720" w:num="1"/>
          <w:titlePg/>
        </w:sectPr>
      </w:pPr>
      <w:r>
        <w:rPr>
          <w:rFonts w:hint="eastAsia" w:ascii="黑体" w:hAnsi="黑体" w:eastAsia="黑体"/>
          <w:b/>
          <w:color w:val="auto"/>
          <w:sz w:val="32"/>
          <w:szCs w:val="32"/>
          <w:highlight w:val="none"/>
        </w:rPr>
        <w:t>代理机构：安阳市方正招标采购服务有限责任公司</w:t>
      </w:r>
    </w:p>
    <w:p w14:paraId="5977DE2E">
      <w:pPr>
        <w:pStyle w:val="13"/>
        <w:jc w:val="center"/>
        <w:rPr>
          <w:color w:val="auto"/>
          <w:highlight w:val="none"/>
        </w:rPr>
      </w:pPr>
      <w:r>
        <w:rPr>
          <w:rFonts w:hint="eastAsia" w:ascii="黑体" w:hAnsi="黑体" w:eastAsia="黑体"/>
          <w:color w:val="auto"/>
          <w:sz w:val="36"/>
          <w:szCs w:val="36"/>
          <w:highlight w:val="none"/>
          <w:lang w:val="zh-CN"/>
        </w:rPr>
        <w:t>目录</w:t>
      </w:r>
      <w:r>
        <w:rPr>
          <w:color w:val="auto"/>
          <w:highlight w:val="none"/>
        </w:rPr>
        <w:fldChar w:fldCharType="begin"/>
      </w:r>
      <w:r>
        <w:rPr>
          <w:color w:val="auto"/>
          <w:highlight w:val="none"/>
        </w:rPr>
        <w:instrText xml:space="preserve"> TOC \o "1-3" \h \z \u </w:instrText>
      </w:r>
      <w:r>
        <w:rPr>
          <w:color w:val="auto"/>
          <w:highlight w:val="none"/>
        </w:rPr>
        <w:fldChar w:fldCharType="separate"/>
      </w:r>
    </w:p>
    <w:p w14:paraId="4E2E0A16">
      <w:pPr>
        <w:pStyle w:val="6"/>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"_Toc202883061" </w:instrText>
      </w:r>
      <w:r>
        <w:rPr>
          <w:color w:val="auto"/>
          <w:highlight w:val="none"/>
        </w:rPr>
        <w:fldChar w:fldCharType="separate"/>
      </w:r>
      <w:r>
        <w:rPr>
          <w:rStyle w:val="12"/>
          <w:rFonts w:hint="eastAsia" w:eastAsia="黑体"/>
          <w:b/>
          <w:color w:val="auto"/>
          <w:highlight w:val="none"/>
        </w:rPr>
        <w:t>第一章</w:t>
      </w:r>
      <w:r>
        <w:rPr>
          <w:rStyle w:val="12"/>
          <w:rFonts w:eastAsia="黑体"/>
          <w:b/>
          <w:color w:val="auto"/>
          <w:highlight w:val="none"/>
        </w:rPr>
        <w:t xml:space="preserve">  </w:t>
      </w:r>
      <w:r>
        <w:rPr>
          <w:rStyle w:val="12"/>
          <w:rFonts w:hint="eastAsia" w:eastAsia="黑体"/>
          <w:b/>
          <w:color w:val="auto"/>
          <w:highlight w:val="none"/>
        </w:rPr>
        <w:t>竞争性磋商公告</w:t>
      </w:r>
      <w:r>
        <w:rPr>
          <w:color w:val="auto"/>
          <w:highlight w:val="none"/>
        </w:rPr>
        <w:tab/>
      </w:r>
      <w:r>
        <w:rPr>
          <w:color w:val="auto"/>
          <w:highlight w:val="none"/>
        </w:rPr>
        <w:fldChar w:fldCharType="begin"/>
      </w:r>
      <w:r>
        <w:rPr>
          <w:color w:val="auto"/>
          <w:highlight w:val="none"/>
        </w:rPr>
        <w:instrText xml:space="preserve"> PAGEREF _Toc202883061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04B08BD5">
      <w:pPr>
        <w:pStyle w:val="6"/>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"_Toc202883062" </w:instrText>
      </w:r>
      <w:r>
        <w:rPr>
          <w:color w:val="auto"/>
          <w:highlight w:val="none"/>
        </w:rPr>
        <w:fldChar w:fldCharType="separate"/>
      </w:r>
      <w:r>
        <w:rPr>
          <w:rStyle w:val="12"/>
          <w:rFonts w:hint="eastAsia" w:eastAsia="黑体"/>
          <w:b/>
          <w:color w:val="auto"/>
          <w:highlight w:val="none"/>
        </w:rPr>
        <w:t>第二章</w:t>
      </w:r>
      <w:r>
        <w:rPr>
          <w:rStyle w:val="12"/>
          <w:rFonts w:eastAsia="黑体"/>
          <w:b/>
          <w:color w:val="auto"/>
          <w:highlight w:val="none"/>
        </w:rPr>
        <w:t xml:space="preserve">  </w:t>
      </w:r>
      <w:r>
        <w:rPr>
          <w:rStyle w:val="12"/>
          <w:rFonts w:hint="eastAsia" w:eastAsia="黑体"/>
          <w:b/>
          <w:color w:val="auto"/>
          <w:highlight w:val="none"/>
        </w:rPr>
        <w:t>采购项目及服务要求</w:t>
      </w:r>
      <w:r>
        <w:rPr>
          <w:color w:val="auto"/>
          <w:highlight w:val="none"/>
        </w:rPr>
        <w:tab/>
      </w:r>
      <w:r>
        <w:rPr>
          <w:color w:val="auto"/>
          <w:highlight w:val="none"/>
        </w:rPr>
        <w:fldChar w:fldCharType="begin"/>
      </w:r>
      <w:r>
        <w:rPr>
          <w:color w:val="auto"/>
          <w:highlight w:val="none"/>
        </w:rPr>
        <w:instrText xml:space="preserve"> PAGEREF _Toc202883062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6E10E5A8">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"_Toc202883063" </w:instrText>
      </w:r>
      <w:r>
        <w:rPr>
          <w:color w:val="auto"/>
          <w:highlight w:val="none"/>
        </w:rPr>
        <w:fldChar w:fldCharType="separate"/>
      </w:r>
      <w:r>
        <w:rPr>
          <w:rStyle w:val="12"/>
          <w:rFonts w:ascii="黑体" w:hAnsi="黑体" w:eastAsia="黑体"/>
          <w:b/>
          <w:color w:val="auto"/>
          <w:highlight w:val="none"/>
        </w:rPr>
        <w:t xml:space="preserve">1. </w:t>
      </w:r>
      <w:r>
        <w:rPr>
          <w:rStyle w:val="12"/>
          <w:rFonts w:hint="eastAsia" w:ascii="黑体" w:hAnsi="黑体" w:eastAsia="黑体"/>
          <w:b/>
          <w:color w:val="auto"/>
          <w:highlight w:val="none"/>
        </w:rPr>
        <w:t>采购项目、标段（包）划分、磋商报价</w:t>
      </w:r>
      <w:r>
        <w:rPr>
          <w:color w:val="auto"/>
          <w:highlight w:val="none"/>
        </w:rPr>
        <w:tab/>
      </w:r>
      <w:r>
        <w:rPr>
          <w:color w:val="auto"/>
          <w:highlight w:val="none"/>
        </w:rPr>
        <w:fldChar w:fldCharType="begin"/>
      </w:r>
      <w:r>
        <w:rPr>
          <w:color w:val="auto"/>
          <w:highlight w:val="none"/>
        </w:rPr>
        <w:instrText xml:space="preserve"> PAGEREF _Toc202883063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12DCA7A1">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"_Toc202883064" </w:instrText>
      </w:r>
      <w:r>
        <w:rPr>
          <w:color w:val="auto"/>
          <w:highlight w:val="none"/>
        </w:rPr>
        <w:fldChar w:fldCharType="separate"/>
      </w:r>
      <w:r>
        <w:rPr>
          <w:rStyle w:val="12"/>
          <w:rFonts w:ascii="黑体" w:hAnsi="黑体" w:eastAsia="黑体"/>
          <w:b/>
          <w:color w:val="auto"/>
          <w:highlight w:val="none"/>
        </w:rPr>
        <w:t xml:space="preserve">2. </w:t>
      </w:r>
      <w:r>
        <w:rPr>
          <w:rStyle w:val="12"/>
          <w:rFonts w:hint="eastAsia" w:ascii="黑体" w:hAnsi="黑体" w:eastAsia="黑体"/>
          <w:b/>
          <w:color w:val="auto"/>
          <w:highlight w:val="none"/>
        </w:rPr>
        <w:t>标段（包）内容（范围）及服务要求</w:t>
      </w:r>
      <w:r>
        <w:rPr>
          <w:color w:val="auto"/>
          <w:highlight w:val="none"/>
        </w:rPr>
        <w:tab/>
      </w:r>
      <w:r>
        <w:rPr>
          <w:color w:val="auto"/>
          <w:highlight w:val="none"/>
        </w:rPr>
        <w:fldChar w:fldCharType="begin"/>
      </w:r>
      <w:r>
        <w:rPr>
          <w:color w:val="auto"/>
          <w:highlight w:val="none"/>
        </w:rPr>
        <w:instrText xml:space="preserve"> PAGEREF _Toc202883064 \h </w:instrText>
      </w:r>
      <w:r>
        <w:rPr>
          <w:color w:val="auto"/>
          <w:highlight w:val="none"/>
        </w:rPr>
        <w:fldChar w:fldCharType="separate"/>
      </w:r>
      <w:r>
        <w:rPr>
          <w:color w:val="auto"/>
          <w:highlight w:val="none"/>
        </w:rPr>
        <w:t>- 6 -</w:t>
      </w:r>
      <w:r>
        <w:rPr>
          <w:color w:val="auto"/>
          <w:highlight w:val="none"/>
        </w:rPr>
        <w:fldChar w:fldCharType="end"/>
      </w:r>
      <w:r>
        <w:rPr>
          <w:color w:val="auto"/>
          <w:highlight w:val="none"/>
        </w:rPr>
        <w:fldChar w:fldCharType="end"/>
      </w:r>
    </w:p>
    <w:p w14:paraId="73F00F53">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"_Toc202883065" </w:instrText>
      </w:r>
      <w:r>
        <w:rPr>
          <w:color w:val="auto"/>
          <w:highlight w:val="none"/>
        </w:rPr>
        <w:fldChar w:fldCharType="separate"/>
      </w:r>
      <w:r>
        <w:rPr>
          <w:rStyle w:val="12"/>
          <w:rFonts w:ascii="黑体" w:hAnsi="黑体" w:eastAsia="黑体"/>
          <w:b/>
          <w:color w:val="auto"/>
          <w:highlight w:val="none"/>
        </w:rPr>
        <w:t xml:space="preserve">3. </w:t>
      </w:r>
      <w:r>
        <w:rPr>
          <w:rStyle w:val="12"/>
          <w:rFonts w:hint="eastAsia" w:ascii="黑体" w:hAnsi="黑体" w:eastAsia="黑体"/>
          <w:b/>
          <w:color w:val="auto"/>
          <w:highlight w:val="none"/>
        </w:rPr>
        <w:t>项目其他要求</w:t>
      </w:r>
      <w:r>
        <w:rPr>
          <w:color w:val="auto"/>
          <w:highlight w:val="none"/>
        </w:rPr>
        <w:tab/>
      </w:r>
      <w:r>
        <w:rPr>
          <w:color w:val="auto"/>
          <w:highlight w:val="none"/>
        </w:rPr>
        <w:fldChar w:fldCharType="begin"/>
      </w:r>
      <w:r>
        <w:rPr>
          <w:color w:val="auto"/>
          <w:highlight w:val="none"/>
        </w:rPr>
        <w:instrText xml:space="preserve"> PAGEREF _Toc202883065 \h </w:instrText>
      </w:r>
      <w:r>
        <w:rPr>
          <w:color w:val="auto"/>
          <w:highlight w:val="none"/>
        </w:rPr>
        <w:fldChar w:fldCharType="separate"/>
      </w:r>
      <w:r>
        <w:rPr>
          <w:color w:val="auto"/>
          <w:highlight w:val="none"/>
        </w:rPr>
        <w:t>- 12 -</w:t>
      </w:r>
      <w:r>
        <w:rPr>
          <w:color w:val="auto"/>
          <w:highlight w:val="none"/>
        </w:rPr>
        <w:fldChar w:fldCharType="end"/>
      </w:r>
      <w:r>
        <w:rPr>
          <w:color w:val="auto"/>
          <w:highlight w:val="none"/>
        </w:rPr>
        <w:fldChar w:fldCharType="end"/>
      </w:r>
    </w:p>
    <w:p w14:paraId="61B02502">
      <w:pPr>
        <w:pStyle w:val="6"/>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"_Toc202883066" </w:instrText>
      </w:r>
      <w:r>
        <w:rPr>
          <w:color w:val="auto"/>
          <w:highlight w:val="none"/>
        </w:rPr>
        <w:fldChar w:fldCharType="separate"/>
      </w:r>
      <w:r>
        <w:rPr>
          <w:rStyle w:val="12"/>
          <w:rFonts w:hint="eastAsia" w:eastAsia="黑体"/>
          <w:b/>
          <w:color w:val="auto"/>
          <w:highlight w:val="none"/>
        </w:rPr>
        <w:t>第三章</w:t>
      </w:r>
      <w:r>
        <w:rPr>
          <w:rStyle w:val="12"/>
          <w:rFonts w:eastAsia="黑体"/>
          <w:b/>
          <w:color w:val="auto"/>
          <w:highlight w:val="none"/>
        </w:rPr>
        <w:t xml:space="preserve">  </w:t>
      </w:r>
      <w:r>
        <w:rPr>
          <w:rStyle w:val="12"/>
          <w:rFonts w:hint="eastAsia" w:eastAsia="黑体"/>
          <w:b/>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_Toc202883066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47A2C8AD">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"_Toc202883067" </w:instrText>
      </w:r>
      <w:r>
        <w:rPr>
          <w:color w:val="auto"/>
          <w:highlight w:val="none"/>
        </w:rPr>
        <w:fldChar w:fldCharType="separate"/>
      </w:r>
      <w:r>
        <w:rPr>
          <w:rStyle w:val="12"/>
          <w:rFonts w:hint="eastAsia" w:eastAsia="黑体"/>
          <w:b/>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_Toc202883067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14:paraId="2464A7BF">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"_Toc202883068" </w:instrText>
      </w:r>
      <w:r>
        <w:rPr>
          <w:color w:val="auto"/>
          <w:highlight w:val="none"/>
        </w:rPr>
        <w:fldChar w:fldCharType="separate"/>
      </w:r>
      <w:r>
        <w:rPr>
          <w:rStyle w:val="12"/>
          <w:rFonts w:ascii="黑体" w:hAnsi="黑体" w:eastAsia="黑体" w:cs="楷体_GB2312"/>
          <w:b/>
          <w:bCs/>
          <w:color w:val="auto"/>
          <w:highlight w:val="none"/>
          <w:lang w:val="zh-CN"/>
        </w:rPr>
        <w:t xml:space="preserve">2. </w:t>
      </w:r>
      <w:r>
        <w:rPr>
          <w:rStyle w:val="12"/>
          <w:rFonts w:hint="eastAsia" w:ascii="黑体" w:hAnsi="黑体" w:eastAsia="黑体" w:cs="楷体_GB2312"/>
          <w:b/>
          <w:bCs/>
          <w:color w:val="auto"/>
          <w:highlight w:val="none"/>
          <w:lang w:val="zh-CN"/>
        </w:rPr>
        <w:t>《磋商文件》</w:t>
      </w:r>
      <w:r>
        <w:rPr>
          <w:color w:val="auto"/>
          <w:highlight w:val="none"/>
        </w:rPr>
        <w:tab/>
      </w:r>
      <w:r>
        <w:rPr>
          <w:color w:val="auto"/>
          <w:highlight w:val="none"/>
        </w:rPr>
        <w:fldChar w:fldCharType="begin"/>
      </w:r>
      <w:r>
        <w:rPr>
          <w:color w:val="auto"/>
          <w:highlight w:val="none"/>
        </w:rPr>
        <w:instrText xml:space="preserve"> PAGEREF _Toc202883068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14:paraId="4C0DB39B">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"_Toc202883069" </w:instrText>
      </w:r>
      <w:r>
        <w:rPr>
          <w:color w:val="auto"/>
          <w:highlight w:val="none"/>
        </w:rPr>
        <w:fldChar w:fldCharType="separate"/>
      </w:r>
      <w:r>
        <w:rPr>
          <w:rStyle w:val="12"/>
          <w:rFonts w:ascii="黑体" w:hAnsi="黑体" w:eastAsia="黑体" w:cs="楷体_GB2312"/>
          <w:b/>
          <w:bCs/>
          <w:color w:val="auto"/>
          <w:highlight w:val="none"/>
          <w:lang w:val="zh-CN"/>
        </w:rPr>
        <w:t xml:space="preserve">3. </w:t>
      </w:r>
      <w:r>
        <w:rPr>
          <w:rStyle w:val="12"/>
          <w:rFonts w:hint="eastAsia" w:ascii="黑体" w:hAnsi="黑体" w:eastAsia="黑体" w:cs="楷体_GB2312"/>
          <w:b/>
          <w:bCs/>
          <w:color w:val="auto"/>
          <w:highlight w:val="none"/>
          <w:lang w:val="zh-CN"/>
        </w:rPr>
        <w:t>《响应文件》</w:t>
      </w:r>
      <w:r>
        <w:rPr>
          <w:color w:val="auto"/>
          <w:highlight w:val="none"/>
        </w:rPr>
        <w:tab/>
      </w:r>
      <w:r>
        <w:rPr>
          <w:color w:val="auto"/>
          <w:highlight w:val="none"/>
        </w:rPr>
        <w:fldChar w:fldCharType="begin"/>
      </w:r>
      <w:r>
        <w:rPr>
          <w:color w:val="auto"/>
          <w:highlight w:val="none"/>
        </w:rPr>
        <w:instrText xml:space="preserve"> PAGEREF _Toc202883069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14:paraId="40FE1F55">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"_Toc202883070" </w:instrText>
      </w:r>
      <w:r>
        <w:rPr>
          <w:color w:val="auto"/>
          <w:highlight w:val="none"/>
        </w:rPr>
        <w:fldChar w:fldCharType="separate"/>
      </w:r>
      <w:r>
        <w:rPr>
          <w:rStyle w:val="12"/>
          <w:rFonts w:ascii="黑体" w:hAnsi="黑体" w:eastAsia="黑体" w:cs="楷体_GB2312"/>
          <w:b/>
          <w:bCs/>
          <w:color w:val="auto"/>
          <w:highlight w:val="none"/>
          <w:lang w:val="zh-CN"/>
        </w:rPr>
        <w:t>4.</w:t>
      </w:r>
      <w:r>
        <w:rPr>
          <w:rStyle w:val="12"/>
          <w:rFonts w:hint="eastAsia" w:ascii="黑体" w:hAnsi="黑体" w:eastAsia="黑体" w:cs="楷体_GB2312"/>
          <w:b/>
          <w:bCs/>
          <w:color w:val="auto"/>
          <w:highlight w:val="none"/>
          <w:lang w:val="zh-CN"/>
        </w:rPr>
        <w:t>《响应文件》的提交</w:t>
      </w:r>
      <w:r>
        <w:rPr>
          <w:color w:val="auto"/>
          <w:highlight w:val="none"/>
        </w:rPr>
        <w:tab/>
      </w:r>
      <w:r>
        <w:rPr>
          <w:color w:val="auto"/>
          <w:highlight w:val="none"/>
        </w:rPr>
        <w:fldChar w:fldCharType="begin"/>
      </w:r>
      <w:r>
        <w:rPr>
          <w:color w:val="auto"/>
          <w:highlight w:val="none"/>
        </w:rPr>
        <w:instrText xml:space="preserve"> PAGEREF _Toc202883070 \h </w:instrText>
      </w:r>
      <w:r>
        <w:rPr>
          <w:color w:val="auto"/>
          <w:highlight w:val="none"/>
        </w:rPr>
        <w:fldChar w:fldCharType="separate"/>
      </w:r>
      <w:r>
        <w:rPr>
          <w:color w:val="auto"/>
          <w:highlight w:val="none"/>
        </w:rPr>
        <w:t>- 24 -</w:t>
      </w:r>
      <w:r>
        <w:rPr>
          <w:color w:val="auto"/>
          <w:highlight w:val="none"/>
        </w:rPr>
        <w:fldChar w:fldCharType="end"/>
      </w:r>
      <w:r>
        <w:rPr>
          <w:color w:val="auto"/>
          <w:highlight w:val="none"/>
        </w:rPr>
        <w:fldChar w:fldCharType="end"/>
      </w:r>
    </w:p>
    <w:p w14:paraId="40AED8C2">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"_Toc202883071" </w:instrText>
      </w:r>
      <w:r>
        <w:rPr>
          <w:color w:val="auto"/>
          <w:highlight w:val="none"/>
        </w:rPr>
        <w:fldChar w:fldCharType="separate"/>
      </w:r>
      <w:r>
        <w:rPr>
          <w:rStyle w:val="12"/>
          <w:rFonts w:ascii="黑体" w:hAnsi="黑体" w:eastAsia="黑体" w:cs="楷体_GB2312"/>
          <w:b/>
          <w:bCs/>
          <w:color w:val="auto"/>
          <w:highlight w:val="none"/>
          <w:lang w:val="zh-CN"/>
        </w:rPr>
        <w:t>5.</w:t>
      </w:r>
      <w:r>
        <w:rPr>
          <w:rStyle w:val="12"/>
          <w:rFonts w:hint="eastAsia" w:ascii="黑体" w:hAnsi="黑体" w:eastAsia="黑体" w:cs="楷体_GB2312"/>
          <w:b/>
          <w:bCs/>
          <w:color w:val="auto"/>
          <w:highlight w:val="none"/>
          <w:lang w:val="zh-CN"/>
        </w:rPr>
        <w:t>《响应文件》的开启</w:t>
      </w:r>
      <w:r>
        <w:rPr>
          <w:color w:val="auto"/>
          <w:highlight w:val="none"/>
        </w:rPr>
        <w:tab/>
      </w:r>
      <w:r>
        <w:rPr>
          <w:color w:val="auto"/>
          <w:highlight w:val="none"/>
        </w:rPr>
        <w:fldChar w:fldCharType="begin"/>
      </w:r>
      <w:r>
        <w:rPr>
          <w:color w:val="auto"/>
          <w:highlight w:val="none"/>
        </w:rPr>
        <w:instrText xml:space="preserve"> PAGEREF _Toc202883071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209715F6">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"_Toc202883072" </w:instrText>
      </w:r>
      <w:r>
        <w:rPr>
          <w:color w:val="auto"/>
          <w:highlight w:val="none"/>
        </w:rPr>
        <w:fldChar w:fldCharType="separate"/>
      </w:r>
      <w:r>
        <w:rPr>
          <w:rStyle w:val="12"/>
          <w:rFonts w:ascii="黑体" w:hAnsi="黑体" w:eastAsia="黑体" w:cs="楷体_GB2312"/>
          <w:b/>
          <w:bCs/>
          <w:color w:val="auto"/>
          <w:highlight w:val="none"/>
          <w:lang w:val="zh-CN"/>
        </w:rPr>
        <w:t xml:space="preserve">6. </w:t>
      </w:r>
      <w:r>
        <w:rPr>
          <w:rStyle w:val="12"/>
          <w:rFonts w:hint="eastAsia" w:ascii="黑体" w:hAnsi="黑体" w:eastAsia="黑体" w:cs="楷体_GB2312"/>
          <w:b/>
          <w:bCs/>
          <w:color w:val="auto"/>
          <w:highlight w:val="none"/>
          <w:lang w:val="zh-CN"/>
        </w:rPr>
        <w:t>评审</w:t>
      </w:r>
      <w:r>
        <w:rPr>
          <w:color w:val="auto"/>
          <w:highlight w:val="none"/>
        </w:rPr>
        <w:tab/>
      </w:r>
      <w:r>
        <w:rPr>
          <w:color w:val="auto"/>
          <w:highlight w:val="none"/>
        </w:rPr>
        <w:fldChar w:fldCharType="begin"/>
      </w:r>
      <w:r>
        <w:rPr>
          <w:color w:val="auto"/>
          <w:highlight w:val="none"/>
        </w:rPr>
        <w:instrText xml:space="preserve"> PAGEREF _Toc202883072 \h </w:instrText>
      </w:r>
      <w:r>
        <w:rPr>
          <w:color w:val="auto"/>
          <w:highlight w:val="none"/>
        </w:rPr>
        <w:fldChar w:fldCharType="separate"/>
      </w:r>
      <w:r>
        <w:rPr>
          <w:color w:val="auto"/>
          <w:highlight w:val="none"/>
        </w:rPr>
        <w:t>- 25 -</w:t>
      </w:r>
      <w:r>
        <w:rPr>
          <w:color w:val="auto"/>
          <w:highlight w:val="none"/>
        </w:rPr>
        <w:fldChar w:fldCharType="end"/>
      </w:r>
      <w:r>
        <w:rPr>
          <w:color w:val="auto"/>
          <w:highlight w:val="none"/>
        </w:rPr>
        <w:fldChar w:fldCharType="end"/>
      </w:r>
    </w:p>
    <w:p w14:paraId="4635C06F">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"_Toc202883073" </w:instrText>
      </w:r>
      <w:r>
        <w:rPr>
          <w:color w:val="auto"/>
          <w:highlight w:val="none"/>
        </w:rPr>
        <w:fldChar w:fldCharType="separate"/>
      </w:r>
      <w:r>
        <w:rPr>
          <w:rStyle w:val="12"/>
          <w:rFonts w:ascii="黑体" w:hAnsi="黑体" w:eastAsia="黑体" w:cs="楷体_GB2312"/>
          <w:b/>
          <w:bCs/>
          <w:color w:val="auto"/>
          <w:highlight w:val="none"/>
          <w:lang w:val="zh-CN"/>
        </w:rPr>
        <w:t xml:space="preserve">7. </w:t>
      </w:r>
      <w:r>
        <w:rPr>
          <w:rStyle w:val="12"/>
          <w:rFonts w:hint="eastAsia" w:ascii="黑体" w:hAnsi="黑体" w:eastAsia="黑体" w:cs="楷体_GB2312"/>
          <w:b/>
          <w:bCs/>
          <w:color w:val="auto"/>
          <w:highlight w:val="none"/>
          <w:lang w:val="zh-CN"/>
        </w:rPr>
        <w:t>授予合同</w:t>
      </w:r>
      <w:r>
        <w:rPr>
          <w:color w:val="auto"/>
          <w:highlight w:val="none"/>
        </w:rPr>
        <w:tab/>
      </w:r>
      <w:r>
        <w:rPr>
          <w:color w:val="auto"/>
          <w:highlight w:val="none"/>
        </w:rPr>
        <w:fldChar w:fldCharType="begin"/>
      </w:r>
      <w:r>
        <w:rPr>
          <w:color w:val="auto"/>
          <w:highlight w:val="none"/>
        </w:rPr>
        <w:instrText xml:space="preserve"> PAGEREF _Toc202883073 \h </w:instrText>
      </w:r>
      <w:r>
        <w:rPr>
          <w:color w:val="auto"/>
          <w:highlight w:val="none"/>
        </w:rPr>
        <w:fldChar w:fldCharType="separate"/>
      </w:r>
      <w:r>
        <w:rPr>
          <w:color w:val="auto"/>
          <w:highlight w:val="none"/>
        </w:rPr>
        <w:t>- 26 -</w:t>
      </w:r>
      <w:r>
        <w:rPr>
          <w:color w:val="auto"/>
          <w:highlight w:val="none"/>
        </w:rPr>
        <w:fldChar w:fldCharType="end"/>
      </w:r>
      <w:r>
        <w:rPr>
          <w:color w:val="auto"/>
          <w:highlight w:val="none"/>
        </w:rPr>
        <w:fldChar w:fldCharType="end"/>
      </w:r>
    </w:p>
    <w:p w14:paraId="731DC246">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"_Toc202883074" </w:instrText>
      </w:r>
      <w:r>
        <w:rPr>
          <w:color w:val="auto"/>
          <w:highlight w:val="none"/>
        </w:rPr>
        <w:fldChar w:fldCharType="separate"/>
      </w:r>
      <w:r>
        <w:rPr>
          <w:rStyle w:val="12"/>
          <w:rFonts w:ascii="黑体" w:hAnsi="黑体" w:eastAsia="黑体" w:cs="楷体_GB2312"/>
          <w:b/>
          <w:bCs/>
          <w:color w:val="auto"/>
          <w:highlight w:val="none"/>
          <w:lang w:val="zh-CN"/>
        </w:rPr>
        <w:t xml:space="preserve">8. </w:t>
      </w:r>
      <w:r>
        <w:rPr>
          <w:rStyle w:val="12"/>
          <w:rFonts w:hint="eastAsia" w:ascii="黑体" w:hAnsi="黑体" w:eastAsia="黑体" w:cs="楷体_GB2312"/>
          <w:b/>
          <w:bCs/>
          <w:color w:val="auto"/>
          <w:highlight w:val="none"/>
          <w:lang w:val="zh-CN"/>
        </w:rPr>
        <w:t>验收</w:t>
      </w:r>
      <w:r>
        <w:rPr>
          <w:color w:val="auto"/>
          <w:highlight w:val="none"/>
        </w:rPr>
        <w:tab/>
      </w:r>
      <w:r>
        <w:rPr>
          <w:color w:val="auto"/>
          <w:highlight w:val="none"/>
        </w:rPr>
        <w:fldChar w:fldCharType="begin"/>
      </w:r>
      <w:r>
        <w:rPr>
          <w:color w:val="auto"/>
          <w:highlight w:val="none"/>
        </w:rPr>
        <w:instrText xml:space="preserve"> PAGEREF _Toc202883074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43586A82">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"_Toc202883075" </w:instrText>
      </w:r>
      <w:r>
        <w:rPr>
          <w:color w:val="auto"/>
          <w:highlight w:val="none"/>
        </w:rPr>
        <w:fldChar w:fldCharType="separate"/>
      </w:r>
      <w:r>
        <w:rPr>
          <w:rStyle w:val="12"/>
          <w:rFonts w:ascii="黑体" w:hAnsi="黑体" w:eastAsia="黑体" w:cs="楷体_GB2312"/>
          <w:b/>
          <w:bCs/>
          <w:color w:val="auto"/>
          <w:highlight w:val="none"/>
          <w:lang w:val="zh-CN"/>
        </w:rPr>
        <w:t>9.</w:t>
      </w:r>
      <w:r>
        <w:rPr>
          <w:rStyle w:val="12"/>
          <w:rFonts w:hint="eastAsia" w:ascii="黑体" w:hAnsi="黑体" w:eastAsia="黑体" w:cs="楷体_GB2312"/>
          <w:b/>
          <w:bCs/>
          <w:color w:val="auto"/>
          <w:highlight w:val="none"/>
          <w:lang w:val="zh-CN"/>
        </w:rPr>
        <w:t>付款</w:t>
      </w:r>
      <w:r>
        <w:rPr>
          <w:color w:val="auto"/>
          <w:highlight w:val="none"/>
        </w:rPr>
        <w:tab/>
      </w:r>
      <w:r>
        <w:rPr>
          <w:color w:val="auto"/>
          <w:highlight w:val="none"/>
        </w:rPr>
        <w:fldChar w:fldCharType="begin"/>
      </w:r>
      <w:r>
        <w:rPr>
          <w:color w:val="auto"/>
          <w:highlight w:val="none"/>
        </w:rPr>
        <w:instrText xml:space="preserve"> PAGEREF _Toc202883075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14:paraId="3FCB44B2">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"_Toc202883076" </w:instrText>
      </w:r>
      <w:r>
        <w:rPr>
          <w:color w:val="auto"/>
          <w:highlight w:val="none"/>
        </w:rPr>
        <w:fldChar w:fldCharType="separate"/>
      </w:r>
      <w:r>
        <w:rPr>
          <w:rStyle w:val="12"/>
          <w:rFonts w:ascii="黑体" w:hAnsi="黑体" w:eastAsia="黑体" w:cs="楷体_GB2312"/>
          <w:b/>
          <w:bCs/>
          <w:color w:val="auto"/>
          <w:highlight w:val="none"/>
          <w:lang w:val="zh-CN"/>
        </w:rPr>
        <w:t xml:space="preserve">10. </w:t>
      </w:r>
      <w:r>
        <w:rPr>
          <w:rStyle w:val="12"/>
          <w:rFonts w:hint="eastAsia" w:ascii="黑体" w:hAnsi="黑体" w:eastAsia="黑体" w:cs="楷体_GB2312"/>
          <w:b/>
          <w:bCs/>
          <w:color w:val="auto"/>
          <w:highlight w:val="none"/>
          <w:lang w:val="zh-CN"/>
        </w:rPr>
        <w:t>其他</w:t>
      </w:r>
      <w:r>
        <w:rPr>
          <w:color w:val="auto"/>
          <w:highlight w:val="none"/>
        </w:rPr>
        <w:tab/>
      </w:r>
      <w:r>
        <w:rPr>
          <w:color w:val="auto"/>
          <w:highlight w:val="none"/>
        </w:rPr>
        <w:fldChar w:fldCharType="begin"/>
      </w:r>
      <w:r>
        <w:rPr>
          <w:color w:val="auto"/>
          <w:highlight w:val="none"/>
        </w:rPr>
        <w:instrText xml:space="preserve"> PAGEREF _Toc202883076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579D48A8">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"_Toc202883077" </w:instrText>
      </w:r>
      <w:r>
        <w:rPr>
          <w:color w:val="auto"/>
          <w:highlight w:val="none"/>
        </w:rPr>
        <w:fldChar w:fldCharType="separate"/>
      </w:r>
      <w:r>
        <w:rPr>
          <w:rStyle w:val="12"/>
          <w:rFonts w:ascii="黑体" w:hAnsi="黑体" w:eastAsia="黑体" w:cs="楷体_GB2312"/>
          <w:b/>
          <w:bCs/>
          <w:color w:val="auto"/>
          <w:highlight w:val="none"/>
          <w:lang w:val="zh-CN"/>
        </w:rPr>
        <w:t xml:space="preserve">11. </w:t>
      </w:r>
      <w:r>
        <w:rPr>
          <w:rStyle w:val="12"/>
          <w:rFonts w:hint="eastAsia" w:ascii="黑体" w:hAnsi="黑体" w:eastAsia="黑体" w:cs="楷体_GB2312"/>
          <w:b/>
          <w:bCs/>
          <w:color w:val="auto"/>
          <w:highlight w:val="none"/>
          <w:lang w:val="zh-CN"/>
        </w:rPr>
        <w:t>河南省政府采购合同融资政策告知函</w:t>
      </w:r>
      <w:r>
        <w:rPr>
          <w:color w:val="auto"/>
          <w:highlight w:val="none"/>
        </w:rPr>
        <w:tab/>
      </w:r>
      <w:r>
        <w:rPr>
          <w:color w:val="auto"/>
          <w:highlight w:val="none"/>
        </w:rPr>
        <w:fldChar w:fldCharType="begin"/>
      </w:r>
      <w:r>
        <w:rPr>
          <w:color w:val="auto"/>
          <w:highlight w:val="none"/>
        </w:rPr>
        <w:instrText xml:space="preserve"> PAGEREF _Toc202883077 \h </w:instrText>
      </w:r>
      <w:r>
        <w:rPr>
          <w:color w:val="auto"/>
          <w:highlight w:val="none"/>
        </w:rPr>
        <w:fldChar w:fldCharType="separate"/>
      </w:r>
      <w:r>
        <w:rPr>
          <w:color w:val="auto"/>
          <w:highlight w:val="none"/>
        </w:rPr>
        <w:t>- 29 -</w:t>
      </w:r>
      <w:r>
        <w:rPr>
          <w:color w:val="auto"/>
          <w:highlight w:val="none"/>
        </w:rPr>
        <w:fldChar w:fldCharType="end"/>
      </w:r>
      <w:r>
        <w:rPr>
          <w:color w:val="auto"/>
          <w:highlight w:val="none"/>
        </w:rPr>
        <w:fldChar w:fldCharType="end"/>
      </w:r>
    </w:p>
    <w:p w14:paraId="7667E4EB">
      <w:pPr>
        <w:pStyle w:val="6"/>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"_Toc202883078" </w:instrText>
      </w:r>
      <w:r>
        <w:rPr>
          <w:color w:val="auto"/>
          <w:highlight w:val="none"/>
        </w:rPr>
        <w:fldChar w:fldCharType="separate"/>
      </w:r>
      <w:r>
        <w:rPr>
          <w:rStyle w:val="12"/>
          <w:rFonts w:hint="eastAsia" w:ascii="黑体" w:hAnsi="黑体" w:eastAsia="黑体"/>
          <w:b/>
          <w:color w:val="auto"/>
          <w:highlight w:val="none"/>
          <w:lang w:val="zh-CN"/>
        </w:rPr>
        <w:t>第四章</w:t>
      </w:r>
      <w:r>
        <w:rPr>
          <w:rStyle w:val="12"/>
          <w:rFonts w:ascii="黑体" w:hAnsi="黑体" w:eastAsia="黑体"/>
          <w:b/>
          <w:color w:val="auto"/>
          <w:highlight w:val="none"/>
          <w:lang w:val="zh-CN"/>
        </w:rPr>
        <w:t xml:space="preserve">  </w:t>
      </w:r>
      <w:r>
        <w:rPr>
          <w:rStyle w:val="12"/>
          <w:rFonts w:hint="eastAsia" w:ascii="黑体" w:hAnsi="黑体" w:eastAsia="黑体"/>
          <w:b/>
          <w:color w:val="auto"/>
          <w:highlight w:val="none"/>
          <w:lang w:val="zh-CN"/>
        </w:rPr>
        <w:t>评审办法</w:t>
      </w:r>
      <w:r>
        <w:rPr>
          <w:color w:val="auto"/>
          <w:highlight w:val="none"/>
        </w:rPr>
        <w:tab/>
      </w:r>
      <w:r>
        <w:rPr>
          <w:color w:val="auto"/>
          <w:highlight w:val="none"/>
        </w:rPr>
        <w:fldChar w:fldCharType="begin"/>
      </w:r>
      <w:r>
        <w:rPr>
          <w:color w:val="auto"/>
          <w:highlight w:val="none"/>
        </w:rPr>
        <w:instrText xml:space="preserve"> PAGEREF _Toc202883078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3B00B0A2">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"_Toc202883079" </w:instrText>
      </w:r>
      <w:r>
        <w:rPr>
          <w:color w:val="auto"/>
          <w:highlight w:val="none"/>
        </w:rPr>
        <w:fldChar w:fldCharType="separate"/>
      </w:r>
      <w:r>
        <w:rPr>
          <w:rStyle w:val="12"/>
          <w:rFonts w:hint="eastAsia" w:ascii="黑体" w:hAnsi="黑体" w:eastAsia="黑体"/>
          <w:b/>
          <w:color w:val="auto"/>
          <w:highlight w:val="none"/>
        </w:rPr>
        <w:t>评审办法前附表</w:t>
      </w:r>
      <w:r>
        <w:rPr>
          <w:color w:val="auto"/>
          <w:highlight w:val="none"/>
        </w:rPr>
        <w:tab/>
      </w:r>
      <w:r>
        <w:rPr>
          <w:color w:val="auto"/>
          <w:highlight w:val="none"/>
        </w:rPr>
        <w:fldChar w:fldCharType="begin"/>
      </w:r>
      <w:r>
        <w:rPr>
          <w:color w:val="auto"/>
          <w:highlight w:val="none"/>
        </w:rPr>
        <w:instrText xml:space="preserve"> PAGEREF _Toc202883079 \h </w:instrText>
      </w:r>
      <w:r>
        <w:rPr>
          <w:color w:val="auto"/>
          <w:highlight w:val="none"/>
        </w:rPr>
        <w:fldChar w:fldCharType="separate"/>
      </w:r>
      <w:r>
        <w:rPr>
          <w:color w:val="auto"/>
          <w:highlight w:val="none"/>
        </w:rPr>
        <w:t>- 30 -</w:t>
      </w:r>
      <w:r>
        <w:rPr>
          <w:color w:val="auto"/>
          <w:highlight w:val="none"/>
        </w:rPr>
        <w:fldChar w:fldCharType="end"/>
      </w:r>
      <w:r>
        <w:rPr>
          <w:color w:val="auto"/>
          <w:highlight w:val="none"/>
        </w:rPr>
        <w:fldChar w:fldCharType="end"/>
      </w:r>
    </w:p>
    <w:p w14:paraId="438F3ACA">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"_Toc202883080" </w:instrText>
      </w:r>
      <w:r>
        <w:rPr>
          <w:color w:val="auto"/>
          <w:highlight w:val="none"/>
        </w:rPr>
        <w:fldChar w:fldCharType="separate"/>
      </w:r>
      <w:r>
        <w:rPr>
          <w:rStyle w:val="12"/>
          <w:rFonts w:ascii="黑体" w:hAnsi="黑体" w:eastAsia="黑体" w:cs="楷体_GB2312"/>
          <w:b/>
          <w:bCs/>
          <w:color w:val="auto"/>
          <w:highlight w:val="none"/>
          <w:lang w:val="zh-CN"/>
        </w:rPr>
        <w:t xml:space="preserve">1. </w:t>
      </w:r>
      <w:r>
        <w:rPr>
          <w:rStyle w:val="12"/>
          <w:rFonts w:hint="eastAsia" w:ascii="黑体" w:hAnsi="黑体" w:eastAsia="黑体" w:cs="楷体_GB2312"/>
          <w:b/>
          <w:bCs/>
          <w:color w:val="auto"/>
          <w:highlight w:val="none"/>
          <w:lang w:val="zh-CN"/>
        </w:rPr>
        <w:t>评审方法（评定成交的标准）</w:t>
      </w:r>
      <w:r>
        <w:rPr>
          <w:color w:val="auto"/>
          <w:highlight w:val="none"/>
        </w:rPr>
        <w:tab/>
      </w:r>
      <w:r>
        <w:rPr>
          <w:color w:val="auto"/>
          <w:highlight w:val="none"/>
        </w:rPr>
        <w:fldChar w:fldCharType="begin"/>
      </w:r>
      <w:r>
        <w:rPr>
          <w:color w:val="auto"/>
          <w:highlight w:val="none"/>
        </w:rPr>
        <w:instrText xml:space="preserve"> PAGEREF _Toc202883080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5E526C53">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"_Toc202883081" </w:instrText>
      </w:r>
      <w:r>
        <w:rPr>
          <w:color w:val="auto"/>
          <w:highlight w:val="none"/>
        </w:rPr>
        <w:fldChar w:fldCharType="separate"/>
      </w:r>
      <w:r>
        <w:rPr>
          <w:rStyle w:val="12"/>
          <w:rFonts w:ascii="黑体" w:hAnsi="黑体" w:eastAsia="黑体" w:cs="楷体_GB2312"/>
          <w:b/>
          <w:bCs/>
          <w:color w:val="auto"/>
          <w:highlight w:val="none"/>
          <w:lang w:val="zh-CN"/>
        </w:rPr>
        <w:t xml:space="preserve">2. </w:t>
      </w:r>
      <w:r>
        <w:rPr>
          <w:rStyle w:val="12"/>
          <w:rFonts w:hint="eastAsia" w:ascii="黑体" w:hAnsi="黑体" w:eastAsia="黑体" w:cs="楷体_GB2312"/>
          <w:b/>
          <w:bCs/>
          <w:color w:val="auto"/>
          <w:highlight w:val="none"/>
          <w:lang w:val="zh-CN"/>
        </w:rPr>
        <w:t>评审标准</w:t>
      </w:r>
      <w:r>
        <w:rPr>
          <w:color w:val="auto"/>
          <w:highlight w:val="none"/>
        </w:rPr>
        <w:tab/>
      </w:r>
      <w:r>
        <w:rPr>
          <w:color w:val="auto"/>
          <w:highlight w:val="none"/>
        </w:rPr>
        <w:fldChar w:fldCharType="begin"/>
      </w:r>
      <w:r>
        <w:rPr>
          <w:color w:val="auto"/>
          <w:highlight w:val="none"/>
        </w:rPr>
        <w:instrText xml:space="preserve"> PAGEREF _Toc202883081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496D14FF">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"_Toc202883082" </w:instrText>
      </w:r>
      <w:r>
        <w:rPr>
          <w:color w:val="auto"/>
          <w:highlight w:val="none"/>
        </w:rPr>
        <w:fldChar w:fldCharType="separate"/>
      </w:r>
      <w:r>
        <w:rPr>
          <w:rStyle w:val="12"/>
          <w:rFonts w:ascii="黑体" w:hAnsi="黑体" w:eastAsia="黑体" w:cs="楷体_GB2312"/>
          <w:b/>
          <w:bCs/>
          <w:color w:val="auto"/>
          <w:highlight w:val="none"/>
          <w:lang w:val="zh-CN"/>
        </w:rPr>
        <w:t xml:space="preserve">3. </w:t>
      </w:r>
      <w:r>
        <w:rPr>
          <w:rStyle w:val="12"/>
          <w:rFonts w:hint="eastAsia" w:ascii="黑体" w:hAnsi="黑体" w:eastAsia="黑体" w:cs="楷体_GB2312"/>
          <w:b/>
          <w:bCs/>
          <w:color w:val="auto"/>
          <w:highlight w:val="none"/>
          <w:lang w:val="zh-CN"/>
        </w:rPr>
        <w:t>评审程序</w:t>
      </w:r>
      <w:r>
        <w:rPr>
          <w:color w:val="auto"/>
          <w:highlight w:val="none"/>
        </w:rPr>
        <w:tab/>
      </w:r>
      <w:r>
        <w:rPr>
          <w:color w:val="auto"/>
          <w:highlight w:val="none"/>
        </w:rPr>
        <w:fldChar w:fldCharType="begin"/>
      </w:r>
      <w:r>
        <w:rPr>
          <w:color w:val="auto"/>
          <w:highlight w:val="none"/>
        </w:rPr>
        <w:instrText xml:space="preserve"> PAGEREF _Toc202883082 \h </w:instrText>
      </w:r>
      <w:r>
        <w:rPr>
          <w:color w:val="auto"/>
          <w:highlight w:val="none"/>
        </w:rPr>
        <w:fldChar w:fldCharType="separate"/>
      </w:r>
      <w:r>
        <w:rPr>
          <w:color w:val="auto"/>
          <w:highlight w:val="none"/>
        </w:rPr>
        <w:t>- 34 -</w:t>
      </w:r>
      <w:r>
        <w:rPr>
          <w:color w:val="auto"/>
          <w:highlight w:val="none"/>
        </w:rPr>
        <w:fldChar w:fldCharType="end"/>
      </w:r>
      <w:r>
        <w:rPr>
          <w:color w:val="auto"/>
          <w:highlight w:val="none"/>
        </w:rPr>
        <w:fldChar w:fldCharType="end"/>
      </w:r>
    </w:p>
    <w:p w14:paraId="31265AC6">
      <w:pPr>
        <w:pStyle w:val="7"/>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"_Toc202883083" </w:instrText>
      </w:r>
      <w:r>
        <w:rPr>
          <w:color w:val="auto"/>
          <w:highlight w:val="none"/>
        </w:rPr>
        <w:fldChar w:fldCharType="separate"/>
      </w:r>
      <w:r>
        <w:rPr>
          <w:rStyle w:val="12"/>
          <w:rFonts w:ascii="黑体" w:hAnsi="黑体" w:eastAsia="黑体" w:cs="楷体_GB2312"/>
          <w:b/>
          <w:bCs/>
          <w:color w:val="auto"/>
          <w:highlight w:val="none"/>
          <w:lang w:val="zh-CN"/>
        </w:rPr>
        <w:t xml:space="preserve">4. </w:t>
      </w:r>
      <w:r>
        <w:rPr>
          <w:rStyle w:val="12"/>
          <w:rFonts w:hint="eastAsia" w:ascii="黑体" w:hAnsi="黑体" w:eastAsia="黑体" w:cs="楷体_GB2312"/>
          <w:b/>
          <w:bCs/>
          <w:color w:val="auto"/>
          <w:highlight w:val="none"/>
          <w:lang w:val="zh-CN"/>
        </w:rPr>
        <w:t>政府采购促进中小企业发展扶持政策</w:t>
      </w:r>
      <w:r>
        <w:rPr>
          <w:color w:val="auto"/>
          <w:highlight w:val="none"/>
        </w:rPr>
        <w:tab/>
      </w:r>
      <w:r>
        <w:rPr>
          <w:color w:val="auto"/>
          <w:highlight w:val="none"/>
        </w:rPr>
        <w:fldChar w:fldCharType="begin"/>
      </w:r>
      <w:r>
        <w:rPr>
          <w:color w:val="auto"/>
          <w:highlight w:val="none"/>
        </w:rPr>
        <w:instrText xml:space="preserve"> PAGEREF _Toc202883083 \h </w:instrText>
      </w:r>
      <w:r>
        <w:rPr>
          <w:color w:val="auto"/>
          <w:highlight w:val="none"/>
        </w:rPr>
        <w:fldChar w:fldCharType="separate"/>
      </w:r>
      <w:r>
        <w:rPr>
          <w:color w:val="auto"/>
          <w:highlight w:val="none"/>
        </w:rPr>
        <w:t>- 38 -</w:t>
      </w:r>
      <w:r>
        <w:rPr>
          <w:color w:val="auto"/>
          <w:highlight w:val="none"/>
        </w:rPr>
        <w:fldChar w:fldCharType="end"/>
      </w:r>
      <w:r>
        <w:rPr>
          <w:color w:val="auto"/>
          <w:highlight w:val="none"/>
        </w:rPr>
        <w:fldChar w:fldCharType="end"/>
      </w:r>
    </w:p>
    <w:p w14:paraId="0023A695">
      <w:pPr>
        <w:pStyle w:val="6"/>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"_Toc202883084" </w:instrText>
      </w:r>
      <w:r>
        <w:rPr>
          <w:color w:val="auto"/>
          <w:highlight w:val="none"/>
        </w:rPr>
        <w:fldChar w:fldCharType="separate"/>
      </w:r>
      <w:r>
        <w:rPr>
          <w:rStyle w:val="12"/>
          <w:rFonts w:hint="eastAsia" w:ascii="黑体" w:eastAsia="黑体"/>
          <w:b/>
          <w:color w:val="auto"/>
          <w:highlight w:val="none"/>
        </w:rPr>
        <w:t>第五章</w:t>
      </w:r>
      <w:r>
        <w:rPr>
          <w:rStyle w:val="12"/>
          <w:rFonts w:ascii="黑体" w:eastAsia="黑体"/>
          <w:b/>
          <w:color w:val="auto"/>
          <w:highlight w:val="none"/>
        </w:rPr>
        <w:t xml:space="preserve">  </w:t>
      </w:r>
      <w:r>
        <w:rPr>
          <w:rStyle w:val="12"/>
          <w:rFonts w:hint="eastAsia" w:ascii="黑体" w:eastAsia="黑体"/>
          <w:b/>
          <w:color w:val="auto"/>
          <w:highlight w:val="none"/>
        </w:rPr>
        <w:t>合同主要条款</w:t>
      </w:r>
      <w:r>
        <w:rPr>
          <w:color w:val="auto"/>
          <w:highlight w:val="none"/>
        </w:rPr>
        <w:tab/>
      </w:r>
      <w:r>
        <w:rPr>
          <w:color w:val="auto"/>
          <w:highlight w:val="none"/>
        </w:rPr>
        <w:fldChar w:fldCharType="begin"/>
      </w:r>
      <w:r>
        <w:rPr>
          <w:color w:val="auto"/>
          <w:highlight w:val="none"/>
        </w:rPr>
        <w:instrText xml:space="preserve"> PAGEREF _Toc202883084 \h </w:instrText>
      </w:r>
      <w:r>
        <w:rPr>
          <w:color w:val="auto"/>
          <w:highlight w:val="none"/>
        </w:rPr>
        <w:fldChar w:fldCharType="separate"/>
      </w:r>
      <w:r>
        <w:rPr>
          <w:color w:val="auto"/>
          <w:highlight w:val="none"/>
        </w:rPr>
        <w:t>- 42 -</w:t>
      </w:r>
      <w:r>
        <w:rPr>
          <w:color w:val="auto"/>
          <w:highlight w:val="none"/>
        </w:rPr>
        <w:fldChar w:fldCharType="end"/>
      </w:r>
      <w:r>
        <w:rPr>
          <w:color w:val="auto"/>
          <w:highlight w:val="none"/>
        </w:rPr>
        <w:fldChar w:fldCharType="end"/>
      </w:r>
    </w:p>
    <w:p w14:paraId="421F622C">
      <w:pPr>
        <w:pStyle w:val="6"/>
        <w:tabs>
          <w:tab w:val="right" w:leader="dot" w:pos="9371"/>
        </w:tabs>
        <w:rPr>
          <w:rFonts w:asciiTheme="minorHAnsi" w:hAnsiTheme="minorHAnsi" w:eastAsiaTheme="minorEastAsia" w:cstheme="minorBidi"/>
          <w:color w:val="auto"/>
          <w:kern w:val="2"/>
          <w:szCs w:val="22"/>
          <w:highlight w:val="none"/>
        </w:rPr>
      </w:pPr>
      <w:r>
        <w:rPr>
          <w:color w:val="auto"/>
          <w:highlight w:val="none"/>
        </w:rPr>
        <w:fldChar w:fldCharType="begin"/>
      </w:r>
      <w:r>
        <w:rPr>
          <w:color w:val="auto"/>
          <w:highlight w:val="none"/>
        </w:rPr>
        <w:instrText xml:space="preserve"> HYPERLINK \l "_Toc202883085" </w:instrText>
      </w:r>
      <w:r>
        <w:rPr>
          <w:color w:val="auto"/>
          <w:highlight w:val="none"/>
        </w:rPr>
        <w:fldChar w:fldCharType="separate"/>
      </w:r>
      <w:r>
        <w:rPr>
          <w:rStyle w:val="12"/>
          <w:rFonts w:hint="eastAsia" w:ascii="黑体" w:hAnsi="黑体" w:eastAsia="黑体"/>
          <w:b/>
          <w:color w:val="auto"/>
          <w:highlight w:val="none"/>
          <w:lang w:val="zh-CN"/>
        </w:rPr>
        <w:t>第六章</w:t>
      </w:r>
      <w:r>
        <w:rPr>
          <w:rStyle w:val="12"/>
          <w:rFonts w:ascii="黑体" w:hAnsi="黑体" w:eastAsia="黑体"/>
          <w:b/>
          <w:color w:val="auto"/>
          <w:highlight w:val="none"/>
          <w:lang w:val="zh-CN"/>
        </w:rPr>
        <w:t xml:space="preserve">  </w:t>
      </w:r>
      <w:r>
        <w:rPr>
          <w:rStyle w:val="12"/>
          <w:rFonts w:hint="eastAsia" w:ascii="黑体" w:hAnsi="黑体" w:eastAsia="黑体"/>
          <w:b/>
          <w:color w:val="auto"/>
          <w:highlight w:val="none"/>
          <w:lang w:val="zh-CN"/>
        </w:rPr>
        <w:t>《响应文件》格式</w:t>
      </w:r>
      <w:r>
        <w:rPr>
          <w:color w:val="auto"/>
          <w:highlight w:val="none"/>
        </w:rPr>
        <w:tab/>
      </w:r>
      <w:r>
        <w:rPr>
          <w:color w:val="auto"/>
          <w:highlight w:val="none"/>
        </w:rPr>
        <w:fldChar w:fldCharType="begin"/>
      </w:r>
      <w:r>
        <w:rPr>
          <w:color w:val="auto"/>
          <w:highlight w:val="none"/>
        </w:rPr>
        <w:instrText xml:space="preserve"> PAGEREF _Toc202883085 \h </w:instrText>
      </w:r>
      <w:r>
        <w:rPr>
          <w:color w:val="auto"/>
          <w:highlight w:val="none"/>
        </w:rPr>
        <w:fldChar w:fldCharType="separate"/>
      </w:r>
      <w:r>
        <w:rPr>
          <w:color w:val="auto"/>
          <w:highlight w:val="none"/>
        </w:rPr>
        <w:t>- 46 -</w:t>
      </w:r>
      <w:r>
        <w:rPr>
          <w:color w:val="auto"/>
          <w:highlight w:val="none"/>
        </w:rPr>
        <w:fldChar w:fldCharType="end"/>
      </w:r>
      <w:r>
        <w:rPr>
          <w:color w:val="auto"/>
          <w:highlight w:val="none"/>
        </w:rPr>
        <w:fldChar w:fldCharType="end"/>
      </w:r>
    </w:p>
    <w:p w14:paraId="20A721EB">
      <w:pPr>
        <w:rPr>
          <w:color w:val="auto"/>
          <w:highlight w:val="none"/>
        </w:rPr>
      </w:pPr>
      <w:r>
        <w:rPr>
          <w:color w:val="auto"/>
          <w:highlight w:val="none"/>
        </w:rPr>
        <w:fldChar w:fldCharType="end"/>
      </w:r>
    </w:p>
    <w:p w14:paraId="680378E0">
      <w:pPr>
        <w:widowControl w:val="0"/>
        <w:snapToGrid w:val="0"/>
        <w:spacing w:line="660" w:lineRule="exact"/>
        <w:ind w:firstLine="607" w:firstLineChars="168"/>
        <w:rPr>
          <w:rFonts w:ascii="黑体" w:hAnsi="黑体" w:eastAsia="黑体"/>
          <w:b/>
          <w:color w:val="auto"/>
          <w:sz w:val="36"/>
          <w:szCs w:val="36"/>
          <w:highlight w:val="none"/>
        </w:rPr>
      </w:pPr>
    </w:p>
    <w:p w14:paraId="6299C51B">
      <w:pPr>
        <w:widowControl w:val="0"/>
        <w:snapToGrid w:val="0"/>
        <w:spacing w:line="560" w:lineRule="exact"/>
        <w:ind w:firstLine="181" w:firstLineChars="50"/>
        <w:rPr>
          <w:rFonts w:ascii="黑体" w:eastAsia="黑体"/>
          <w:b/>
          <w:color w:val="auto"/>
          <w:sz w:val="36"/>
          <w:szCs w:val="36"/>
          <w:highlight w:val="none"/>
        </w:rPr>
        <w:sectPr>
          <w:headerReference r:id="rId11" w:type="first"/>
          <w:footerReference r:id="rId13" w:type="first"/>
          <w:headerReference r:id="rId10" w:type="default"/>
          <w:footerReference r:id="rId12" w:type="default"/>
          <w:pgSz w:w="11905" w:h="16837"/>
          <w:pgMar w:top="1418" w:right="1106" w:bottom="1418" w:left="1418" w:header="567" w:footer="567" w:gutter="0"/>
          <w:pgNumType w:fmt="numberInDash" w:start="0"/>
          <w:cols w:space="720" w:num="1"/>
          <w:titlePg/>
        </w:sectPr>
      </w:pPr>
    </w:p>
    <w:p w14:paraId="0A91825E">
      <w:pPr>
        <w:widowControl w:val="0"/>
        <w:snapToGrid w:val="0"/>
        <w:spacing w:line="560" w:lineRule="exact"/>
        <w:jc w:val="left"/>
        <w:rPr>
          <w:rFonts w:ascii="宋体"/>
          <w:b/>
          <w:color w:val="auto"/>
          <w:sz w:val="24"/>
          <w:szCs w:val="24"/>
          <w:highlight w:val="none"/>
        </w:rPr>
      </w:pPr>
    </w:p>
    <w:p w14:paraId="1F40E5F4">
      <w:pPr>
        <w:widowControl w:val="0"/>
        <w:snapToGrid w:val="0"/>
        <w:spacing w:line="560" w:lineRule="exact"/>
        <w:jc w:val="center"/>
        <w:outlineLvl w:val="0"/>
        <w:rPr>
          <w:color w:val="auto"/>
          <w:sz w:val="36"/>
          <w:szCs w:val="36"/>
          <w:highlight w:val="none"/>
        </w:rPr>
      </w:pPr>
      <w:bookmarkStart w:id="0" w:name="_Toc202883061"/>
      <w:r>
        <w:rPr>
          <w:rFonts w:hint="eastAsia" w:eastAsia="黑体"/>
          <w:b/>
          <w:color w:val="auto"/>
          <w:sz w:val="36"/>
          <w:szCs w:val="36"/>
          <w:highlight w:val="none"/>
        </w:rPr>
        <w:t>第一章</w:t>
      </w:r>
      <w:r>
        <w:rPr>
          <w:rFonts w:eastAsia="黑体"/>
          <w:b/>
          <w:color w:val="auto"/>
          <w:sz w:val="36"/>
          <w:szCs w:val="36"/>
          <w:highlight w:val="none"/>
        </w:rPr>
        <w:t xml:space="preserve">  </w:t>
      </w:r>
      <w:r>
        <w:rPr>
          <w:rFonts w:hint="eastAsia" w:eastAsia="黑体"/>
          <w:b/>
          <w:color w:val="auto"/>
          <w:sz w:val="36"/>
          <w:szCs w:val="36"/>
          <w:highlight w:val="none"/>
        </w:rPr>
        <w:t>竞争性磋商公告</w:t>
      </w:r>
      <w:bookmarkEnd w:id="0"/>
    </w:p>
    <w:p w14:paraId="3FBC4F1D">
      <w:pPr>
        <w:widowControl w:val="0"/>
        <w:snapToGrid w:val="0"/>
        <w:spacing w:line="360" w:lineRule="auto"/>
        <w:ind w:firstLine="566"/>
        <w:rPr>
          <w:color w:val="auto"/>
          <w:sz w:val="28"/>
          <w:szCs w:val="28"/>
          <w:highlight w:val="none"/>
        </w:rPr>
      </w:pPr>
    </w:p>
    <w:p w14:paraId="3D5BC7DE">
      <w:pPr>
        <w:widowControl w:val="0"/>
        <w:adjustRightInd w:val="0"/>
        <w:snapToGrid w:val="0"/>
        <w:spacing w:line="360" w:lineRule="auto"/>
        <w:ind w:firstLine="632" w:firstLineChars="225"/>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1.项目基本情况</w:t>
      </w:r>
    </w:p>
    <w:p w14:paraId="45DBEF86">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1.1</w:t>
      </w:r>
      <w:r>
        <w:rPr>
          <w:rFonts w:hint="eastAsia" w:ascii="宋体" w:hAnsi="宋体"/>
          <w:color w:val="auto"/>
          <w:sz w:val="24"/>
          <w:szCs w:val="24"/>
          <w:highlight w:val="none"/>
        </w:rPr>
        <w:t>项目编号：安财磋商采购</w:t>
      </w:r>
      <w:r>
        <w:rPr>
          <w:rFonts w:hint="eastAsia" w:ascii="宋体" w:hAnsi="宋体"/>
          <w:color w:val="auto"/>
          <w:sz w:val="24"/>
          <w:szCs w:val="24"/>
          <w:highlight w:val="none"/>
          <w:lang w:val="en-US" w:eastAsia="zh-CN"/>
        </w:rPr>
        <w:t>-2025-59</w:t>
      </w:r>
    </w:p>
    <w:p w14:paraId="43A489EE">
      <w:pPr>
        <w:widowControl w:val="0"/>
        <w:adjustRightInd w:val="0"/>
        <w:snapToGrid w:val="0"/>
        <w:spacing w:line="360" w:lineRule="auto"/>
        <w:ind w:firstLine="540" w:firstLineChars="225"/>
        <w:jc w:val="left"/>
        <w:rPr>
          <w:rFonts w:hint="eastAsia" w:ascii="宋体" w:hAnsi="宋体"/>
          <w:color w:val="auto"/>
          <w:sz w:val="24"/>
          <w:szCs w:val="24"/>
          <w:highlight w:val="none"/>
        </w:rPr>
      </w:pPr>
      <w:r>
        <w:rPr>
          <w:rFonts w:ascii="宋体" w:hAnsi="宋体"/>
          <w:color w:val="auto"/>
          <w:sz w:val="24"/>
          <w:szCs w:val="24"/>
          <w:highlight w:val="none"/>
        </w:rPr>
        <w:t>1.2</w:t>
      </w:r>
      <w:r>
        <w:rPr>
          <w:rFonts w:hint="eastAsia" w:ascii="宋体" w:hAnsi="宋体"/>
          <w:color w:val="auto"/>
          <w:sz w:val="24"/>
          <w:szCs w:val="24"/>
          <w:highlight w:val="none"/>
        </w:rPr>
        <w:t>项目名称：安阳市财政局安阳市执法执勤车辆监管平台运行维护项目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二次</w:t>
      </w:r>
      <w:r>
        <w:rPr>
          <w:rFonts w:hint="eastAsia" w:ascii="宋体" w:hAnsi="宋体"/>
          <w:color w:val="auto"/>
          <w:sz w:val="24"/>
          <w:szCs w:val="24"/>
          <w:highlight w:val="none"/>
          <w:lang w:eastAsia="zh-CN"/>
        </w:rPr>
        <w:t>）</w:t>
      </w:r>
    </w:p>
    <w:p w14:paraId="52F1110D">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1.3采购方式：竞争性磋商</w:t>
      </w:r>
    </w:p>
    <w:p w14:paraId="514CFE0C">
      <w:pPr>
        <w:widowControl w:val="0"/>
        <w:adjustRightInd w:val="0"/>
        <w:snapToGrid w:val="0"/>
        <w:spacing w:line="360" w:lineRule="auto"/>
        <w:ind w:firstLine="540" w:firstLineChars="225"/>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4预算金额：131.58万元</w:t>
      </w:r>
    </w:p>
    <w:p w14:paraId="472C6883">
      <w:pPr>
        <w:adjustRightInd w:val="0"/>
        <w:snapToGrid w:val="0"/>
        <w:spacing w:line="360" w:lineRule="auto"/>
        <w:ind w:firstLine="540" w:firstLineChars="225"/>
        <w:rPr>
          <w:rFonts w:ascii="宋体"/>
          <w:b/>
          <w:color w:val="auto"/>
          <w:szCs w:val="21"/>
          <w:highlight w:val="none"/>
        </w:rPr>
      </w:pPr>
      <w:r>
        <w:rPr>
          <w:rFonts w:hint="eastAsia" w:ascii="宋体" w:hAnsi="宋体"/>
          <w:color w:val="auto"/>
          <w:sz w:val="24"/>
          <w:szCs w:val="24"/>
          <w:highlight w:val="none"/>
        </w:rPr>
        <w:t>1.5采购需求：执法执勤车辆监管平台运行维护服务，技术服务参数详见《磋商文件》“基本技术服务要求”</w:t>
      </w:r>
    </w:p>
    <w:p w14:paraId="3F47E235">
      <w:pPr>
        <w:adjustRightInd w:val="0"/>
        <w:snapToGrid w:val="0"/>
        <w:spacing w:line="360" w:lineRule="auto"/>
        <w:ind w:firstLine="540" w:firstLineChars="225"/>
        <w:rPr>
          <w:color w:val="auto"/>
          <w:sz w:val="24"/>
          <w:szCs w:val="24"/>
          <w:highlight w:val="none"/>
        </w:rPr>
      </w:pPr>
      <w:r>
        <w:rPr>
          <w:rFonts w:hint="eastAsia" w:ascii="宋体" w:hAnsi="宋体"/>
          <w:color w:val="auto"/>
          <w:sz w:val="24"/>
          <w:szCs w:val="24"/>
          <w:highlight w:val="none"/>
        </w:rPr>
        <w:t>1.6合同履行期限：</w:t>
      </w:r>
      <w:r>
        <w:rPr>
          <w:rFonts w:hint="eastAsia"/>
          <w:color w:val="auto"/>
          <w:sz w:val="24"/>
          <w:szCs w:val="24"/>
          <w:highlight w:val="none"/>
        </w:rPr>
        <w:t>合同签订日起</w:t>
      </w:r>
      <w:r>
        <w:rPr>
          <w:rFonts w:hint="eastAsia" w:ascii="宋体" w:hAnsi="宋体"/>
          <w:color w:val="auto"/>
          <w:sz w:val="24"/>
          <w:szCs w:val="24"/>
          <w:highlight w:val="none"/>
        </w:rPr>
        <w:t>3年</w:t>
      </w:r>
    </w:p>
    <w:p w14:paraId="5911D604">
      <w:pPr>
        <w:widowControl w:val="0"/>
        <w:adjustRightInd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1.7本项目（是/否）接受联合体投标：否</w:t>
      </w:r>
    </w:p>
    <w:p w14:paraId="14B4A70B">
      <w:pPr>
        <w:widowControl w:val="0"/>
        <w:adjustRightInd w:val="0"/>
        <w:snapToGrid w:val="0"/>
        <w:spacing w:line="360" w:lineRule="auto"/>
        <w:ind w:firstLine="540" w:firstLineChars="225"/>
        <w:jc w:val="left"/>
        <w:rPr>
          <w:rFonts w:ascii="宋体"/>
          <w:color w:val="auto"/>
          <w:sz w:val="24"/>
          <w:szCs w:val="24"/>
          <w:highlight w:val="none"/>
        </w:rPr>
      </w:pPr>
      <w:r>
        <w:rPr>
          <w:rFonts w:hint="eastAsia" w:ascii="宋体" w:hAnsi="宋体"/>
          <w:color w:val="auto"/>
          <w:sz w:val="24"/>
          <w:szCs w:val="24"/>
          <w:highlight w:val="none"/>
        </w:rPr>
        <w:t>1.8是否接受进口产品：否</w:t>
      </w:r>
    </w:p>
    <w:p w14:paraId="3E90C861">
      <w:pPr>
        <w:widowControl w:val="0"/>
        <w:snapToGrid w:val="0"/>
        <w:spacing w:line="360" w:lineRule="auto"/>
        <w:ind w:firstLine="566"/>
        <w:rPr>
          <w:color w:val="auto"/>
          <w:sz w:val="28"/>
          <w:szCs w:val="28"/>
          <w:highlight w:val="none"/>
        </w:rPr>
      </w:pPr>
    </w:p>
    <w:p w14:paraId="2760D6A9">
      <w:pPr>
        <w:widowControl w:val="0"/>
        <w:snapToGrid w:val="0"/>
        <w:spacing w:line="360" w:lineRule="auto"/>
        <w:ind w:firstLine="562" w:firstLineChars="200"/>
        <w:rPr>
          <w:rFonts w:ascii="黑体" w:hAnsi="黑体" w:eastAsia="黑体"/>
          <w:b/>
          <w:color w:val="auto"/>
          <w:sz w:val="28"/>
          <w:szCs w:val="28"/>
          <w:highlight w:val="none"/>
        </w:rPr>
      </w:pPr>
      <w:bookmarkStart w:id="1" w:name="_Toc35393791"/>
      <w:bookmarkStart w:id="2" w:name="_Toc28359080"/>
      <w:bookmarkStart w:id="3" w:name="_Toc28359003"/>
      <w:bookmarkStart w:id="4" w:name="_Toc35393622"/>
      <w:r>
        <w:rPr>
          <w:rFonts w:hint="eastAsia" w:ascii="黑体" w:hAnsi="黑体" w:eastAsia="黑体"/>
          <w:b/>
          <w:color w:val="auto"/>
          <w:sz w:val="28"/>
          <w:szCs w:val="28"/>
          <w:highlight w:val="none"/>
        </w:rPr>
        <w:t>2.申请人的资格要求：</w:t>
      </w:r>
      <w:bookmarkEnd w:id="1"/>
      <w:bookmarkEnd w:id="2"/>
      <w:bookmarkEnd w:id="3"/>
      <w:bookmarkEnd w:id="4"/>
    </w:p>
    <w:p w14:paraId="34223C5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2.1满足《中华人民共和国政府采购法》第二十二条规定；</w:t>
      </w:r>
    </w:p>
    <w:p w14:paraId="0EBFFE2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落实政府采购政策需满足的资格要求：无专项资格要求。</w:t>
      </w:r>
    </w:p>
    <w:p w14:paraId="79D20AA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2.3本项目的特定资格要求：</w:t>
      </w:r>
    </w:p>
    <w:p w14:paraId="0638C02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.1</w:t>
      </w:r>
      <w:r>
        <w:rPr>
          <w:rFonts w:hint="eastAsia" w:ascii="宋体" w:hAnsi="宋体"/>
          <w:color w:val="auto"/>
          <w:sz w:val="24"/>
          <w:szCs w:val="24"/>
          <w:highlight w:val="none"/>
        </w:rPr>
        <w:t>满足《中华人民共和国政府采购法》第二十二条第</w:t>
      </w:r>
      <w:r>
        <w:rPr>
          <w:rFonts w:ascii="宋体" w:hAnsi="宋体"/>
          <w:color w:val="auto"/>
          <w:sz w:val="24"/>
          <w:szCs w:val="24"/>
          <w:highlight w:val="none"/>
        </w:rPr>
        <w:t>一款</w:t>
      </w:r>
      <w:r>
        <w:rPr>
          <w:rFonts w:hint="eastAsia" w:ascii="宋体" w:hAnsi="宋体"/>
          <w:color w:val="auto"/>
          <w:sz w:val="24"/>
          <w:szCs w:val="24"/>
          <w:highlight w:val="none"/>
        </w:rPr>
        <w:t>规定的</w:t>
      </w:r>
      <w:r>
        <w:rPr>
          <w:rFonts w:ascii="宋体" w:hAnsi="宋体"/>
          <w:color w:val="auto"/>
          <w:sz w:val="24"/>
          <w:szCs w:val="24"/>
          <w:highlight w:val="none"/>
        </w:rPr>
        <w:t>供应商基础性</w:t>
      </w:r>
      <w:r>
        <w:rPr>
          <w:rFonts w:hint="eastAsia" w:ascii="宋体" w:hAnsi="宋体"/>
          <w:color w:val="auto"/>
          <w:sz w:val="24"/>
          <w:szCs w:val="24"/>
          <w:highlight w:val="none"/>
        </w:rPr>
        <w:t>资格要求；供应商自行承诺并承担后果，承诺书不实的，按《政府采购法》有关提供虚假材料的有关规定给予处罚。</w:t>
      </w:r>
    </w:p>
    <w:p w14:paraId="1C4B9B6F">
      <w:pPr>
        <w:widowControl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注：据法规释义所述电信行业特殊情况，基础电信业务运营商或广电网络运营商可授权其分公司或分支机构投标；授权其分公司或分支机构投标的，分公司或分支机构应提供总公司授权书，提交的相关资格、符合性等证明材料（文件）可提供总公司相关材料（文件）。</w:t>
      </w:r>
    </w:p>
    <w:p w14:paraId="6CCB1F55">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2对供</w:t>
      </w:r>
      <w:r>
        <w:rPr>
          <w:rFonts w:ascii="宋体" w:hAnsi="宋体"/>
          <w:color w:val="auto"/>
          <w:sz w:val="24"/>
          <w:szCs w:val="24"/>
          <w:highlight w:val="none"/>
        </w:rPr>
        <w:t>应商的限制性规定</w:t>
      </w:r>
    </w:p>
    <w:p w14:paraId="10A868B5">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（1）供应商应当无不良信用记录。</w:t>
      </w:r>
      <w:r>
        <w:rPr>
          <w:rFonts w:ascii="宋体" w:hAnsi="宋体"/>
          <w:color w:val="auto"/>
          <w:sz w:val="24"/>
          <w:szCs w:val="24"/>
          <w:highlight w:val="none"/>
        </w:rPr>
        <w:t>(</w:t>
      </w:r>
      <w:r>
        <w:rPr>
          <w:rFonts w:hint="eastAsia" w:ascii="宋体" w:hAnsi="宋体"/>
          <w:color w:val="auto"/>
          <w:sz w:val="24"/>
          <w:szCs w:val="24"/>
          <w:highlight w:val="none"/>
        </w:rPr>
        <w:t>在“信用中国”</w:t>
      </w:r>
      <w:r>
        <w:rPr>
          <w:rFonts w:ascii="宋体" w:hAnsi="宋体"/>
          <w:color w:val="auto"/>
          <w:sz w:val="24"/>
          <w:szCs w:val="24"/>
          <w:highlight w:val="none"/>
        </w:rPr>
        <w:t>&lt;www.creditchina.gov.cn&gt;</w:t>
      </w:r>
      <w:r>
        <w:rPr>
          <w:rFonts w:hint="eastAsia" w:ascii="宋体" w:hAnsi="宋体"/>
          <w:color w:val="auto"/>
          <w:sz w:val="24"/>
          <w:szCs w:val="24"/>
          <w:highlight w:val="none"/>
        </w:rPr>
        <w:t>网站的“失信被执行人”和“重大税收违法失信主体”及“中国政府采购网”</w:t>
      </w:r>
      <w:r>
        <w:rPr>
          <w:rFonts w:ascii="宋体" w:hAnsi="宋体"/>
          <w:color w:val="auto"/>
          <w:sz w:val="24"/>
          <w:szCs w:val="24"/>
          <w:highlight w:val="none"/>
        </w:rPr>
        <w:t>&lt;www.ccgp.gov.cn&gt;</w:t>
      </w:r>
      <w:r>
        <w:rPr>
          <w:rFonts w:hint="eastAsia" w:ascii="宋体" w:hAnsi="宋体"/>
          <w:color w:val="auto"/>
          <w:sz w:val="24"/>
          <w:szCs w:val="24"/>
          <w:highlight w:val="none"/>
        </w:rPr>
        <w:t>网站的“政府采购严重违法失信行为记录名单”</w:t>
      </w:r>
      <w:r>
        <w:rPr>
          <w:rFonts w:hint="eastAsia" w:ascii="宋体" w:hAnsi="宋体"/>
          <w:b/>
          <w:color w:val="auto"/>
          <w:sz w:val="24"/>
          <w:szCs w:val="24"/>
          <w:highlight w:val="none"/>
        </w:rPr>
        <w:t>均未列入</w:t>
      </w:r>
      <w:r>
        <w:rPr>
          <w:rFonts w:ascii="宋体" w:hAnsi="宋体"/>
          <w:color w:val="auto"/>
          <w:sz w:val="24"/>
          <w:szCs w:val="24"/>
          <w:highlight w:val="none"/>
        </w:rPr>
        <w:t>)</w:t>
      </w:r>
    </w:p>
    <w:p w14:paraId="5FBC5C31">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供应商递交《响应文件》后，采购人或者采购代理机构将按以上信用信息查询渠道在解密《响应文件》之前对参加本项目的供应商信用记录进行查询，供应商有上述任一不良信用记录的，其</w:t>
      </w:r>
      <w:r>
        <w:rPr>
          <w:rFonts w:ascii="宋体" w:hAnsi="宋体"/>
          <w:color w:val="auto"/>
          <w:sz w:val="24"/>
          <w:szCs w:val="24"/>
          <w:highlight w:val="none"/>
        </w:rPr>
        <w:t>投标将被</w:t>
      </w:r>
      <w:r>
        <w:rPr>
          <w:rFonts w:hint="eastAsia" w:ascii="宋体" w:hAnsi="宋体"/>
          <w:color w:val="auto"/>
          <w:sz w:val="24"/>
          <w:szCs w:val="24"/>
          <w:highlight w:val="none"/>
        </w:rPr>
        <w:t>拒</w:t>
      </w:r>
      <w:r>
        <w:rPr>
          <w:rFonts w:ascii="宋体" w:hAnsi="宋体"/>
          <w:color w:val="auto"/>
          <w:sz w:val="24"/>
          <w:szCs w:val="24"/>
          <w:highlight w:val="none"/>
        </w:rPr>
        <w:t>绝</w:t>
      </w:r>
      <w:r>
        <w:rPr>
          <w:rFonts w:hint="eastAsia" w:ascii="宋体" w:hAnsi="宋体"/>
          <w:color w:val="auto"/>
          <w:sz w:val="24"/>
          <w:szCs w:val="24"/>
          <w:highlight w:val="none"/>
        </w:rPr>
        <w:t>、</w:t>
      </w:r>
      <w:r>
        <w:rPr>
          <w:rFonts w:ascii="宋体" w:hAnsi="宋体"/>
          <w:color w:val="auto"/>
          <w:sz w:val="24"/>
          <w:szCs w:val="24"/>
          <w:highlight w:val="none"/>
        </w:rPr>
        <w:t>为无效投</w:t>
      </w:r>
      <w:r>
        <w:rPr>
          <w:rFonts w:hint="eastAsia" w:ascii="宋体" w:hAnsi="宋体"/>
          <w:color w:val="auto"/>
          <w:sz w:val="24"/>
          <w:szCs w:val="24"/>
          <w:highlight w:val="none"/>
        </w:rPr>
        <w:t>标。查询的网页内容将以截图或者拍照作为证据留存。</w:t>
      </w:r>
    </w:p>
    <w:p w14:paraId="4F728F41">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单位负责人为同一人或者存在直接控股、管理关系的不同供应商，不得参加本合同项下的政府采购活动。供应商自行承诺并承担后果，承诺书不实的，按《政府采购法》有关提供虚假材料的有关规定给予处罚</w:t>
      </w:r>
    </w:p>
    <w:p w14:paraId="423DB252">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3）为本采购项目提供整体设计、规范编制或者项目管理、监理、检测等服务的供应商，不得再参加本采购项目。供应商自行承诺并承担后果，承诺书不实的，按《政府采购法》有关提供虚假材料的有关规定给予处罚。</w:t>
      </w:r>
    </w:p>
    <w:p w14:paraId="0BE1F79E">
      <w:pPr>
        <w:widowControl w:val="0"/>
        <w:snapToGrid w:val="0"/>
        <w:spacing w:line="360" w:lineRule="auto"/>
        <w:ind w:firstLine="540" w:firstLineChars="225"/>
        <w:rPr>
          <w:color w:val="auto"/>
          <w:highlight w:val="none"/>
        </w:rPr>
      </w:pPr>
      <w:r>
        <w:rPr>
          <w:rFonts w:hint="eastAsia" w:ascii="宋体" w:hAnsi="宋体"/>
          <w:color w:val="auto"/>
          <w:sz w:val="24"/>
          <w:szCs w:val="24"/>
          <w:highlight w:val="none"/>
        </w:rPr>
        <w:t>2.3</w:t>
      </w:r>
      <w:r>
        <w:rPr>
          <w:rFonts w:ascii="宋体" w:hAnsi="宋体"/>
          <w:color w:val="auto"/>
          <w:sz w:val="24"/>
          <w:szCs w:val="24"/>
          <w:highlight w:val="none"/>
        </w:rPr>
        <w:t>.</w:t>
      </w:r>
      <w:r>
        <w:rPr>
          <w:rFonts w:hint="eastAsia" w:ascii="宋体" w:hAnsi="宋体"/>
          <w:color w:val="auto"/>
          <w:sz w:val="24"/>
          <w:szCs w:val="24"/>
          <w:highlight w:val="none"/>
        </w:rPr>
        <w:t>3项目的特定资格要求：</w:t>
      </w:r>
    </w:p>
    <w:p w14:paraId="0D71A911">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（1）具备法律、行政法规规定的其他条件。</w:t>
      </w:r>
    </w:p>
    <w:p w14:paraId="7B5E8632">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（2）本项目（是/否）接受联合体投标：同“项目基本情况”1.7款要求。</w:t>
      </w:r>
    </w:p>
    <w:p w14:paraId="52A6614A">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注：（1）所有证照均应为有效的证照；文中“近”、“前”指距投标截止时间。</w:t>
      </w:r>
    </w:p>
    <w:p w14:paraId="00237960">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（2）资格证明材料（文件）应附于《响应文件》中并经供应商</w:t>
      </w:r>
      <w:r>
        <w:rPr>
          <w:rFonts w:hint="eastAsia" w:ascii="宋体" w:hAnsi="宋体" w:cs="楷体_GB2312"/>
          <w:color w:val="auto"/>
          <w:sz w:val="24"/>
          <w:highlight w:val="none"/>
        </w:rPr>
        <w:t>电子签章</w:t>
      </w:r>
      <w:r>
        <w:rPr>
          <w:rFonts w:hint="eastAsia"/>
          <w:color w:val="auto"/>
          <w:sz w:val="24"/>
          <w:szCs w:val="24"/>
          <w:highlight w:val="none"/>
        </w:rPr>
        <w:t>。供应商对资格证明文件真实性有效合规承担责任，提供虚假材料的为无效投标并将进一步追究其责任。</w:t>
      </w:r>
    </w:p>
    <w:p w14:paraId="71FC99BE">
      <w:pPr>
        <w:pStyle w:val="8"/>
        <w:shd w:val="clear" w:color="auto" w:fill="FFFFFF"/>
        <w:adjustRightInd w:val="0"/>
        <w:spacing w:before="50" w:beforeAutospacing="0" w:after="0" w:afterAutospacing="0" w:line="300" w:lineRule="auto"/>
        <w:ind w:firstLine="540" w:firstLineChars="225"/>
        <w:rPr>
          <w:color w:val="auto"/>
          <w:highlight w:val="none"/>
        </w:rPr>
      </w:pPr>
      <w:r>
        <w:rPr>
          <w:rFonts w:hint="eastAsia"/>
          <w:color w:val="auto"/>
          <w:highlight w:val="none"/>
        </w:rPr>
        <w:t>（3）本项目采取资格后审，开标后，将由磋商小组对供应商的资格证明材料（文件）进行资格审核，未按要求逐一提供、或资格审查不合格的为无效投标，供应商应自负其风险费用。</w:t>
      </w:r>
    </w:p>
    <w:p w14:paraId="7B1599DA">
      <w:pPr>
        <w:widowControl w:val="0"/>
        <w:adjustRightInd w:val="0"/>
        <w:snapToGrid w:val="0"/>
        <w:spacing w:line="360" w:lineRule="auto"/>
        <w:ind w:firstLine="540" w:firstLineChars="225"/>
        <w:jc w:val="left"/>
        <w:rPr>
          <w:rFonts w:ascii="宋体"/>
          <w:color w:val="auto"/>
          <w:sz w:val="24"/>
          <w:szCs w:val="24"/>
          <w:highlight w:val="none"/>
        </w:rPr>
      </w:pPr>
    </w:p>
    <w:p w14:paraId="01C65E2D">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3</w:t>
      </w:r>
      <w:r>
        <w:rPr>
          <w:rFonts w:hint="eastAsia" w:ascii="黑体" w:hAnsi="黑体" w:eastAsia="黑体"/>
          <w:b/>
          <w:color w:val="auto"/>
          <w:sz w:val="28"/>
          <w:szCs w:val="28"/>
          <w:highlight w:val="none"/>
        </w:rPr>
        <w:t>．获取磋商文件</w:t>
      </w:r>
    </w:p>
    <w:p w14:paraId="333C7B49">
      <w:pPr>
        <w:snapToGrid w:val="0"/>
        <w:spacing w:line="360" w:lineRule="auto"/>
        <w:ind w:firstLine="540" w:firstLineChars="225"/>
        <w:jc w:val="left"/>
        <w:rPr>
          <w:b/>
          <w:bCs/>
          <w:color w:val="auto"/>
          <w:sz w:val="24"/>
          <w:szCs w:val="24"/>
          <w:highlight w:val="none"/>
        </w:rPr>
      </w:pPr>
      <w:r>
        <w:rPr>
          <w:rFonts w:hint="eastAsia" w:ascii="宋体" w:hAnsi="宋体"/>
          <w:color w:val="auto"/>
          <w:sz w:val="24"/>
          <w:szCs w:val="24"/>
          <w:highlight w:val="none"/>
        </w:rPr>
        <w:t>3.1</w:t>
      </w:r>
      <w:r>
        <w:rPr>
          <w:rFonts w:hint="eastAsia"/>
          <w:color w:val="auto"/>
          <w:sz w:val="24"/>
          <w:szCs w:val="24"/>
          <w:highlight w:val="none"/>
        </w:rPr>
        <w:t>时间：</w:t>
      </w:r>
      <w:r>
        <w:rPr>
          <w:rFonts w:hint="eastAsia"/>
          <w:color w:val="auto"/>
          <w:sz w:val="24"/>
          <w:szCs w:val="24"/>
          <w:highlight w:val="none"/>
          <w:u w:val="single"/>
          <w:lang w:val="en-US" w:eastAsia="zh-CN"/>
        </w:rPr>
        <w:t>2025</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12</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17</w:t>
      </w:r>
      <w:r>
        <w:rPr>
          <w:rFonts w:hint="eastAsia"/>
          <w:color w:val="auto"/>
          <w:sz w:val="24"/>
          <w:szCs w:val="24"/>
          <w:highlight w:val="none"/>
          <w:u w:val="single"/>
        </w:rPr>
        <w:t xml:space="preserve"> </w:t>
      </w:r>
      <w:r>
        <w:rPr>
          <w:rFonts w:hint="eastAsia"/>
          <w:color w:val="auto"/>
          <w:sz w:val="24"/>
          <w:szCs w:val="24"/>
          <w:highlight w:val="none"/>
        </w:rPr>
        <w:t>日至</w:t>
      </w:r>
      <w:r>
        <w:rPr>
          <w:rFonts w:hint="eastAsia"/>
          <w:color w:val="auto"/>
          <w:sz w:val="24"/>
          <w:szCs w:val="24"/>
          <w:highlight w:val="none"/>
          <w:u w:val="single"/>
          <w:lang w:val="en-US" w:eastAsia="zh-CN"/>
        </w:rPr>
        <w:t>2025</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12</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23</w:t>
      </w:r>
      <w:r>
        <w:rPr>
          <w:rFonts w:hint="eastAsia"/>
          <w:color w:val="auto"/>
          <w:sz w:val="24"/>
          <w:szCs w:val="24"/>
          <w:highlight w:val="none"/>
          <w:u w:val="single"/>
        </w:rPr>
        <w:t xml:space="preserve"> </w:t>
      </w:r>
      <w:r>
        <w:rPr>
          <w:rFonts w:hint="eastAsia"/>
          <w:color w:val="auto"/>
          <w:sz w:val="24"/>
          <w:szCs w:val="24"/>
          <w:highlight w:val="none"/>
        </w:rPr>
        <w:t>日，每天上午</w:t>
      </w:r>
      <w:r>
        <w:rPr>
          <w:rFonts w:hint="eastAsia"/>
          <w:color w:val="auto"/>
          <w:sz w:val="24"/>
          <w:szCs w:val="24"/>
          <w:highlight w:val="none"/>
          <w:u w:val="single"/>
          <w:lang w:val="en-US" w:eastAsia="zh-CN"/>
        </w:rPr>
        <w:t>00：00</w:t>
      </w:r>
      <w:r>
        <w:rPr>
          <w:rFonts w:hint="eastAsia"/>
          <w:color w:val="auto"/>
          <w:sz w:val="24"/>
          <w:szCs w:val="24"/>
          <w:highlight w:val="none"/>
        </w:rPr>
        <w:t>至</w:t>
      </w:r>
      <w:r>
        <w:rPr>
          <w:rFonts w:hint="eastAsia"/>
          <w:color w:val="auto"/>
          <w:sz w:val="24"/>
          <w:szCs w:val="24"/>
          <w:highlight w:val="none"/>
          <w:u w:val="single"/>
          <w:lang w:val="en-US" w:eastAsia="zh-CN"/>
        </w:rPr>
        <w:t>12：00</w:t>
      </w:r>
      <w:r>
        <w:rPr>
          <w:rFonts w:hint="eastAsia"/>
          <w:color w:val="auto"/>
          <w:sz w:val="24"/>
          <w:szCs w:val="24"/>
          <w:highlight w:val="none"/>
        </w:rPr>
        <w:t>，下午</w:t>
      </w:r>
      <w:r>
        <w:rPr>
          <w:rFonts w:hint="eastAsia"/>
          <w:color w:val="auto"/>
          <w:sz w:val="24"/>
          <w:szCs w:val="24"/>
          <w:highlight w:val="none"/>
          <w:u w:val="single"/>
          <w:lang w:val="en-US" w:eastAsia="zh-CN"/>
        </w:rPr>
        <w:t>12：00</w:t>
      </w:r>
      <w:r>
        <w:rPr>
          <w:rFonts w:hint="eastAsia"/>
          <w:color w:val="auto"/>
          <w:sz w:val="24"/>
          <w:szCs w:val="24"/>
          <w:highlight w:val="none"/>
        </w:rPr>
        <w:t>至</w:t>
      </w:r>
      <w:r>
        <w:rPr>
          <w:rFonts w:hint="eastAsia"/>
          <w:color w:val="auto"/>
          <w:sz w:val="24"/>
          <w:szCs w:val="24"/>
          <w:highlight w:val="none"/>
          <w:u w:val="single"/>
          <w:lang w:val="en-US" w:eastAsia="zh-CN"/>
        </w:rPr>
        <w:t>23：59</w:t>
      </w:r>
      <w:r>
        <w:rPr>
          <w:rFonts w:hint="eastAsia"/>
          <w:color w:val="auto"/>
          <w:sz w:val="24"/>
          <w:szCs w:val="24"/>
          <w:highlight w:val="none"/>
        </w:rPr>
        <w:t>（北京时间，</w:t>
      </w:r>
      <w:r>
        <w:rPr>
          <w:color w:val="auto"/>
          <w:sz w:val="24"/>
          <w:szCs w:val="24"/>
          <w:highlight w:val="none"/>
        </w:rPr>
        <w:t>法定节假日</w:t>
      </w:r>
      <w:r>
        <w:rPr>
          <w:rFonts w:hint="eastAsia"/>
          <w:color w:val="auto"/>
          <w:sz w:val="24"/>
          <w:szCs w:val="24"/>
          <w:highlight w:val="none"/>
        </w:rPr>
        <w:t>除外）</w:t>
      </w:r>
    </w:p>
    <w:p w14:paraId="7E9A7800">
      <w:pPr>
        <w:widowControl w:val="0"/>
        <w:snapToGrid w:val="0"/>
        <w:spacing w:line="360" w:lineRule="auto"/>
        <w:ind w:left="55" w:leftChars="26" w:firstLine="540" w:firstLineChars="225"/>
        <w:rPr>
          <w:rFonts w:ascii="宋体" w:hAnsi="宋体"/>
          <w:b/>
          <w:color w:val="auto"/>
          <w:sz w:val="24"/>
          <w:szCs w:val="24"/>
          <w:highlight w:val="none"/>
        </w:rPr>
      </w:pPr>
      <w:r>
        <w:rPr>
          <w:rFonts w:hint="eastAsia" w:ascii="宋体" w:hAnsi="宋体"/>
          <w:color w:val="auto"/>
          <w:sz w:val="24"/>
          <w:szCs w:val="24"/>
          <w:highlight w:val="none"/>
        </w:rPr>
        <w:t>3.2地点</w:t>
      </w:r>
      <w:r>
        <w:rPr>
          <w:rFonts w:hint="eastAsia"/>
          <w:color w:val="auto"/>
          <w:sz w:val="24"/>
          <w:szCs w:val="24"/>
          <w:highlight w:val="none"/>
        </w:rPr>
        <w:t>：</w:t>
      </w:r>
      <w:r>
        <w:rPr>
          <w:rFonts w:hint="eastAsia"/>
          <w:b/>
          <w:bCs/>
          <w:color w:val="auto"/>
          <w:sz w:val="24"/>
          <w:szCs w:val="24"/>
          <w:highlight w:val="none"/>
        </w:rPr>
        <w:t>登陆</w:t>
      </w:r>
      <w:r>
        <w:rPr>
          <w:rFonts w:hint="eastAsia"/>
          <w:b/>
          <w:bCs/>
          <w:color w:val="auto"/>
          <w:sz w:val="24"/>
          <w:szCs w:val="24"/>
          <w:highlight w:val="none"/>
          <w:lang w:val="en-US" w:eastAsia="zh-CN"/>
        </w:rPr>
        <w:t>安阳</w:t>
      </w:r>
      <w:r>
        <w:rPr>
          <w:rFonts w:hint="eastAsia"/>
          <w:b/>
          <w:bCs/>
          <w:color w:val="auto"/>
          <w:sz w:val="24"/>
          <w:szCs w:val="24"/>
          <w:highlight w:val="none"/>
        </w:rPr>
        <w:t>市公共资源交易中心网站（</w:t>
      </w:r>
      <w:r>
        <w:rPr>
          <w:b/>
          <w:bCs/>
          <w:color w:val="auto"/>
          <w:sz w:val="24"/>
          <w:szCs w:val="24"/>
          <w:highlight w:val="none"/>
        </w:rPr>
        <w:t>https</w:t>
      </w:r>
      <w:r>
        <w:rPr>
          <w:rFonts w:hint="eastAsia"/>
          <w:b/>
          <w:bCs/>
          <w:color w:val="auto"/>
          <w:sz w:val="24"/>
          <w:szCs w:val="24"/>
          <w:highlight w:val="none"/>
        </w:rPr>
        <w:t>：</w:t>
      </w:r>
      <w:r>
        <w:rPr>
          <w:b/>
          <w:bCs/>
          <w:color w:val="auto"/>
          <w:sz w:val="24"/>
          <w:szCs w:val="24"/>
          <w:highlight w:val="none"/>
        </w:rPr>
        <w:t>//ggzy.anyang.gov.cn</w:t>
      </w:r>
      <w:r>
        <w:rPr>
          <w:rFonts w:hint="eastAsia"/>
          <w:b/>
          <w:bCs/>
          <w:color w:val="auto"/>
          <w:sz w:val="24"/>
          <w:szCs w:val="24"/>
          <w:highlight w:val="none"/>
        </w:rPr>
        <w:t>），在【交易主体登录】入口完成注册。凭数字证书下载磋商文件及其它资料。</w:t>
      </w:r>
    </w:p>
    <w:p w14:paraId="7F2EB581">
      <w:pPr>
        <w:spacing w:line="360" w:lineRule="auto"/>
        <w:ind w:firstLine="540"/>
        <w:rPr>
          <w:b/>
          <w:bCs/>
          <w:color w:val="auto"/>
          <w:sz w:val="24"/>
          <w:szCs w:val="24"/>
          <w:highlight w:val="none"/>
        </w:rPr>
      </w:pPr>
      <w:r>
        <w:rPr>
          <w:rFonts w:hint="eastAsia" w:ascii="宋体" w:hAnsi="宋体"/>
          <w:color w:val="auto"/>
          <w:sz w:val="24"/>
          <w:szCs w:val="24"/>
          <w:highlight w:val="none"/>
        </w:rPr>
        <w:t>3.3方式：</w:t>
      </w:r>
      <w:r>
        <w:rPr>
          <w:rFonts w:hint="eastAsia"/>
          <w:b/>
          <w:bCs/>
          <w:color w:val="auto"/>
          <w:sz w:val="24"/>
          <w:szCs w:val="24"/>
          <w:highlight w:val="none"/>
        </w:rPr>
        <w:t>网上</w:t>
      </w:r>
      <w:r>
        <w:rPr>
          <w:b/>
          <w:bCs/>
          <w:color w:val="auto"/>
          <w:sz w:val="24"/>
          <w:szCs w:val="24"/>
          <w:highlight w:val="none"/>
        </w:rPr>
        <w:t>下载</w:t>
      </w:r>
      <w:r>
        <w:rPr>
          <w:rFonts w:hint="eastAsia"/>
          <w:b/>
          <w:bCs/>
          <w:color w:val="auto"/>
          <w:sz w:val="24"/>
          <w:szCs w:val="24"/>
          <w:highlight w:val="none"/>
        </w:rPr>
        <w:t>；</w:t>
      </w:r>
    </w:p>
    <w:p w14:paraId="24A832CE">
      <w:pPr>
        <w:spacing w:line="360" w:lineRule="auto"/>
        <w:ind w:firstLine="540"/>
        <w:rPr>
          <w:b/>
          <w:bCs/>
          <w:color w:val="auto"/>
          <w:sz w:val="24"/>
          <w:szCs w:val="24"/>
          <w:highlight w:val="none"/>
        </w:rPr>
      </w:pPr>
      <w:r>
        <w:rPr>
          <w:rFonts w:hint="eastAsia"/>
          <w:b/>
          <w:bCs/>
          <w:color w:val="auto"/>
          <w:sz w:val="24"/>
          <w:szCs w:val="24"/>
          <w:highlight w:val="none"/>
        </w:rPr>
        <w:t>具体流程请查询</w:t>
      </w:r>
      <w:r>
        <w:rPr>
          <w:rFonts w:hint="eastAsia"/>
          <w:b/>
          <w:bCs/>
          <w:color w:val="auto"/>
          <w:sz w:val="24"/>
          <w:szCs w:val="24"/>
          <w:highlight w:val="none"/>
          <w:lang w:val="en-US" w:eastAsia="zh-CN"/>
        </w:rPr>
        <w:t>安阳</w:t>
      </w:r>
      <w:r>
        <w:rPr>
          <w:rFonts w:hint="eastAsia"/>
          <w:b/>
          <w:bCs/>
          <w:color w:val="auto"/>
          <w:sz w:val="24"/>
          <w:szCs w:val="24"/>
          <w:highlight w:val="none"/>
        </w:rPr>
        <w:t>市公共资源交易中心网站-服务指南-操作手册-《</w:t>
      </w:r>
      <w:r>
        <w:rPr>
          <w:rFonts w:hint="eastAsia"/>
          <w:b/>
          <w:bCs/>
          <w:color w:val="auto"/>
          <w:sz w:val="24"/>
          <w:szCs w:val="24"/>
          <w:highlight w:val="none"/>
          <w:lang w:val="en-US" w:eastAsia="zh-CN"/>
        </w:rPr>
        <w:t>安阳</w:t>
      </w:r>
      <w:r>
        <w:rPr>
          <w:rFonts w:hint="eastAsia"/>
          <w:b/>
          <w:bCs/>
          <w:color w:val="auto"/>
          <w:sz w:val="24"/>
          <w:szCs w:val="24"/>
          <w:highlight w:val="none"/>
        </w:rPr>
        <w:t>市公共资源交易系统投标人（供应商）操作手册》。</w:t>
      </w:r>
      <w:r>
        <w:rPr>
          <w:b/>
          <w:bCs/>
          <w:color w:val="auto"/>
          <w:sz w:val="24"/>
          <w:szCs w:val="24"/>
          <w:highlight w:val="none"/>
        </w:rPr>
        <w:t>如有技术问题请咨询</w:t>
      </w:r>
      <w:r>
        <w:rPr>
          <w:rFonts w:hint="eastAsia"/>
          <w:b/>
          <w:bCs/>
          <w:color w:val="auto"/>
          <w:sz w:val="24"/>
          <w:szCs w:val="24"/>
          <w:highlight w:val="none"/>
        </w:rPr>
        <w:t>400-998-0000、0372-3387739。</w:t>
      </w:r>
    </w:p>
    <w:p w14:paraId="0B2A5A68">
      <w:pPr>
        <w:spacing w:line="360" w:lineRule="auto"/>
        <w:ind w:firstLine="540"/>
        <w:rPr>
          <w:rFonts w:ascii="宋体" w:hAnsi="宋体" w:cs="宋体"/>
          <w:color w:val="auto"/>
          <w:sz w:val="24"/>
          <w:szCs w:val="24"/>
          <w:highlight w:val="none"/>
        </w:rPr>
      </w:pPr>
      <w:r>
        <w:rPr>
          <w:rFonts w:hint="eastAsia" w:ascii="宋体" w:hAnsi="宋体"/>
          <w:color w:val="auto"/>
          <w:sz w:val="24"/>
          <w:szCs w:val="24"/>
          <w:highlight w:val="none"/>
        </w:rPr>
        <w:t>3.4售价：</w:t>
      </w:r>
      <w:r>
        <w:rPr>
          <w:rFonts w:hint="eastAsia" w:ascii="宋体" w:hAnsi="宋体" w:cs="宋体"/>
          <w:color w:val="auto"/>
          <w:sz w:val="24"/>
          <w:szCs w:val="24"/>
          <w:highlight w:val="none"/>
        </w:rPr>
        <w:t>0元</w:t>
      </w:r>
    </w:p>
    <w:p w14:paraId="06D4942F">
      <w:pPr>
        <w:widowControl w:val="0"/>
        <w:snapToGrid w:val="0"/>
        <w:spacing w:line="360" w:lineRule="auto"/>
        <w:ind w:left="55" w:leftChars="26" w:firstLine="540" w:firstLineChars="225"/>
        <w:rPr>
          <w:color w:val="auto"/>
          <w:sz w:val="24"/>
          <w:szCs w:val="24"/>
          <w:highlight w:val="none"/>
        </w:rPr>
      </w:pPr>
    </w:p>
    <w:p w14:paraId="28D896F3">
      <w:pPr>
        <w:widowControl w:val="0"/>
        <w:snapToGrid w:val="0"/>
        <w:spacing w:line="360" w:lineRule="auto"/>
        <w:ind w:firstLine="562" w:firstLineChars="200"/>
        <w:rPr>
          <w:rFonts w:ascii="黑体" w:hAnsi="黑体" w:eastAsia="黑体"/>
          <w:b/>
          <w:color w:val="auto"/>
          <w:sz w:val="28"/>
          <w:szCs w:val="28"/>
          <w:highlight w:val="none"/>
        </w:rPr>
      </w:pPr>
      <w:r>
        <w:rPr>
          <w:rFonts w:ascii="黑体" w:hAnsi="黑体" w:eastAsia="黑体"/>
          <w:b/>
          <w:color w:val="auto"/>
          <w:sz w:val="28"/>
          <w:szCs w:val="28"/>
          <w:highlight w:val="none"/>
        </w:rPr>
        <w:t>4</w:t>
      </w:r>
      <w:r>
        <w:rPr>
          <w:rFonts w:hint="eastAsia" w:ascii="黑体" w:hAnsi="黑体" w:eastAsia="黑体"/>
          <w:b/>
          <w:color w:val="auto"/>
          <w:sz w:val="28"/>
          <w:szCs w:val="28"/>
          <w:highlight w:val="none"/>
        </w:rPr>
        <w:t>.首次响应文件提交</w:t>
      </w:r>
    </w:p>
    <w:p w14:paraId="036F646C">
      <w:pPr>
        <w:widowControl w:val="0"/>
        <w:adjustRightInd w:val="0"/>
        <w:spacing w:before="120" w:beforeLines="50" w:line="30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4.1截止时间：2025年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29</w:t>
      </w:r>
      <w:r>
        <w:rPr>
          <w:rFonts w:hint="eastAsia" w:ascii="宋体" w:hAnsi="宋体"/>
          <w:color w:val="auto"/>
          <w:sz w:val="24"/>
          <w:szCs w:val="24"/>
          <w:highlight w:val="none"/>
        </w:rPr>
        <w:t>日09时00分（北京时间）</w:t>
      </w:r>
    </w:p>
    <w:p w14:paraId="0FF73A9C">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4.2地点：于</w:t>
      </w:r>
      <w:r>
        <w:rPr>
          <w:rFonts w:hint="eastAsia"/>
          <w:color w:val="auto"/>
          <w:sz w:val="24"/>
          <w:szCs w:val="24"/>
          <w:highlight w:val="none"/>
          <w:lang w:val="en-US" w:eastAsia="zh-CN"/>
        </w:rPr>
        <w:t>安阳</w:t>
      </w:r>
      <w:r>
        <w:rPr>
          <w:rFonts w:hint="eastAsia"/>
          <w:color w:val="auto"/>
          <w:sz w:val="24"/>
          <w:szCs w:val="24"/>
          <w:highlight w:val="none"/>
        </w:rPr>
        <w:t>市公共资源交易平台网上上传递交、并由供应商在规定时间远程解密。</w:t>
      </w:r>
    </w:p>
    <w:p w14:paraId="794DA2C3">
      <w:pPr>
        <w:widowControl w:val="0"/>
        <w:snapToGrid w:val="0"/>
        <w:spacing w:line="360" w:lineRule="auto"/>
        <w:rPr>
          <w:rFonts w:ascii="微软雅黑" w:hAnsi="微软雅黑" w:eastAsia="微软雅黑"/>
          <w:color w:val="auto"/>
          <w:szCs w:val="21"/>
          <w:highlight w:val="none"/>
        </w:rPr>
      </w:pPr>
    </w:p>
    <w:p w14:paraId="3E266F62">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5.首次响应文件开启</w:t>
      </w:r>
    </w:p>
    <w:p w14:paraId="19322861">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5.1时间：2025年</w:t>
      </w:r>
      <w:r>
        <w:rPr>
          <w:rFonts w:hint="eastAsia"/>
          <w:color w:val="auto"/>
          <w:sz w:val="24"/>
          <w:szCs w:val="24"/>
          <w:highlight w:val="none"/>
          <w:lang w:val="en-US" w:eastAsia="zh-CN"/>
        </w:rPr>
        <w:t>12</w:t>
      </w:r>
      <w:r>
        <w:rPr>
          <w:rFonts w:hint="eastAsia"/>
          <w:color w:val="auto"/>
          <w:sz w:val="24"/>
          <w:szCs w:val="24"/>
          <w:highlight w:val="none"/>
        </w:rPr>
        <w:t>月</w:t>
      </w:r>
      <w:r>
        <w:rPr>
          <w:rFonts w:hint="eastAsia"/>
          <w:color w:val="auto"/>
          <w:sz w:val="24"/>
          <w:szCs w:val="24"/>
          <w:highlight w:val="none"/>
          <w:lang w:val="en-US" w:eastAsia="zh-CN"/>
        </w:rPr>
        <w:t>29</w:t>
      </w:r>
      <w:r>
        <w:rPr>
          <w:rFonts w:hint="eastAsia"/>
          <w:color w:val="auto"/>
          <w:sz w:val="24"/>
          <w:szCs w:val="24"/>
          <w:highlight w:val="none"/>
        </w:rPr>
        <w:t>日09时00分（北京时间）</w:t>
      </w:r>
    </w:p>
    <w:p w14:paraId="617E72DC">
      <w:pPr>
        <w:widowControl w:val="0"/>
        <w:adjustRightInd w:val="0"/>
        <w:spacing w:before="120" w:beforeLines="50" w:line="300" w:lineRule="auto"/>
        <w:ind w:firstLine="540" w:firstLineChars="225"/>
        <w:rPr>
          <w:color w:val="auto"/>
          <w:sz w:val="24"/>
          <w:szCs w:val="24"/>
          <w:highlight w:val="none"/>
        </w:rPr>
      </w:pPr>
      <w:r>
        <w:rPr>
          <w:rFonts w:hint="eastAsia"/>
          <w:color w:val="auto"/>
          <w:sz w:val="24"/>
          <w:szCs w:val="24"/>
          <w:highlight w:val="none"/>
        </w:rPr>
        <w:t>5.2地点（管理员网上操作地点）：</w:t>
      </w:r>
      <w:r>
        <w:rPr>
          <w:rFonts w:hint="eastAsia"/>
          <w:color w:val="auto"/>
          <w:sz w:val="24"/>
          <w:szCs w:val="24"/>
          <w:highlight w:val="none"/>
          <w:lang w:eastAsia="zh-CN"/>
        </w:rPr>
        <w:t>安阳</w:t>
      </w:r>
      <w:r>
        <w:rPr>
          <w:rFonts w:hint="eastAsia"/>
          <w:color w:val="auto"/>
          <w:sz w:val="24"/>
          <w:szCs w:val="24"/>
          <w:highlight w:val="none"/>
        </w:rPr>
        <w:t>市公共资源交易中心五楼集中开标大厅</w:t>
      </w:r>
      <w:r>
        <w:rPr>
          <w:rFonts w:hint="eastAsia"/>
          <w:color w:val="auto"/>
          <w:sz w:val="24"/>
          <w:szCs w:val="24"/>
          <w:highlight w:val="none"/>
          <w:lang w:val="en-US" w:eastAsia="zh-CN"/>
        </w:rPr>
        <w:t>4</w:t>
      </w:r>
      <w:r>
        <w:rPr>
          <w:rFonts w:hint="eastAsia"/>
          <w:color w:val="auto"/>
          <w:sz w:val="24"/>
          <w:szCs w:val="24"/>
          <w:highlight w:val="none"/>
        </w:rPr>
        <w:t>室（</w:t>
      </w:r>
      <w:r>
        <w:rPr>
          <w:rFonts w:hint="eastAsia"/>
          <w:color w:val="auto"/>
          <w:sz w:val="24"/>
          <w:szCs w:val="24"/>
          <w:highlight w:val="none"/>
          <w:lang w:eastAsia="zh-CN"/>
        </w:rPr>
        <w:t>安阳</w:t>
      </w:r>
      <w:r>
        <w:rPr>
          <w:rFonts w:hint="eastAsia"/>
          <w:color w:val="auto"/>
          <w:sz w:val="24"/>
          <w:szCs w:val="24"/>
          <w:highlight w:val="none"/>
        </w:rPr>
        <w:t>市文峰大道东段559号</w:t>
      </w:r>
      <w:r>
        <w:rPr>
          <w:rFonts w:hint="eastAsia"/>
          <w:color w:val="auto"/>
          <w:sz w:val="24"/>
          <w:szCs w:val="24"/>
          <w:highlight w:val="none"/>
          <w:lang w:eastAsia="zh-CN"/>
        </w:rPr>
        <w:t>安阳</w:t>
      </w:r>
      <w:r>
        <w:rPr>
          <w:rFonts w:hint="eastAsia"/>
          <w:color w:val="auto"/>
          <w:sz w:val="24"/>
          <w:szCs w:val="24"/>
          <w:highlight w:val="none"/>
        </w:rPr>
        <w:t>市民之家）。</w:t>
      </w:r>
    </w:p>
    <w:p w14:paraId="20E3178A">
      <w:pPr>
        <w:widowControl w:val="0"/>
        <w:adjustRightInd w:val="0"/>
        <w:spacing w:before="120" w:beforeLines="50" w:line="300" w:lineRule="auto"/>
        <w:ind w:firstLine="540" w:firstLineChars="225"/>
        <w:rPr>
          <w:b/>
          <w:bCs/>
          <w:color w:val="auto"/>
          <w:sz w:val="24"/>
          <w:szCs w:val="24"/>
          <w:highlight w:val="none"/>
        </w:rPr>
      </w:pPr>
      <w:r>
        <w:rPr>
          <w:rFonts w:hint="eastAsia" w:ascii="宋体" w:hAnsi="宋体"/>
          <w:color w:val="auto"/>
          <w:sz w:val="24"/>
          <w:szCs w:val="24"/>
          <w:highlight w:val="none"/>
        </w:rPr>
        <w:t>5.3</w:t>
      </w:r>
      <w:r>
        <w:rPr>
          <w:b/>
          <w:bCs/>
          <w:color w:val="auto"/>
          <w:sz w:val="24"/>
          <w:szCs w:val="24"/>
          <w:highlight w:val="none"/>
        </w:rPr>
        <w:t>本项目采用远程不见面交易的模式，开标当日，</w:t>
      </w:r>
      <w:r>
        <w:rPr>
          <w:rFonts w:hint="eastAsia"/>
          <w:b/>
          <w:bCs/>
          <w:color w:val="auto"/>
          <w:sz w:val="24"/>
          <w:szCs w:val="24"/>
          <w:highlight w:val="none"/>
        </w:rPr>
        <w:t>供应商</w:t>
      </w:r>
      <w:r>
        <w:rPr>
          <w:b/>
          <w:bCs/>
          <w:color w:val="auto"/>
          <w:sz w:val="24"/>
          <w:szCs w:val="24"/>
          <w:highlight w:val="none"/>
        </w:rPr>
        <w:t>无需到开标现场参加开标会议，</w:t>
      </w:r>
      <w:r>
        <w:rPr>
          <w:rFonts w:hint="eastAsia"/>
          <w:b/>
          <w:bCs/>
          <w:color w:val="auto"/>
          <w:sz w:val="24"/>
          <w:szCs w:val="24"/>
          <w:highlight w:val="none"/>
        </w:rPr>
        <w:t>供应商</w:t>
      </w:r>
      <w:r>
        <w:rPr>
          <w:b/>
          <w:bCs/>
          <w:color w:val="auto"/>
          <w:sz w:val="24"/>
          <w:szCs w:val="24"/>
          <w:highlight w:val="none"/>
        </w:rPr>
        <w:t>应当在投标截止时间前，使用IE浏览器登录到</w:t>
      </w:r>
      <w:r>
        <w:rPr>
          <w:rFonts w:hint="eastAsia"/>
          <w:b/>
          <w:bCs/>
          <w:color w:val="auto"/>
          <w:sz w:val="24"/>
          <w:szCs w:val="24"/>
          <w:highlight w:val="none"/>
          <w:lang w:eastAsia="zh-CN"/>
        </w:rPr>
        <w:t>安阳</w:t>
      </w:r>
      <w:r>
        <w:rPr>
          <w:b/>
          <w:bCs/>
          <w:color w:val="auto"/>
          <w:sz w:val="24"/>
          <w:szCs w:val="24"/>
          <w:highlight w:val="none"/>
        </w:rPr>
        <w:t>市公共资源交易不见面开标大厅，点击右上方【登录】按钮进入，在线准时参加开标活动并进行</w:t>
      </w:r>
      <w:r>
        <w:rPr>
          <w:rFonts w:hint="eastAsia"/>
          <w:b/>
          <w:bCs/>
          <w:color w:val="auto"/>
          <w:sz w:val="24"/>
          <w:szCs w:val="24"/>
          <w:highlight w:val="none"/>
        </w:rPr>
        <w:t>响应</w:t>
      </w:r>
      <w:r>
        <w:rPr>
          <w:b/>
          <w:bCs/>
          <w:color w:val="auto"/>
          <w:sz w:val="24"/>
          <w:szCs w:val="24"/>
          <w:highlight w:val="none"/>
        </w:rPr>
        <w:t>文件解密等。因</w:t>
      </w:r>
      <w:r>
        <w:rPr>
          <w:rFonts w:hint="eastAsia"/>
          <w:b/>
          <w:bCs/>
          <w:color w:val="auto"/>
          <w:sz w:val="24"/>
          <w:szCs w:val="24"/>
          <w:highlight w:val="none"/>
        </w:rPr>
        <w:t>供应商</w:t>
      </w:r>
      <w:r>
        <w:rPr>
          <w:b/>
          <w:bCs/>
          <w:color w:val="auto"/>
          <w:sz w:val="24"/>
          <w:szCs w:val="24"/>
          <w:highlight w:val="none"/>
        </w:rPr>
        <w:t>原因未能解密、解密失败或解密超时的将被拒绝。</w:t>
      </w:r>
    </w:p>
    <w:p w14:paraId="3BDE1A16">
      <w:pPr>
        <w:widowControl w:val="0"/>
        <w:snapToGrid w:val="0"/>
        <w:spacing w:line="360" w:lineRule="auto"/>
        <w:rPr>
          <w:rFonts w:ascii="黑体" w:hAnsi="黑体" w:eastAsia="黑体"/>
          <w:b/>
          <w:color w:val="auto"/>
          <w:sz w:val="28"/>
          <w:szCs w:val="28"/>
          <w:highlight w:val="none"/>
        </w:rPr>
      </w:pPr>
    </w:p>
    <w:p w14:paraId="6B16E29F">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6.</w:t>
      </w:r>
      <w:r>
        <w:rPr>
          <w:rFonts w:hint="eastAsia"/>
          <w:color w:val="auto"/>
          <w:highlight w:val="none"/>
        </w:rPr>
        <w:t xml:space="preserve"> </w:t>
      </w:r>
      <w:r>
        <w:rPr>
          <w:rFonts w:hint="eastAsia" w:ascii="黑体" w:hAnsi="黑体" w:eastAsia="黑体"/>
          <w:b/>
          <w:color w:val="auto"/>
          <w:sz w:val="28"/>
          <w:szCs w:val="28"/>
          <w:highlight w:val="none"/>
        </w:rPr>
        <w:t>发布公告的媒介及公告期限</w:t>
      </w:r>
    </w:p>
    <w:p w14:paraId="0D3CCD94">
      <w:pPr>
        <w:widowControl w:val="0"/>
        <w:tabs>
          <w:tab w:val="left" w:pos="39"/>
          <w:tab w:val="left" w:pos="96"/>
        </w:tabs>
        <w:snapToGrid w:val="0"/>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本项目在“河南省政府采购网（</w:t>
      </w:r>
      <w:r>
        <w:rPr>
          <w:rFonts w:hint="eastAsia" w:ascii="宋体" w:hAnsi="宋体"/>
          <w:color w:val="auto"/>
          <w:sz w:val="24"/>
          <w:szCs w:val="24"/>
          <w:highlight w:val="none"/>
          <w:lang w:eastAsia="zh-CN"/>
        </w:rPr>
        <w:t>安阳</w:t>
      </w:r>
      <w:r>
        <w:rPr>
          <w:rFonts w:hint="eastAsia" w:ascii="宋体" w:hAnsi="宋体"/>
          <w:color w:val="auto"/>
          <w:sz w:val="24"/>
          <w:szCs w:val="24"/>
          <w:highlight w:val="none"/>
        </w:rPr>
        <w:t>市政府采购网）”、</w:t>
      </w:r>
      <w:r>
        <w:rPr>
          <w:rFonts w:hint="eastAsia" w:ascii="宋体" w:hAnsi="宋体" w:cs="宋体"/>
          <w:color w:val="auto"/>
          <w:sz w:val="24"/>
          <w:szCs w:val="24"/>
          <w:highlight w:val="none"/>
        </w:rPr>
        <w:t>全国公共资源交易平台（河南省·</w:t>
      </w:r>
      <w:r>
        <w:rPr>
          <w:rFonts w:hint="eastAsia" w:ascii="宋体" w:hAnsi="宋体" w:cs="宋体"/>
          <w:color w:val="auto"/>
          <w:sz w:val="24"/>
          <w:szCs w:val="24"/>
          <w:highlight w:val="none"/>
          <w:lang w:eastAsia="zh-CN"/>
        </w:rPr>
        <w:t>安阳</w:t>
      </w:r>
      <w:r>
        <w:rPr>
          <w:rFonts w:hint="eastAsia" w:ascii="宋体" w:hAnsi="宋体" w:cs="宋体"/>
          <w:color w:val="auto"/>
          <w:sz w:val="24"/>
          <w:szCs w:val="24"/>
          <w:highlight w:val="none"/>
        </w:rPr>
        <w:t>市）</w:t>
      </w:r>
      <w:r>
        <w:rPr>
          <w:rFonts w:hint="eastAsia" w:ascii="宋体" w:hAnsi="宋体"/>
          <w:color w:val="auto"/>
          <w:sz w:val="24"/>
          <w:szCs w:val="24"/>
          <w:highlight w:val="none"/>
          <w:lang w:eastAsia="zh-CN"/>
        </w:rPr>
        <w:t>安阳</w:t>
      </w:r>
      <w:r>
        <w:rPr>
          <w:rFonts w:hint="eastAsia" w:ascii="宋体" w:hAnsi="宋体"/>
          <w:color w:val="auto"/>
          <w:sz w:val="24"/>
          <w:szCs w:val="24"/>
          <w:highlight w:val="none"/>
        </w:rPr>
        <w:t>市公共资源交易中心”</w:t>
      </w:r>
      <w:r>
        <w:rPr>
          <w:rFonts w:hint="eastAsia" w:ascii="宋体" w:hAnsi="宋体" w:cs="宋体"/>
          <w:color w:val="auto"/>
          <w:sz w:val="24"/>
          <w:szCs w:val="24"/>
          <w:highlight w:val="none"/>
        </w:rPr>
        <w:t>、</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招标采购网”网站上同期发布。公告期限为三个工作日</w:t>
      </w:r>
      <w:r>
        <w:rPr>
          <w:rFonts w:hint="eastAsia" w:ascii="宋体" w:hAnsi="宋体" w:cs="宋体"/>
          <w:color w:val="auto"/>
          <w:sz w:val="24"/>
          <w:szCs w:val="24"/>
          <w:highlight w:val="none"/>
        </w:rPr>
        <w:t>。</w:t>
      </w:r>
    </w:p>
    <w:p w14:paraId="1FC90054">
      <w:pPr>
        <w:widowControl w:val="0"/>
        <w:tabs>
          <w:tab w:val="left" w:pos="39"/>
          <w:tab w:val="left" w:pos="96"/>
        </w:tabs>
        <w:snapToGrid w:val="0"/>
        <w:spacing w:line="360" w:lineRule="auto"/>
        <w:ind w:firstLine="663" w:firstLineChars="236"/>
        <w:rPr>
          <w:rFonts w:ascii="黑体" w:hAnsi="黑体" w:eastAsia="黑体"/>
          <w:b/>
          <w:color w:val="auto"/>
          <w:sz w:val="28"/>
          <w:szCs w:val="28"/>
          <w:highlight w:val="none"/>
        </w:rPr>
      </w:pPr>
    </w:p>
    <w:p w14:paraId="6196B27D">
      <w:pPr>
        <w:widowControl w:val="0"/>
        <w:tabs>
          <w:tab w:val="left" w:pos="39"/>
          <w:tab w:val="left" w:pos="96"/>
        </w:tabs>
        <w:snapToGrid w:val="0"/>
        <w:spacing w:line="360" w:lineRule="auto"/>
        <w:ind w:firstLine="663" w:firstLineChars="236"/>
        <w:rPr>
          <w:rFonts w:ascii="黑体" w:hAnsi="黑体" w:eastAsia="黑体"/>
          <w:b/>
          <w:color w:val="auto"/>
          <w:sz w:val="28"/>
          <w:szCs w:val="28"/>
          <w:highlight w:val="none"/>
        </w:rPr>
      </w:pPr>
      <w:r>
        <w:rPr>
          <w:rFonts w:hint="eastAsia" w:ascii="黑体" w:hAnsi="黑体" w:eastAsia="黑体"/>
          <w:b/>
          <w:color w:val="auto"/>
          <w:sz w:val="28"/>
          <w:szCs w:val="28"/>
          <w:highlight w:val="none"/>
        </w:rPr>
        <w:t>7. 其他补充事宜</w:t>
      </w:r>
    </w:p>
    <w:p w14:paraId="0A6DE3C0">
      <w:pPr>
        <w:widowControl w:val="0"/>
        <w:snapToGrid w:val="0"/>
        <w:spacing w:line="360" w:lineRule="auto"/>
        <w:ind w:firstLine="540" w:firstLineChars="225"/>
        <w:jc w:val="left"/>
        <w:rPr>
          <w:color w:val="auto"/>
          <w:sz w:val="24"/>
          <w:szCs w:val="24"/>
          <w:highlight w:val="none"/>
        </w:rPr>
      </w:pPr>
      <w:r>
        <w:rPr>
          <w:rFonts w:hint="eastAsia" w:ascii="宋体" w:hAnsi="宋体"/>
          <w:color w:val="auto"/>
          <w:sz w:val="24"/>
          <w:szCs w:val="24"/>
          <w:highlight w:val="none"/>
        </w:rPr>
        <w:t>7.1项目落实的政府采购政策：</w:t>
      </w:r>
      <w:r>
        <w:rPr>
          <w:rFonts w:hint="eastAsia"/>
          <w:color w:val="auto"/>
          <w:sz w:val="24"/>
          <w:szCs w:val="24"/>
          <w:highlight w:val="none"/>
        </w:rPr>
        <w:t>强制节能产品强制采购、节能产品、环境标志产品优先采购、促进中小企业发展扶持政策、进口产品政策、信息安全产品、社会信用体系建设、促进残疾人就业、支持监狱企业发展、</w:t>
      </w:r>
      <w:r>
        <w:rPr>
          <w:rFonts w:hint="eastAsia" w:ascii="宋体" w:hAnsi="宋体"/>
          <w:color w:val="auto"/>
          <w:sz w:val="24"/>
          <w:szCs w:val="24"/>
          <w:highlight w:val="none"/>
        </w:rPr>
        <w:t>支持绿色建筑、绿色建材，支持不发达、少数民族地区的企业，促进自主创新产业发展，支持脱贫攻坚等</w:t>
      </w:r>
      <w:r>
        <w:rPr>
          <w:rFonts w:hint="eastAsia"/>
          <w:color w:val="auto"/>
          <w:sz w:val="24"/>
          <w:szCs w:val="24"/>
          <w:highlight w:val="none"/>
        </w:rPr>
        <w:t>。</w:t>
      </w:r>
    </w:p>
    <w:p w14:paraId="4D4AD393">
      <w:pPr>
        <w:widowControl w:val="0"/>
        <w:snapToGrid w:val="0"/>
        <w:spacing w:line="360" w:lineRule="auto"/>
        <w:ind w:firstLine="540" w:firstLineChars="225"/>
        <w:jc w:val="left"/>
        <w:rPr>
          <w:rFonts w:ascii="宋体" w:hAnsi="宋体"/>
          <w:color w:val="auto"/>
          <w:sz w:val="24"/>
          <w:szCs w:val="24"/>
          <w:highlight w:val="none"/>
        </w:rPr>
      </w:pPr>
      <w:r>
        <w:rPr>
          <w:rFonts w:hint="eastAsia" w:ascii="宋体" w:hAnsi="宋体"/>
          <w:color w:val="auto"/>
          <w:sz w:val="24"/>
          <w:szCs w:val="24"/>
          <w:highlight w:val="none"/>
        </w:rPr>
        <w:t>7.2政府采购合同融资</w:t>
      </w:r>
    </w:p>
    <w:p w14:paraId="33073B54">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根据豫财购〔2017〕10号和安财购〔2017〕7号文要求，参加政府采购项目的中小微企业供应商，持中标（成交）通知书可向金融机构申请合同融资，详情请登录</w:t>
      </w:r>
      <w:r>
        <w:rPr>
          <w:rFonts w:hint="eastAsia" w:ascii="宋体" w:hAnsi="宋体"/>
          <w:color w:val="auto"/>
          <w:sz w:val="24"/>
          <w:szCs w:val="24"/>
          <w:highlight w:val="none"/>
          <w:lang w:eastAsia="zh-CN"/>
        </w:rPr>
        <w:t>安阳</w:t>
      </w:r>
      <w:r>
        <w:rPr>
          <w:rFonts w:hint="eastAsia" w:ascii="宋体" w:hAnsi="宋体"/>
          <w:color w:val="auto"/>
          <w:sz w:val="24"/>
          <w:szCs w:val="24"/>
          <w:highlight w:val="none"/>
        </w:rPr>
        <w:t>市政府采购网（http：//anyang.hngp.gov.cn/anyang），进入网站飘窗或业务指南窗口了解金融机构提供的融资服务内容。</w:t>
      </w:r>
    </w:p>
    <w:p w14:paraId="6AD0DB45">
      <w:pPr>
        <w:pStyle w:val="8"/>
        <w:shd w:val="clear" w:color="auto" w:fill="FFFFFF"/>
        <w:adjustRightInd w:val="0"/>
        <w:spacing w:before="50" w:beforeAutospacing="0" w:after="0" w:afterAutospacing="0" w:line="300" w:lineRule="auto"/>
        <w:ind w:firstLine="540" w:firstLineChars="225"/>
        <w:rPr>
          <w:rFonts w:cs="Times New Roman"/>
          <w:color w:val="auto"/>
          <w:highlight w:val="none"/>
        </w:rPr>
      </w:pPr>
      <w:bookmarkStart w:id="5" w:name="_Toc35393796"/>
      <w:bookmarkStart w:id="6" w:name="_Toc35393627"/>
      <w:bookmarkStart w:id="7" w:name="_Toc28359008"/>
      <w:bookmarkStart w:id="8" w:name="_Toc28359085"/>
      <w:r>
        <w:rPr>
          <w:rFonts w:hint="eastAsia"/>
          <w:color w:val="auto"/>
          <w:highlight w:val="none"/>
        </w:rPr>
        <w:t>7.3</w:t>
      </w:r>
      <w:r>
        <w:rPr>
          <w:color w:val="auto"/>
          <w:highlight w:val="none"/>
        </w:rPr>
        <w:t>.</w:t>
      </w:r>
      <w:r>
        <w:rPr>
          <w:rFonts w:hint="eastAsia" w:cs="Times New Roman"/>
          <w:color w:val="auto"/>
          <w:highlight w:val="none"/>
        </w:rPr>
        <w:t>网</w:t>
      </w:r>
      <w:r>
        <w:rPr>
          <w:rFonts w:cs="Times New Roman"/>
          <w:color w:val="auto"/>
          <w:highlight w:val="none"/>
        </w:rPr>
        <w:t>上</w:t>
      </w:r>
      <w:r>
        <w:rPr>
          <w:rFonts w:hint="eastAsia" w:cs="Times New Roman"/>
          <w:color w:val="auto"/>
          <w:highlight w:val="none"/>
        </w:rPr>
        <w:t>电子交易系</w:t>
      </w:r>
      <w:r>
        <w:rPr>
          <w:rFonts w:cs="Times New Roman"/>
          <w:color w:val="auto"/>
          <w:highlight w:val="none"/>
        </w:rPr>
        <w:t>统</w:t>
      </w:r>
      <w:r>
        <w:rPr>
          <w:rFonts w:hint="eastAsia" w:cs="Times New Roman"/>
          <w:color w:val="auto"/>
          <w:highlight w:val="none"/>
        </w:rPr>
        <w:t>网</w:t>
      </w:r>
      <w:r>
        <w:rPr>
          <w:rFonts w:cs="Times New Roman"/>
          <w:color w:val="auto"/>
          <w:highlight w:val="none"/>
        </w:rPr>
        <w:t>址</w:t>
      </w:r>
    </w:p>
    <w:p w14:paraId="672C6E47">
      <w:pPr>
        <w:widowControl w:val="0"/>
        <w:tabs>
          <w:tab w:val="left" w:pos="39"/>
          <w:tab w:val="left" w:pos="96"/>
        </w:tabs>
        <w:snapToGrid w:val="0"/>
        <w:spacing w:line="360" w:lineRule="auto"/>
        <w:ind w:firstLine="590" w:firstLineChars="245"/>
        <w:rPr>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1</w:t>
      </w:r>
      <w:r>
        <w:rPr>
          <w:rFonts w:hint="eastAsia" w:ascii="宋体" w:hAnsi="宋体"/>
          <w:b/>
          <w:color w:val="auto"/>
          <w:sz w:val="24"/>
          <w:szCs w:val="24"/>
          <w:highlight w:val="none"/>
        </w:rPr>
        <w:t>全国公共资源交易平</w:t>
      </w:r>
      <w:r>
        <w:rPr>
          <w:rFonts w:ascii="宋体" w:hAnsi="宋体"/>
          <w:b/>
          <w:color w:val="auto"/>
          <w:sz w:val="24"/>
          <w:szCs w:val="24"/>
          <w:highlight w:val="none"/>
        </w:rPr>
        <w:t>台</w:t>
      </w:r>
      <w:r>
        <w:rPr>
          <w:rFonts w:hint="eastAsia" w:ascii="宋体" w:hAnsi="宋体"/>
          <w:b/>
          <w:color w:val="auto"/>
          <w:sz w:val="24"/>
          <w:szCs w:val="24"/>
          <w:highlight w:val="none"/>
        </w:rPr>
        <w:t>（河南</w:t>
      </w:r>
      <w:r>
        <w:rPr>
          <w:rFonts w:ascii="宋体" w:hAnsi="宋体"/>
          <w:b/>
          <w:color w:val="auto"/>
          <w:sz w:val="24"/>
          <w:szCs w:val="24"/>
          <w:highlight w:val="none"/>
        </w:rPr>
        <w:t>省</w:t>
      </w:r>
      <w:r>
        <w:rPr>
          <w:rFonts w:hint="eastAsia" w:ascii="宋体" w:hAnsi="宋体" w:cs="宋体"/>
          <w:color w:val="auto"/>
          <w:sz w:val="24"/>
          <w:szCs w:val="24"/>
          <w:highlight w:val="none"/>
        </w:rPr>
        <w:t>·</w:t>
      </w:r>
      <w:r>
        <w:rPr>
          <w:rFonts w:hint="eastAsia"/>
          <w:b/>
          <w:bCs/>
          <w:color w:val="auto"/>
          <w:sz w:val="24"/>
          <w:szCs w:val="24"/>
          <w:highlight w:val="none"/>
          <w:lang w:val="en-US" w:eastAsia="zh-CN"/>
        </w:rPr>
        <w:t>安阳</w:t>
      </w:r>
      <w:r>
        <w:rPr>
          <w:rFonts w:hint="eastAsia" w:ascii="宋体" w:hAnsi="宋体"/>
          <w:b/>
          <w:color w:val="auto"/>
          <w:sz w:val="24"/>
          <w:szCs w:val="24"/>
          <w:highlight w:val="none"/>
        </w:rPr>
        <w:t>市</w:t>
      </w:r>
      <w:r>
        <w:rPr>
          <w:rFonts w:ascii="宋体" w:hAnsi="宋体"/>
          <w:b/>
          <w:color w:val="auto"/>
          <w:sz w:val="24"/>
          <w:szCs w:val="24"/>
          <w:highlight w:val="none"/>
        </w:rPr>
        <w:t>）</w:t>
      </w:r>
      <w:r>
        <w:rPr>
          <w:color w:val="auto"/>
          <w:highlight w:val="none"/>
        </w:rPr>
        <w:fldChar w:fldCharType="begin"/>
      </w:r>
      <w:r>
        <w:rPr>
          <w:color w:val="auto"/>
          <w:highlight w:val="none"/>
        </w:rPr>
        <w:instrText xml:space="preserve"> HYPERLINK "https://ggzy.anyang.gov.cn" </w:instrText>
      </w:r>
      <w:r>
        <w:rPr>
          <w:color w:val="auto"/>
          <w:highlight w:val="none"/>
        </w:rPr>
        <w:fldChar w:fldCharType="separate"/>
      </w:r>
      <w:r>
        <w:rPr>
          <w:rStyle w:val="12"/>
          <w:color w:val="auto"/>
          <w:sz w:val="24"/>
          <w:szCs w:val="24"/>
          <w:highlight w:val="none"/>
        </w:rPr>
        <w:t>https</w:t>
      </w:r>
      <w:r>
        <w:rPr>
          <w:rStyle w:val="12"/>
          <w:rFonts w:hint="eastAsia"/>
          <w:color w:val="auto"/>
          <w:sz w:val="24"/>
          <w:szCs w:val="24"/>
          <w:highlight w:val="none"/>
        </w:rPr>
        <w:t>：</w:t>
      </w:r>
      <w:r>
        <w:rPr>
          <w:rStyle w:val="12"/>
          <w:color w:val="auto"/>
          <w:sz w:val="24"/>
          <w:szCs w:val="24"/>
          <w:highlight w:val="none"/>
        </w:rPr>
        <w:t>//ggzy.anyang.gov.cn</w:t>
      </w:r>
      <w:r>
        <w:rPr>
          <w:rStyle w:val="12"/>
          <w:color w:val="auto"/>
          <w:sz w:val="24"/>
          <w:szCs w:val="24"/>
          <w:highlight w:val="none"/>
        </w:rPr>
        <w:fldChar w:fldCharType="end"/>
      </w:r>
    </w:p>
    <w:p w14:paraId="6C77F89C">
      <w:pPr>
        <w:widowControl w:val="0"/>
        <w:tabs>
          <w:tab w:val="left" w:pos="39"/>
          <w:tab w:val="left" w:pos="96"/>
        </w:tabs>
        <w:snapToGrid w:val="0"/>
        <w:spacing w:line="360" w:lineRule="auto"/>
        <w:ind w:firstLine="590" w:firstLineChars="245"/>
        <w:rPr>
          <w:rFonts w:ascii="宋体"/>
          <w:b/>
          <w:color w:val="auto"/>
          <w:sz w:val="24"/>
          <w:szCs w:val="24"/>
          <w:highlight w:val="none"/>
        </w:rPr>
      </w:pPr>
      <w:r>
        <w:rPr>
          <w:rFonts w:hint="eastAsia" w:ascii="宋体" w:hAnsi="宋体"/>
          <w:b/>
          <w:color w:val="auto"/>
          <w:sz w:val="24"/>
          <w:szCs w:val="24"/>
          <w:highlight w:val="none"/>
        </w:rPr>
        <w:t>磋商文件</w:t>
      </w:r>
      <w:r>
        <w:rPr>
          <w:rFonts w:ascii="宋体" w:hAnsi="宋体"/>
          <w:b/>
          <w:color w:val="auto"/>
          <w:sz w:val="24"/>
          <w:szCs w:val="24"/>
          <w:highlight w:val="none"/>
        </w:rPr>
        <w:t>简称“</w:t>
      </w:r>
      <w:r>
        <w:rPr>
          <w:rFonts w:hint="eastAsia"/>
          <w:b/>
          <w:bCs/>
          <w:color w:val="auto"/>
          <w:sz w:val="24"/>
          <w:szCs w:val="24"/>
          <w:highlight w:val="none"/>
          <w:lang w:val="en-US" w:eastAsia="zh-CN"/>
        </w:rPr>
        <w:t>安阳</w:t>
      </w:r>
      <w:r>
        <w:rPr>
          <w:rFonts w:hint="eastAsia" w:ascii="宋体" w:hAnsi="宋体"/>
          <w:b/>
          <w:color w:val="auto"/>
          <w:sz w:val="24"/>
          <w:szCs w:val="24"/>
          <w:highlight w:val="none"/>
        </w:rPr>
        <w:t>市公共资源交易平</w:t>
      </w:r>
      <w:r>
        <w:rPr>
          <w:rFonts w:ascii="宋体" w:hAnsi="宋体"/>
          <w:b/>
          <w:color w:val="auto"/>
          <w:sz w:val="24"/>
          <w:szCs w:val="24"/>
          <w:highlight w:val="none"/>
        </w:rPr>
        <w:t>台”</w:t>
      </w:r>
    </w:p>
    <w:p w14:paraId="0A404474">
      <w:pPr>
        <w:widowControl w:val="0"/>
        <w:tabs>
          <w:tab w:val="left" w:pos="39"/>
          <w:tab w:val="left" w:pos="96"/>
        </w:tabs>
        <w:snapToGrid w:val="0"/>
        <w:spacing w:line="360" w:lineRule="auto"/>
        <w:ind w:firstLine="602" w:firstLineChars="250"/>
        <w:rPr>
          <w:rFonts w:ascii="宋体"/>
          <w:b/>
          <w:color w:val="auto"/>
          <w:sz w:val="24"/>
          <w:szCs w:val="24"/>
          <w:highlight w:val="none"/>
        </w:rPr>
      </w:pPr>
      <w:r>
        <w:rPr>
          <w:rFonts w:hint="eastAsia" w:ascii="宋体"/>
          <w:b/>
          <w:color w:val="auto"/>
          <w:sz w:val="24"/>
          <w:szCs w:val="24"/>
          <w:highlight w:val="none"/>
        </w:rPr>
        <w:t>7</w:t>
      </w:r>
      <w:r>
        <w:rPr>
          <w:rFonts w:ascii="宋体"/>
          <w:b/>
          <w:color w:val="auto"/>
          <w:sz w:val="24"/>
          <w:szCs w:val="24"/>
          <w:highlight w:val="none"/>
        </w:rPr>
        <w:t>.</w:t>
      </w:r>
      <w:r>
        <w:rPr>
          <w:rFonts w:hint="eastAsia" w:ascii="宋体"/>
          <w:b/>
          <w:color w:val="auto"/>
          <w:sz w:val="24"/>
          <w:szCs w:val="24"/>
          <w:highlight w:val="none"/>
        </w:rPr>
        <w:t>3.</w:t>
      </w:r>
      <w:r>
        <w:rPr>
          <w:rFonts w:ascii="宋体"/>
          <w:b/>
          <w:color w:val="auto"/>
          <w:sz w:val="24"/>
          <w:szCs w:val="24"/>
          <w:highlight w:val="none"/>
        </w:rPr>
        <w:t>2</w:t>
      </w:r>
      <w:r>
        <w:rPr>
          <w:rFonts w:hint="eastAsia" w:ascii="宋体"/>
          <w:b/>
          <w:color w:val="auto"/>
          <w:sz w:val="24"/>
          <w:szCs w:val="24"/>
          <w:highlight w:val="none"/>
        </w:rPr>
        <w:t>投标文件制作软件：在</w:t>
      </w:r>
      <w:r>
        <w:rPr>
          <w:rFonts w:hint="eastAsia"/>
          <w:b/>
          <w:bCs/>
          <w:color w:val="auto"/>
          <w:sz w:val="24"/>
          <w:szCs w:val="24"/>
          <w:highlight w:val="none"/>
          <w:lang w:val="en-US" w:eastAsia="zh-CN"/>
        </w:rPr>
        <w:t>安阳</w:t>
      </w:r>
      <w:r>
        <w:rPr>
          <w:rFonts w:hint="eastAsia" w:ascii="宋体"/>
          <w:b/>
          <w:color w:val="auto"/>
          <w:sz w:val="24"/>
          <w:szCs w:val="24"/>
          <w:highlight w:val="none"/>
        </w:rPr>
        <w:t>市公共资源交易平台进行下载、并安装投标文件制作工具，查看磋商文件和制作电子投标文件。</w:t>
      </w:r>
    </w:p>
    <w:p w14:paraId="7ADB16F8">
      <w:pPr>
        <w:widowControl w:val="0"/>
        <w:snapToGrid w:val="0"/>
        <w:spacing w:line="360" w:lineRule="auto"/>
        <w:jc w:val="left"/>
        <w:rPr>
          <w:rFonts w:ascii="黑体" w:hAnsi="黑体" w:eastAsia="黑体"/>
          <w:b/>
          <w:color w:val="auto"/>
          <w:sz w:val="28"/>
          <w:szCs w:val="28"/>
          <w:highlight w:val="none"/>
        </w:rPr>
      </w:pPr>
    </w:p>
    <w:p w14:paraId="02985036">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8.凡对本次采购提出询问，请按</w:t>
      </w:r>
      <w:r>
        <w:rPr>
          <w:rFonts w:ascii="黑体" w:hAnsi="黑体" w:eastAsia="黑体"/>
          <w:b/>
          <w:color w:val="auto"/>
          <w:sz w:val="28"/>
          <w:szCs w:val="28"/>
          <w:highlight w:val="none"/>
        </w:rPr>
        <w:t>以下方式</w:t>
      </w:r>
      <w:r>
        <w:rPr>
          <w:rFonts w:hint="eastAsia" w:ascii="黑体" w:hAnsi="黑体" w:eastAsia="黑体"/>
          <w:b/>
          <w:color w:val="auto"/>
          <w:sz w:val="28"/>
          <w:szCs w:val="28"/>
          <w:highlight w:val="none"/>
        </w:rPr>
        <w:t>联系。</w:t>
      </w:r>
      <w:bookmarkEnd w:id="5"/>
      <w:bookmarkEnd w:id="6"/>
      <w:bookmarkEnd w:id="7"/>
      <w:bookmarkEnd w:id="8"/>
    </w:p>
    <w:p w14:paraId="052AB80B">
      <w:pPr>
        <w:ind w:firstLine="600" w:firstLineChars="250"/>
        <w:jc w:val="left"/>
        <w:rPr>
          <w:rFonts w:ascii="宋体" w:hAnsi="宋体"/>
          <w:color w:val="auto"/>
          <w:sz w:val="24"/>
          <w:szCs w:val="24"/>
          <w:highlight w:val="none"/>
        </w:rPr>
      </w:pPr>
      <w:r>
        <w:rPr>
          <w:rFonts w:hint="eastAsia" w:ascii="宋体" w:hAnsi="宋体" w:cs="宋体"/>
          <w:color w:val="auto"/>
          <w:sz w:val="24"/>
          <w:szCs w:val="24"/>
          <w:highlight w:val="none"/>
        </w:rPr>
        <w:t>8.1采购人信息</w:t>
      </w:r>
    </w:p>
    <w:p w14:paraId="783E5A75">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名 称：</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市财政局</w:t>
      </w:r>
    </w:p>
    <w:p w14:paraId="44BC9593">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地址：安阳市富源街　       　</w:t>
      </w:r>
    </w:p>
    <w:p w14:paraId="0ADE1244">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lang w:val="en-US" w:eastAsia="zh-CN"/>
        </w:rPr>
        <w:t>宗一博</w:t>
      </w:r>
      <w:r>
        <w:rPr>
          <w:rFonts w:hint="eastAsia" w:ascii="宋体" w:hAnsi="宋体"/>
          <w:color w:val="auto"/>
          <w:sz w:val="24"/>
          <w:szCs w:val="24"/>
          <w:highlight w:val="none"/>
        </w:rPr>
        <w:t xml:space="preserve">    </w:t>
      </w:r>
    </w:p>
    <w:p w14:paraId="435F2844">
      <w:pPr>
        <w:spacing w:line="360" w:lineRule="auto"/>
        <w:ind w:left="1079" w:leftChars="371" w:hanging="300" w:hangingChars="125"/>
        <w:jc w:val="left"/>
        <w:rPr>
          <w:rFonts w:ascii="宋体" w:hAnsi="宋体"/>
          <w:color w:val="auto"/>
          <w:sz w:val="24"/>
          <w:szCs w:val="24"/>
          <w:highlight w:val="none"/>
        </w:rPr>
      </w:pPr>
      <w:r>
        <w:rPr>
          <w:rFonts w:hint="eastAsia" w:ascii="宋体" w:hAnsi="宋体"/>
          <w:color w:val="auto"/>
          <w:sz w:val="24"/>
          <w:szCs w:val="24"/>
          <w:highlight w:val="none"/>
        </w:rPr>
        <w:t>联系方式：</w:t>
      </w:r>
      <w:r>
        <w:rPr>
          <w:rFonts w:hint="eastAsia" w:ascii="宋体" w:hAnsi="宋体"/>
          <w:color w:val="auto"/>
          <w:sz w:val="24"/>
          <w:szCs w:val="24"/>
          <w:highlight w:val="none"/>
          <w:lang w:val="en-US" w:eastAsia="zh-CN"/>
        </w:rPr>
        <w:t>13253650695</w:t>
      </w:r>
      <w:r>
        <w:rPr>
          <w:rFonts w:hint="eastAsia" w:ascii="宋体" w:hAnsi="宋体"/>
          <w:color w:val="auto"/>
          <w:sz w:val="24"/>
          <w:szCs w:val="24"/>
          <w:highlight w:val="none"/>
        </w:rPr>
        <w:t>　</w:t>
      </w:r>
      <w:bookmarkStart w:id="9" w:name="_Toc28359009"/>
      <w:bookmarkStart w:id="10" w:name="_Toc28359086"/>
    </w:p>
    <w:p w14:paraId="7EDD80B7">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szCs w:val="24"/>
          <w:highlight w:val="none"/>
        </w:rPr>
        <w:t>8.2采购代理机构信息</w:t>
      </w:r>
      <w:bookmarkEnd w:id="9"/>
      <w:bookmarkEnd w:id="10"/>
    </w:p>
    <w:p w14:paraId="50C44084">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名 称：</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市方正招标采购服务有限责任公司  　</w:t>
      </w:r>
    </w:p>
    <w:p w14:paraId="5DA95909">
      <w:pPr>
        <w:spacing w:line="360" w:lineRule="auto"/>
        <w:ind w:left="1798" w:leftChars="342" w:hanging="1080" w:hangingChars="450"/>
        <w:rPr>
          <w:rFonts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市安钢大道39号（人民大道北地下道口南侧、</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粮食产业集团-后院办公楼五楼）　</w:t>
      </w:r>
    </w:p>
    <w:p w14:paraId="311E957B">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 xml:space="preserve">联系人：白杨 </w:t>
      </w:r>
    </w:p>
    <w:p w14:paraId="424CD976">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w:t>
      </w:r>
      <w:bookmarkStart w:id="11" w:name="_Toc28359010"/>
      <w:bookmarkStart w:id="12" w:name="_Toc28359087"/>
      <w:r>
        <w:rPr>
          <w:rFonts w:hint="eastAsia" w:ascii="宋体" w:hAnsi="宋体"/>
          <w:color w:val="auto"/>
          <w:sz w:val="24"/>
          <w:szCs w:val="24"/>
          <w:highlight w:val="none"/>
        </w:rPr>
        <w:t>0372-2283981、2283982   财务部咨询电话：0372-2283983　</w:t>
      </w:r>
    </w:p>
    <w:p w14:paraId="609D6402">
      <w:pPr>
        <w:spacing w:line="360"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8.3项目</w:t>
      </w:r>
      <w:r>
        <w:rPr>
          <w:rFonts w:ascii="宋体" w:hAnsi="宋体" w:cs="宋体"/>
          <w:color w:val="auto"/>
          <w:sz w:val="24"/>
          <w:szCs w:val="24"/>
          <w:highlight w:val="none"/>
        </w:rPr>
        <w:t>联系方式</w:t>
      </w:r>
      <w:bookmarkEnd w:id="11"/>
      <w:bookmarkEnd w:id="12"/>
    </w:p>
    <w:p w14:paraId="1CE7E6BA">
      <w:pPr>
        <w:pStyle w:val="3"/>
        <w:spacing w:line="360" w:lineRule="auto"/>
        <w:ind w:firstLine="720" w:firstLineChars="300"/>
        <w:rPr>
          <w:rFonts w:hAnsi="宋体"/>
          <w:color w:val="auto"/>
          <w:sz w:val="24"/>
          <w:szCs w:val="24"/>
          <w:highlight w:val="none"/>
        </w:rPr>
      </w:pPr>
      <w:r>
        <w:rPr>
          <w:rFonts w:hint="eastAsia" w:hAnsi="宋体"/>
          <w:color w:val="auto"/>
          <w:sz w:val="24"/>
          <w:szCs w:val="24"/>
          <w:highlight w:val="none"/>
        </w:rPr>
        <w:t xml:space="preserve">项目联系人：白杨  </w:t>
      </w:r>
    </w:p>
    <w:p w14:paraId="4988CFB3">
      <w:pPr>
        <w:spacing w:line="360" w:lineRule="auto"/>
        <w:ind w:firstLine="720" w:firstLineChars="300"/>
        <w:rPr>
          <w:rFonts w:ascii="宋体" w:hAnsi="宋体"/>
          <w:color w:val="auto"/>
          <w:sz w:val="24"/>
          <w:szCs w:val="24"/>
          <w:highlight w:val="none"/>
        </w:rPr>
      </w:pPr>
      <w:r>
        <w:rPr>
          <w:rFonts w:hint="eastAsia" w:ascii="宋体" w:hAnsi="宋体"/>
          <w:color w:val="auto"/>
          <w:sz w:val="24"/>
          <w:szCs w:val="24"/>
          <w:highlight w:val="none"/>
        </w:rPr>
        <w:t>联系方式：13503729025</w:t>
      </w:r>
    </w:p>
    <w:p w14:paraId="7E76968D">
      <w:pPr>
        <w:pStyle w:val="8"/>
        <w:shd w:val="clear" w:color="auto" w:fill="FFFFFF"/>
        <w:adjustRightInd w:val="0"/>
        <w:spacing w:before="50" w:beforeAutospacing="0" w:after="0" w:afterAutospacing="0" w:line="300" w:lineRule="auto"/>
        <w:rPr>
          <w:color w:val="auto"/>
          <w:highlight w:val="none"/>
        </w:rPr>
      </w:pPr>
    </w:p>
    <w:p w14:paraId="47096A3C">
      <w:pPr>
        <w:widowControl w:val="0"/>
        <w:snapToGrid w:val="0"/>
        <w:spacing w:line="360" w:lineRule="auto"/>
        <w:ind w:firstLine="562" w:firstLineChars="200"/>
        <w:rPr>
          <w:rFonts w:ascii="黑体" w:hAnsi="黑体" w:eastAsia="黑体"/>
          <w:b/>
          <w:color w:val="auto"/>
          <w:sz w:val="28"/>
          <w:szCs w:val="28"/>
          <w:highlight w:val="none"/>
        </w:rPr>
      </w:pPr>
      <w:r>
        <w:rPr>
          <w:rFonts w:hint="eastAsia" w:ascii="黑体" w:hAnsi="黑体" w:eastAsia="黑体"/>
          <w:b/>
          <w:color w:val="auto"/>
          <w:sz w:val="28"/>
          <w:szCs w:val="28"/>
          <w:highlight w:val="none"/>
        </w:rPr>
        <w:t>9</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网</w:t>
      </w:r>
      <w:r>
        <w:rPr>
          <w:rFonts w:ascii="黑体" w:hAnsi="黑体" w:eastAsia="黑体"/>
          <w:b/>
          <w:color w:val="auto"/>
          <w:sz w:val="28"/>
          <w:szCs w:val="28"/>
          <w:highlight w:val="none"/>
        </w:rPr>
        <w:t>上</w:t>
      </w:r>
      <w:r>
        <w:rPr>
          <w:rFonts w:hint="eastAsia" w:ascii="黑体" w:hAnsi="黑体" w:eastAsia="黑体"/>
          <w:b/>
          <w:color w:val="auto"/>
          <w:sz w:val="28"/>
          <w:szCs w:val="28"/>
          <w:highlight w:val="none"/>
        </w:rPr>
        <w:t>电子交易提示：</w:t>
      </w:r>
      <w:r>
        <w:rPr>
          <w:rFonts w:ascii="黑体" w:hAnsi="黑体" w:eastAsia="黑体"/>
          <w:b/>
          <w:color w:val="auto"/>
          <w:sz w:val="28"/>
          <w:szCs w:val="28"/>
          <w:highlight w:val="none"/>
        </w:rPr>
        <w:t xml:space="preserve"> </w:t>
      </w:r>
    </w:p>
    <w:p w14:paraId="29B72A12">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 xml:space="preserve"> 注</w:t>
      </w:r>
      <w:r>
        <w:rPr>
          <w:rFonts w:ascii="宋体" w:hAnsi="宋体"/>
          <w:color w:val="auto"/>
          <w:sz w:val="24"/>
          <w:szCs w:val="24"/>
          <w:highlight w:val="none"/>
        </w:rPr>
        <w:t>册</w:t>
      </w:r>
      <w:r>
        <w:rPr>
          <w:rFonts w:hint="eastAsia" w:ascii="宋体" w:hAnsi="宋体"/>
          <w:color w:val="auto"/>
          <w:sz w:val="24"/>
          <w:szCs w:val="24"/>
          <w:highlight w:val="none"/>
        </w:rPr>
        <w:t>：供应商完成注</w:t>
      </w:r>
      <w:r>
        <w:rPr>
          <w:rFonts w:ascii="宋体" w:hAnsi="宋体"/>
          <w:color w:val="auto"/>
          <w:sz w:val="24"/>
          <w:szCs w:val="24"/>
          <w:highlight w:val="none"/>
        </w:rPr>
        <w:t>册</w:t>
      </w:r>
      <w:r>
        <w:rPr>
          <w:rFonts w:hint="eastAsia" w:ascii="宋体" w:hAnsi="宋体"/>
          <w:color w:val="auto"/>
          <w:sz w:val="24"/>
          <w:szCs w:val="24"/>
          <w:highlight w:val="none"/>
        </w:rPr>
        <w:t>、办理数字证书后</w:t>
      </w:r>
      <w:r>
        <w:rPr>
          <w:rFonts w:ascii="宋体" w:hAnsi="宋体"/>
          <w:color w:val="auto"/>
          <w:sz w:val="24"/>
          <w:szCs w:val="24"/>
          <w:highlight w:val="none"/>
        </w:rPr>
        <w:t>，方可</w:t>
      </w:r>
      <w:r>
        <w:rPr>
          <w:rFonts w:hint="eastAsia" w:ascii="宋体" w:hAnsi="宋体"/>
          <w:color w:val="auto"/>
          <w:sz w:val="24"/>
          <w:szCs w:val="24"/>
          <w:highlight w:val="none"/>
        </w:rPr>
        <w:t>获</w:t>
      </w:r>
      <w:r>
        <w:rPr>
          <w:rFonts w:ascii="宋体" w:hAnsi="宋体"/>
          <w:color w:val="auto"/>
          <w:sz w:val="24"/>
          <w:szCs w:val="24"/>
          <w:highlight w:val="none"/>
        </w:rPr>
        <w:t>取</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w:t>
      </w:r>
      <w:r>
        <w:rPr>
          <w:rFonts w:hint="eastAsia" w:ascii="宋体" w:hAnsi="宋体"/>
          <w:color w:val="auto"/>
          <w:sz w:val="24"/>
          <w:szCs w:val="24"/>
          <w:highlight w:val="none"/>
        </w:rPr>
        <w:t>参</w:t>
      </w:r>
      <w:r>
        <w:rPr>
          <w:rFonts w:ascii="宋体" w:hAnsi="宋体"/>
          <w:color w:val="auto"/>
          <w:sz w:val="24"/>
          <w:szCs w:val="24"/>
          <w:highlight w:val="none"/>
        </w:rPr>
        <w:t>加</w:t>
      </w:r>
      <w:r>
        <w:rPr>
          <w:rFonts w:hint="eastAsia" w:ascii="宋体" w:hAnsi="宋体"/>
          <w:color w:val="auto"/>
          <w:sz w:val="24"/>
          <w:szCs w:val="24"/>
          <w:highlight w:val="none"/>
        </w:rPr>
        <w:t>投标等网上电子交易。</w:t>
      </w:r>
    </w:p>
    <w:p w14:paraId="218A2C4F">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9.2 获取《磋商文件》：</w:t>
      </w:r>
      <w:r>
        <w:rPr>
          <w:rFonts w:ascii="宋体" w:hAnsi="宋体"/>
          <w:color w:val="auto"/>
          <w:sz w:val="24"/>
          <w:szCs w:val="24"/>
          <w:highlight w:val="none"/>
        </w:rPr>
        <w:t>按</w:t>
      </w:r>
      <w:r>
        <w:rPr>
          <w:rFonts w:hint="eastAsia" w:ascii="宋体" w:hAnsi="宋体"/>
          <w:color w:val="auto"/>
          <w:sz w:val="24"/>
          <w:szCs w:val="24"/>
          <w:highlight w:val="none"/>
        </w:rPr>
        <w:t>本</w:t>
      </w:r>
      <w:r>
        <w:rPr>
          <w:rFonts w:ascii="宋体" w:hAnsi="宋体"/>
          <w:color w:val="auto"/>
          <w:sz w:val="24"/>
          <w:szCs w:val="24"/>
          <w:highlight w:val="none"/>
        </w:rPr>
        <w:t>章第</w:t>
      </w:r>
      <w:r>
        <w:rPr>
          <w:rFonts w:hint="eastAsia" w:ascii="宋体" w:hAnsi="宋体"/>
          <w:color w:val="auto"/>
          <w:sz w:val="24"/>
          <w:szCs w:val="24"/>
          <w:highlight w:val="none"/>
        </w:rPr>
        <w:t>3条</w:t>
      </w:r>
      <w:r>
        <w:rPr>
          <w:rFonts w:ascii="宋体" w:hAnsi="宋体"/>
          <w:color w:val="auto"/>
          <w:sz w:val="24"/>
          <w:szCs w:val="24"/>
          <w:highlight w:val="none"/>
        </w:rPr>
        <w:t>“</w:t>
      </w:r>
      <w:r>
        <w:rPr>
          <w:rFonts w:hint="eastAsia" w:ascii="宋体" w:hAnsi="宋体"/>
          <w:color w:val="auto"/>
          <w:sz w:val="24"/>
          <w:szCs w:val="24"/>
          <w:highlight w:val="none"/>
        </w:rPr>
        <w:t>获取磋商文件</w:t>
      </w:r>
      <w:r>
        <w:rPr>
          <w:rFonts w:ascii="宋体" w:hAnsi="宋体"/>
          <w:color w:val="auto"/>
          <w:sz w:val="24"/>
          <w:szCs w:val="24"/>
          <w:highlight w:val="none"/>
        </w:rPr>
        <w:t>”</w:t>
      </w:r>
      <w:r>
        <w:rPr>
          <w:rFonts w:hint="eastAsia" w:ascii="宋体" w:hAnsi="宋体"/>
          <w:color w:val="auto"/>
          <w:sz w:val="24"/>
          <w:szCs w:val="24"/>
          <w:highlight w:val="none"/>
        </w:rPr>
        <w:t>办</w:t>
      </w:r>
      <w:r>
        <w:rPr>
          <w:rFonts w:ascii="宋体" w:hAnsi="宋体"/>
          <w:color w:val="auto"/>
          <w:sz w:val="24"/>
          <w:szCs w:val="24"/>
          <w:highlight w:val="none"/>
        </w:rPr>
        <w:t>理。</w:t>
      </w:r>
    </w:p>
    <w:p w14:paraId="216516EA">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9.3 《磋商文件》的澄清与修改或延期的</w:t>
      </w:r>
      <w:r>
        <w:rPr>
          <w:rFonts w:ascii="宋体" w:hAnsi="宋体"/>
          <w:color w:val="auto"/>
          <w:sz w:val="24"/>
          <w:szCs w:val="24"/>
          <w:highlight w:val="none"/>
        </w:rPr>
        <w:t>通知</w:t>
      </w:r>
      <w:r>
        <w:rPr>
          <w:rFonts w:hint="eastAsia" w:ascii="宋体" w:hAnsi="宋体"/>
          <w:color w:val="auto"/>
          <w:sz w:val="24"/>
          <w:szCs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2</w:t>
      </w:r>
      <w:r>
        <w:rPr>
          <w:rFonts w:hint="eastAsia" w:ascii="宋体" w:hAnsi="宋体"/>
          <w:color w:val="auto"/>
          <w:sz w:val="24"/>
          <w:szCs w:val="24"/>
          <w:highlight w:val="none"/>
        </w:rPr>
        <w:t>条“2.4 磋商文件的澄清、修改、补充的通知，及相应时间变更</w:t>
      </w:r>
      <w:r>
        <w:rPr>
          <w:rFonts w:ascii="宋体" w:hAnsi="宋体"/>
          <w:color w:val="auto"/>
          <w:sz w:val="24"/>
          <w:szCs w:val="24"/>
          <w:highlight w:val="none"/>
        </w:rPr>
        <w:t>”执行</w:t>
      </w:r>
      <w:r>
        <w:rPr>
          <w:rFonts w:hint="eastAsia" w:ascii="宋体" w:hAnsi="宋体"/>
          <w:color w:val="auto"/>
          <w:sz w:val="24"/>
          <w:szCs w:val="24"/>
          <w:highlight w:val="none"/>
        </w:rPr>
        <w:t>。</w:t>
      </w:r>
      <w:r>
        <w:rPr>
          <w:rFonts w:hint="eastAsia" w:ascii="黑体" w:hAnsi="黑体" w:eastAsia="黑体" w:cs="楷体_GB2312"/>
          <w:b/>
          <w:color w:val="auto"/>
          <w:sz w:val="24"/>
          <w:highlight w:val="none"/>
          <w:lang w:val="zh-CN"/>
        </w:rPr>
        <w:t>不</w:t>
      </w:r>
      <w:r>
        <w:rPr>
          <w:rFonts w:ascii="黑体" w:hAnsi="黑体" w:eastAsia="黑体" w:cs="楷体_GB2312"/>
          <w:b/>
          <w:color w:val="auto"/>
          <w:sz w:val="24"/>
          <w:highlight w:val="none"/>
          <w:lang w:val="zh-CN"/>
        </w:rPr>
        <w:t>另行通知。</w:t>
      </w:r>
    </w:p>
    <w:p w14:paraId="7534F358">
      <w:pPr>
        <w:widowControl w:val="0"/>
        <w:tabs>
          <w:tab w:val="left" w:pos="39"/>
          <w:tab w:val="left" w:pos="96"/>
        </w:tabs>
        <w:snapToGrid w:val="0"/>
        <w:spacing w:line="360" w:lineRule="auto"/>
        <w:ind w:firstLine="540" w:firstLineChars="225"/>
        <w:rPr>
          <w:rFonts w:ascii="黑体" w:hAnsi="黑体" w:eastAsia="黑体" w:cs="楷体_GB2312"/>
          <w:b/>
          <w:color w:val="auto"/>
          <w:sz w:val="24"/>
          <w:highlight w:val="none"/>
          <w:lang w:val="zh-CN"/>
        </w:rPr>
      </w:pPr>
      <w:r>
        <w:rPr>
          <w:rFonts w:hint="eastAsia" w:ascii="宋体" w:hAnsi="宋体"/>
          <w:color w:val="auto"/>
          <w:sz w:val="24"/>
          <w:szCs w:val="24"/>
          <w:highlight w:val="none"/>
        </w:rPr>
        <w:t>9.4《响应文件》编制：在</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市公共资源交易中心网站下载并安装投标文件制作工具、进行编制，按《磋商文件》第三章“供应商须知”第3条第</w:t>
      </w:r>
      <w:r>
        <w:rPr>
          <w:rFonts w:ascii="宋体" w:hAnsi="宋体"/>
          <w:color w:val="auto"/>
          <w:sz w:val="24"/>
          <w:szCs w:val="24"/>
          <w:highlight w:val="none"/>
        </w:rPr>
        <w:t>7</w:t>
      </w:r>
      <w:r>
        <w:rPr>
          <w:rFonts w:hint="eastAsia" w:ascii="宋体" w:hAnsi="宋体"/>
          <w:color w:val="auto"/>
          <w:sz w:val="24"/>
          <w:szCs w:val="24"/>
          <w:highlight w:val="none"/>
        </w:rPr>
        <w:t>款“</w:t>
      </w:r>
      <w:r>
        <w:rPr>
          <w:rFonts w:ascii="宋体" w:hAnsi="宋体"/>
          <w:color w:val="auto"/>
          <w:sz w:val="24"/>
          <w:szCs w:val="24"/>
          <w:highlight w:val="none"/>
        </w:rPr>
        <w:t>3.7</w:t>
      </w:r>
      <w:r>
        <w:rPr>
          <w:rFonts w:hint="eastAsia" w:ascii="宋体" w:hAnsi="宋体"/>
          <w:color w:val="auto"/>
          <w:sz w:val="24"/>
          <w:szCs w:val="24"/>
          <w:highlight w:val="none"/>
        </w:rPr>
        <w:t>《响应文件》的编制”执行，</w:t>
      </w:r>
      <w:r>
        <w:rPr>
          <w:rFonts w:hint="eastAsia" w:ascii="黑体" w:hAnsi="黑体" w:eastAsia="黑体" w:cs="楷体_GB2312"/>
          <w:b/>
          <w:color w:val="auto"/>
          <w:sz w:val="24"/>
          <w:highlight w:val="none"/>
          <w:lang w:val="zh-CN"/>
        </w:rPr>
        <w:t>否则将会评定为无效投标。</w:t>
      </w:r>
    </w:p>
    <w:p w14:paraId="1429F052">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color w:val="auto"/>
          <w:sz w:val="24"/>
          <w:szCs w:val="24"/>
          <w:highlight w:val="none"/>
        </w:rPr>
        <w:t>9.5《响应文件》递交：</w:t>
      </w:r>
      <w:r>
        <w:rPr>
          <w:rFonts w:hint="eastAsia" w:ascii="宋体" w:hAnsi="宋体"/>
          <w:color w:val="auto"/>
          <w:sz w:val="24"/>
          <w:szCs w:val="24"/>
          <w:highlight w:val="none"/>
        </w:rPr>
        <w:t>供应商应在投标截止时间前上传加密的电子投标文件（*.aytf）到</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市公共资源交易平台，</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4</w:t>
      </w:r>
      <w:r>
        <w:rPr>
          <w:rFonts w:hint="eastAsia" w:ascii="宋体" w:hAnsi="宋体"/>
          <w:color w:val="auto"/>
          <w:sz w:val="24"/>
          <w:szCs w:val="24"/>
          <w:highlight w:val="none"/>
        </w:rPr>
        <w:t>条</w:t>
      </w:r>
      <w:r>
        <w:rPr>
          <w:rFonts w:ascii="宋体" w:hAnsi="宋体"/>
          <w:color w:val="auto"/>
          <w:sz w:val="24"/>
          <w:szCs w:val="24"/>
          <w:highlight w:val="none"/>
        </w:rPr>
        <w:t xml:space="preserve"> “</w:t>
      </w:r>
      <w:r>
        <w:rPr>
          <w:rFonts w:hint="eastAsia"/>
          <w:b/>
          <w:color w:val="auto"/>
          <w:sz w:val="24"/>
          <w:szCs w:val="24"/>
          <w:highlight w:val="none"/>
        </w:rPr>
        <w:t>4. 《响应文件》的提交</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5F4C29AF">
      <w:pPr>
        <w:widowControl w:val="0"/>
        <w:tabs>
          <w:tab w:val="left" w:pos="39"/>
          <w:tab w:val="left" w:pos="96"/>
        </w:tabs>
        <w:snapToGrid w:val="0"/>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9</w:t>
      </w:r>
      <w:r>
        <w:rPr>
          <w:rFonts w:ascii="宋体"/>
          <w:color w:val="auto"/>
          <w:sz w:val="24"/>
          <w:szCs w:val="24"/>
          <w:highlight w:val="none"/>
        </w:rPr>
        <w:t>.</w:t>
      </w:r>
      <w:r>
        <w:rPr>
          <w:rFonts w:hint="eastAsia" w:ascii="宋体"/>
          <w:color w:val="auto"/>
          <w:sz w:val="24"/>
          <w:szCs w:val="24"/>
          <w:highlight w:val="none"/>
        </w:rPr>
        <w:t>6《响应文件》</w:t>
      </w:r>
      <w:r>
        <w:rPr>
          <w:rFonts w:hint="eastAsia" w:ascii="宋体" w:hAnsi="宋体"/>
          <w:color w:val="auto"/>
          <w:sz w:val="24"/>
          <w:szCs w:val="24"/>
          <w:highlight w:val="none"/>
        </w:rPr>
        <w:t>解密</w:t>
      </w:r>
      <w:r>
        <w:rPr>
          <w:rFonts w:hint="eastAsia" w:ascii="宋体"/>
          <w:color w:val="auto"/>
          <w:sz w:val="24"/>
          <w:szCs w:val="24"/>
          <w:highlight w:val="none"/>
        </w:rPr>
        <w:t>：</w:t>
      </w:r>
      <w:r>
        <w:rPr>
          <w:bCs/>
          <w:color w:val="auto"/>
          <w:sz w:val="24"/>
          <w:szCs w:val="24"/>
          <w:highlight w:val="none"/>
        </w:rPr>
        <w:t>本项目采用远程不见面交易的模式，开标当日，</w:t>
      </w:r>
      <w:r>
        <w:rPr>
          <w:rFonts w:hint="eastAsia"/>
          <w:bCs/>
          <w:color w:val="auto"/>
          <w:sz w:val="24"/>
          <w:szCs w:val="24"/>
          <w:highlight w:val="none"/>
        </w:rPr>
        <w:t>供应商</w:t>
      </w:r>
      <w:r>
        <w:rPr>
          <w:bCs/>
          <w:color w:val="auto"/>
          <w:sz w:val="24"/>
          <w:szCs w:val="24"/>
          <w:highlight w:val="none"/>
        </w:rPr>
        <w:t>无需到开标现场参加开标会议，投标人应当在投标截止时间前，使用IE浏览器登录到</w:t>
      </w:r>
      <w:r>
        <w:rPr>
          <w:rFonts w:hint="eastAsia"/>
          <w:bCs/>
          <w:color w:val="auto"/>
          <w:sz w:val="24"/>
          <w:szCs w:val="24"/>
          <w:highlight w:val="none"/>
          <w:lang w:val="en-US" w:eastAsia="zh-CN"/>
        </w:rPr>
        <w:t>安阳</w:t>
      </w:r>
      <w:r>
        <w:rPr>
          <w:bCs/>
          <w:color w:val="auto"/>
          <w:sz w:val="24"/>
          <w:szCs w:val="24"/>
          <w:highlight w:val="none"/>
        </w:rPr>
        <w:t>市公共资源交易不见面开标大厅，点击右上方【登录】按钮进入，在线准时参加开标活动并进行投标文件解密等。</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w:t>
      </w:r>
      <w:r>
        <w:rPr>
          <w:rFonts w:ascii="宋体" w:hAnsi="宋体"/>
          <w:color w:val="auto"/>
          <w:sz w:val="24"/>
          <w:szCs w:val="24"/>
          <w:highlight w:val="none"/>
        </w:rPr>
        <w:t>第三</w:t>
      </w:r>
      <w:r>
        <w:rPr>
          <w:rFonts w:hint="eastAsia" w:ascii="宋体" w:hAnsi="宋体"/>
          <w:color w:val="auto"/>
          <w:sz w:val="24"/>
          <w:szCs w:val="24"/>
          <w:highlight w:val="none"/>
        </w:rPr>
        <w:t>章“供应商</w:t>
      </w:r>
      <w:r>
        <w:rPr>
          <w:rFonts w:ascii="宋体" w:hAnsi="宋体"/>
          <w:color w:val="auto"/>
          <w:sz w:val="24"/>
          <w:szCs w:val="24"/>
          <w:highlight w:val="none"/>
        </w:rPr>
        <w:t>须知”</w:t>
      </w:r>
      <w:r>
        <w:rPr>
          <w:rFonts w:hint="eastAsia" w:ascii="宋体" w:hAnsi="宋体"/>
          <w:color w:val="auto"/>
          <w:sz w:val="24"/>
          <w:szCs w:val="24"/>
          <w:highlight w:val="none"/>
        </w:rPr>
        <w:t>第</w:t>
      </w:r>
      <w:r>
        <w:rPr>
          <w:rFonts w:ascii="宋体" w:hAnsi="宋体"/>
          <w:color w:val="auto"/>
          <w:sz w:val="24"/>
          <w:szCs w:val="24"/>
          <w:highlight w:val="none"/>
        </w:rPr>
        <w:t>5</w:t>
      </w:r>
      <w:r>
        <w:rPr>
          <w:rFonts w:hint="eastAsia" w:ascii="宋体" w:hAnsi="宋体"/>
          <w:color w:val="auto"/>
          <w:sz w:val="24"/>
          <w:szCs w:val="24"/>
          <w:highlight w:val="none"/>
        </w:rPr>
        <w:t>条</w:t>
      </w:r>
      <w:r>
        <w:rPr>
          <w:rFonts w:ascii="宋体" w:hAnsi="宋体"/>
          <w:color w:val="auto"/>
          <w:sz w:val="24"/>
          <w:szCs w:val="24"/>
          <w:highlight w:val="none"/>
        </w:rPr>
        <w:t>“5</w:t>
      </w:r>
      <w:r>
        <w:rPr>
          <w:rFonts w:hint="eastAsia"/>
          <w:b/>
          <w:color w:val="auto"/>
          <w:sz w:val="24"/>
          <w:szCs w:val="24"/>
          <w:highlight w:val="none"/>
        </w:rPr>
        <w:t>《响应文件》的开启</w:t>
      </w:r>
      <w:r>
        <w:rPr>
          <w:rFonts w:hint="eastAsia" w:ascii="宋体" w:hAnsi="宋体"/>
          <w:color w:val="auto"/>
          <w:sz w:val="24"/>
          <w:szCs w:val="24"/>
          <w:highlight w:val="none"/>
        </w:rPr>
        <w:t>”</w:t>
      </w:r>
      <w:r>
        <w:rPr>
          <w:rFonts w:ascii="宋体" w:hAnsi="宋体"/>
          <w:color w:val="auto"/>
          <w:sz w:val="24"/>
          <w:szCs w:val="24"/>
          <w:highlight w:val="none"/>
        </w:rPr>
        <w:t>执行，</w:t>
      </w:r>
      <w:r>
        <w:rPr>
          <w:rFonts w:hint="eastAsia" w:ascii="宋体" w:hAnsi="宋体" w:cs="楷体_GB2312"/>
          <w:color w:val="auto"/>
          <w:sz w:val="24"/>
          <w:highlight w:val="none"/>
          <w:lang w:val="zh-CN"/>
        </w:rPr>
        <w:t>否</w:t>
      </w:r>
      <w:r>
        <w:rPr>
          <w:rFonts w:ascii="宋体" w:hAnsi="宋体" w:cs="楷体_GB2312"/>
          <w:color w:val="auto"/>
          <w:sz w:val="24"/>
          <w:highlight w:val="none"/>
          <w:lang w:val="zh-CN"/>
        </w:rPr>
        <w:t>则</w:t>
      </w:r>
      <w:r>
        <w:rPr>
          <w:rFonts w:hint="eastAsia" w:ascii="宋体" w:hAnsi="宋体" w:cs="楷体_GB2312"/>
          <w:color w:val="auto"/>
          <w:sz w:val="24"/>
          <w:highlight w:val="none"/>
          <w:lang w:val="zh-CN"/>
        </w:rPr>
        <w:t>其投标将不能被接受</w:t>
      </w:r>
      <w:r>
        <w:rPr>
          <w:rFonts w:ascii="宋体" w:hAnsi="宋体" w:cs="楷体_GB2312"/>
          <w:color w:val="auto"/>
          <w:sz w:val="24"/>
          <w:highlight w:val="none"/>
          <w:lang w:val="zh-CN"/>
        </w:rPr>
        <w:t>。</w:t>
      </w:r>
    </w:p>
    <w:p w14:paraId="704F7536">
      <w:pPr>
        <w:widowControl w:val="0"/>
        <w:tabs>
          <w:tab w:val="left" w:pos="39"/>
          <w:tab w:val="left" w:pos="96"/>
        </w:tabs>
        <w:snapToGrid w:val="0"/>
        <w:spacing w:line="360" w:lineRule="auto"/>
        <w:ind w:firstLine="480" w:firstLineChars="200"/>
        <w:rPr>
          <w:rFonts w:ascii="黑体" w:hAnsi="黑体" w:eastAsia="黑体" w:cs="楷体_GB2312"/>
          <w:b/>
          <w:color w:val="auto"/>
          <w:sz w:val="24"/>
          <w:highlight w:val="none"/>
          <w:lang w:val="zh-CN"/>
        </w:rPr>
      </w:pPr>
      <w:r>
        <w:rPr>
          <w:rFonts w:hint="eastAsia" w:ascii="宋体" w:hAnsi="宋体"/>
          <w:color w:val="auto"/>
          <w:sz w:val="24"/>
          <w:szCs w:val="24"/>
          <w:highlight w:val="none"/>
        </w:rPr>
        <w:t>9</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b/>
          <w:color w:val="auto"/>
          <w:sz w:val="24"/>
          <w:szCs w:val="24"/>
          <w:highlight w:val="none"/>
        </w:rPr>
        <w:t>磋商</w:t>
      </w:r>
      <w:r>
        <w:rPr>
          <w:b/>
          <w:color w:val="auto"/>
          <w:sz w:val="24"/>
          <w:szCs w:val="24"/>
          <w:highlight w:val="none"/>
        </w:rPr>
        <w:t>：</w:t>
      </w:r>
      <w:r>
        <w:rPr>
          <w:rFonts w:hint="eastAsia" w:ascii="宋体" w:hAnsi="宋体"/>
          <w:color w:val="auto"/>
          <w:sz w:val="24"/>
          <w:highlight w:val="none"/>
        </w:rPr>
        <w:t>时刻关注电子开标室并及时澄清，有</w:t>
      </w:r>
      <w:r>
        <w:rPr>
          <w:rFonts w:ascii="宋体" w:hAnsi="宋体"/>
          <w:color w:val="auto"/>
          <w:sz w:val="24"/>
          <w:highlight w:val="none"/>
        </w:rPr>
        <w:t>效</w:t>
      </w:r>
      <w:r>
        <w:rPr>
          <w:rFonts w:hint="eastAsia" w:ascii="宋体" w:hAnsi="宋体"/>
          <w:color w:val="auto"/>
          <w:sz w:val="24"/>
          <w:highlight w:val="none"/>
        </w:rPr>
        <w:t>供应商</w:t>
      </w:r>
      <w:r>
        <w:rPr>
          <w:rFonts w:ascii="宋体" w:hAnsi="宋体"/>
          <w:color w:val="auto"/>
          <w:sz w:val="24"/>
          <w:highlight w:val="none"/>
        </w:rPr>
        <w:t>在规定时间进行</w:t>
      </w:r>
      <w:r>
        <w:rPr>
          <w:rFonts w:hint="eastAsia" w:ascii="宋体" w:hAnsi="宋体"/>
          <w:color w:val="auto"/>
          <w:sz w:val="24"/>
          <w:highlight w:val="none"/>
        </w:rPr>
        <w:t>最后报价</w:t>
      </w:r>
      <w:r>
        <w:rPr>
          <w:rFonts w:ascii="宋体" w:hAnsi="宋体"/>
          <w:color w:val="auto"/>
          <w:sz w:val="24"/>
          <w:highlight w:val="none"/>
        </w:rPr>
        <w:t>，</w:t>
      </w:r>
      <w:r>
        <w:rPr>
          <w:rFonts w:ascii="宋体" w:hAnsi="宋体"/>
          <w:color w:val="auto"/>
          <w:sz w:val="24"/>
          <w:szCs w:val="24"/>
          <w:highlight w:val="none"/>
        </w:rPr>
        <w:t>按</w:t>
      </w:r>
      <w:r>
        <w:rPr>
          <w:rFonts w:hint="eastAsia" w:ascii="宋体" w:hAnsi="宋体"/>
          <w:color w:val="auto"/>
          <w:sz w:val="24"/>
          <w:szCs w:val="24"/>
          <w:highlight w:val="none"/>
        </w:rPr>
        <w:t>《</w:t>
      </w:r>
      <w:r>
        <w:rPr>
          <w:rFonts w:ascii="宋体" w:hAnsi="宋体"/>
          <w:color w:val="auto"/>
          <w:sz w:val="24"/>
          <w:szCs w:val="24"/>
          <w:highlight w:val="none"/>
        </w:rPr>
        <w:t>磋商文件</w:t>
      </w:r>
      <w:r>
        <w:rPr>
          <w:rFonts w:hint="eastAsia" w:ascii="宋体" w:hAnsi="宋体"/>
          <w:color w:val="auto"/>
          <w:sz w:val="24"/>
          <w:szCs w:val="24"/>
          <w:highlight w:val="none"/>
        </w:rPr>
        <w:t>》第四章“评审办法”</w:t>
      </w:r>
      <w:r>
        <w:rPr>
          <w:rFonts w:ascii="宋体" w:hAnsi="宋体"/>
          <w:color w:val="auto"/>
          <w:sz w:val="24"/>
          <w:szCs w:val="24"/>
          <w:highlight w:val="none"/>
        </w:rPr>
        <w:t>执行，</w:t>
      </w:r>
      <w:r>
        <w:rPr>
          <w:rFonts w:hint="eastAsia" w:ascii="黑体" w:hAnsi="黑体" w:eastAsia="黑体" w:cs="楷体_GB2312"/>
          <w:b/>
          <w:color w:val="auto"/>
          <w:sz w:val="24"/>
          <w:highlight w:val="none"/>
          <w:lang w:val="zh-CN"/>
        </w:rPr>
        <w:t>否</w:t>
      </w:r>
      <w:r>
        <w:rPr>
          <w:rFonts w:ascii="黑体" w:hAnsi="黑体" w:eastAsia="黑体" w:cs="楷体_GB2312"/>
          <w:b/>
          <w:color w:val="auto"/>
          <w:sz w:val="24"/>
          <w:highlight w:val="none"/>
          <w:lang w:val="zh-CN"/>
        </w:rPr>
        <w:t>则将会</w:t>
      </w:r>
      <w:r>
        <w:rPr>
          <w:rFonts w:hint="eastAsia" w:ascii="黑体" w:hAnsi="黑体" w:eastAsia="黑体" w:cs="楷体_GB2312"/>
          <w:b/>
          <w:color w:val="auto"/>
          <w:sz w:val="24"/>
          <w:highlight w:val="none"/>
          <w:lang w:val="zh-CN"/>
        </w:rPr>
        <w:t>评</w:t>
      </w:r>
      <w:r>
        <w:rPr>
          <w:rFonts w:ascii="黑体" w:hAnsi="黑体" w:eastAsia="黑体" w:cs="楷体_GB2312"/>
          <w:b/>
          <w:color w:val="auto"/>
          <w:sz w:val="24"/>
          <w:highlight w:val="none"/>
          <w:lang w:val="zh-CN"/>
        </w:rPr>
        <w:t>定为无效投标。</w:t>
      </w:r>
    </w:p>
    <w:p w14:paraId="2A079DB7">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9.8锁名称变更或者延期可能会导致开标过程无法正常解密标书。开标过程中解密必须使用生成标书时使用的CA锁，丢失、变更、延期都会导致无法解密。如无待开标解密项目，变更或者延期不影响正常的业务操作，但需要注意如下事项：</w:t>
      </w:r>
    </w:p>
    <w:p w14:paraId="2FCAD699">
      <w:pPr>
        <w:widowControl w:val="0"/>
        <w:tabs>
          <w:tab w:val="left" w:pos="39"/>
          <w:tab w:val="left" w:pos="96"/>
        </w:tabs>
        <w:snapToGrid w:val="0"/>
        <w:spacing w:line="360" w:lineRule="auto"/>
        <w:ind w:firstLine="540" w:firstLineChars="225"/>
        <w:rPr>
          <w:rFonts w:ascii="宋体" w:hAnsi="宋体" w:cs="楷体_GB2312"/>
          <w:color w:val="auto"/>
          <w:sz w:val="24"/>
          <w:highlight w:val="none"/>
          <w:lang w:val="zh-CN"/>
        </w:rPr>
      </w:pPr>
      <w:r>
        <w:rPr>
          <w:rFonts w:hint="eastAsia" w:ascii="宋体" w:hAnsi="宋体" w:cs="楷体_GB2312"/>
          <w:color w:val="auto"/>
          <w:sz w:val="24"/>
          <w:highlight w:val="none"/>
          <w:lang w:val="zh-CN"/>
        </w:rPr>
        <w:t>①锁名称变更前建议先在交易系统修改单位名称为最新的，变更完成后再变更锁名称，以免因名称不一致无法正常登录系统。</w:t>
      </w:r>
    </w:p>
    <w:p w14:paraId="65F80618">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②锁延期之后序列号可能会发生改变（视不同CA而定），变更后需要重新进行绑定。</w:t>
      </w:r>
    </w:p>
    <w:p w14:paraId="4D14F628">
      <w:pPr>
        <w:widowControl w:val="0"/>
        <w:tabs>
          <w:tab w:val="left" w:pos="39"/>
          <w:tab w:val="left" w:pos="96"/>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9.9 政府采购电子交易中，供应商网上电子交易的系统操作规则应以</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市公共资源交易平台即时发布的相关规则为准。</w:t>
      </w:r>
    </w:p>
    <w:p w14:paraId="73A880D7">
      <w:pPr>
        <w:widowControl w:val="0"/>
        <w:tabs>
          <w:tab w:val="left" w:pos="39"/>
          <w:tab w:val="left" w:pos="96"/>
        </w:tabs>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9.10 望供应商充分熟悉网上电子交易操作流程、以便有效投标。</w:t>
      </w:r>
    </w:p>
    <w:p w14:paraId="5DC54E24">
      <w:pPr>
        <w:widowControl w:val="0"/>
        <w:tabs>
          <w:tab w:val="left" w:pos="39"/>
          <w:tab w:val="left" w:pos="96"/>
        </w:tabs>
        <w:snapToGrid w:val="0"/>
        <w:spacing w:line="360" w:lineRule="auto"/>
        <w:ind w:firstLine="540" w:firstLineChars="225"/>
        <w:rPr>
          <w:rFonts w:ascii="宋体" w:hAnsi="宋体"/>
          <w:color w:val="auto"/>
          <w:sz w:val="24"/>
          <w:szCs w:val="24"/>
          <w:highlight w:val="none"/>
        </w:rPr>
      </w:pPr>
      <w:r>
        <w:rPr>
          <w:rFonts w:hint="eastAsia"/>
          <w:bCs/>
          <w:color w:val="auto"/>
          <w:sz w:val="24"/>
          <w:szCs w:val="24"/>
          <w:highlight w:val="none"/>
        </w:rPr>
        <w:t>9.11 如遇到网上系统操作等技术问题请咨询</w:t>
      </w:r>
      <w:r>
        <w:rPr>
          <w:rFonts w:hint="eastAsia" w:ascii="宋体" w:hAnsi="宋体"/>
          <w:color w:val="auto"/>
          <w:sz w:val="24"/>
          <w:szCs w:val="24"/>
          <w:highlight w:val="none"/>
        </w:rPr>
        <w:t>400-998-0000、0372-3387739。</w:t>
      </w:r>
    </w:p>
    <w:p w14:paraId="453C94B4">
      <w:pPr>
        <w:widowControl w:val="0"/>
        <w:tabs>
          <w:tab w:val="left" w:pos="39"/>
          <w:tab w:val="left" w:pos="96"/>
        </w:tabs>
        <w:snapToGrid w:val="0"/>
        <w:spacing w:line="360" w:lineRule="auto"/>
        <w:ind w:firstLine="540" w:firstLineChars="225"/>
        <w:rPr>
          <w:rFonts w:ascii="宋体"/>
          <w:color w:val="auto"/>
          <w:sz w:val="24"/>
          <w:szCs w:val="24"/>
          <w:highlight w:val="none"/>
        </w:rPr>
      </w:pPr>
    </w:p>
    <w:p w14:paraId="4D857886">
      <w:pPr>
        <w:widowControl w:val="0"/>
        <w:tabs>
          <w:tab w:val="left" w:pos="39"/>
          <w:tab w:val="left" w:pos="96"/>
        </w:tabs>
        <w:snapToGrid w:val="0"/>
        <w:spacing w:line="360" w:lineRule="auto"/>
        <w:ind w:firstLine="5220" w:firstLineChars="2175"/>
        <w:jc w:val="right"/>
        <w:rPr>
          <w:rFonts w:ascii="宋体"/>
          <w:color w:val="auto"/>
          <w:sz w:val="24"/>
          <w:szCs w:val="24"/>
          <w:highlight w:val="none"/>
        </w:rPr>
      </w:pPr>
      <w:r>
        <w:rPr>
          <w:rFonts w:hint="eastAsia" w:ascii="宋体"/>
          <w:color w:val="auto"/>
          <w:sz w:val="24"/>
          <w:szCs w:val="24"/>
          <w:highlight w:val="none"/>
          <w:lang w:val="en-US" w:eastAsia="zh-CN"/>
        </w:rPr>
        <w:t>安阳</w:t>
      </w:r>
      <w:r>
        <w:rPr>
          <w:rFonts w:hint="eastAsia" w:ascii="宋体"/>
          <w:color w:val="auto"/>
          <w:sz w:val="24"/>
          <w:szCs w:val="24"/>
          <w:highlight w:val="none"/>
        </w:rPr>
        <w:t>市方正招标采购服务有限责任公司</w:t>
      </w:r>
    </w:p>
    <w:p w14:paraId="365456F7">
      <w:pPr>
        <w:widowControl w:val="0"/>
        <w:tabs>
          <w:tab w:val="left" w:pos="39"/>
          <w:tab w:val="left" w:pos="96"/>
        </w:tabs>
        <w:snapToGrid w:val="0"/>
        <w:spacing w:line="360" w:lineRule="auto"/>
        <w:ind w:firstLine="540" w:firstLineChars="225"/>
        <w:jc w:val="right"/>
        <w:rPr>
          <w:rFonts w:ascii="宋体"/>
          <w:color w:val="auto"/>
          <w:sz w:val="24"/>
          <w:szCs w:val="24"/>
          <w:highlight w:val="none"/>
        </w:rPr>
      </w:pPr>
      <w:r>
        <w:rPr>
          <w:rFonts w:hint="eastAsia" w:ascii="宋体"/>
          <w:color w:val="auto"/>
          <w:sz w:val="24"/>
          <w:szCs w:val="24"/>
          <w:highlight w:val="none"/>
        </w:rPr>
        <w:t>二〇二五年</w:t>
      </w:r>
      <w:r>
        <w:rPr>
          <w:rFonts w:hint="eastAsia" w:ascii="宋体"/>
          <w:color w:val="auto"/>
          <w:sz w:val="24"/>
          <w:szCs w:val="24"/>
          <w:highlight w:val="none"/>
          <w:lang w:val="en-US" w:eastAsia="zh-CN"/>
        </w:rPr>
        <w:t>十二</w:t>
      </w:r>
      <w:r>
        <w:rPr>
          <w:rFonts w:hint="eastAsia" w:ascii="宋体"/>
          <w:color w:val="auto"/>
          <w:sz w:val="24"/>
          <w:szCs w:val="24"/>
          <w:highlight w:val="none"/>
        </w:rPr>
        <w:t>月</w:t>
      </w:r>
      <w:r>
        <w:rPr>
          <w:rFonts w:hint="eastAsia" w:ascii="宋体"/>
          <w:color w:val="auto"/>
          <w:sz w:val="24"/>
          <w:szCs w:val="24"/>
          <w:highlight w:val="none"/>
          <w:lang w:val="en-US" w:eastAsia="zh-CN"/>
        </w:rPr>
        <w:t>十六</w:t>
      </w:r>
      <w:r>
        <w:rPr>
          <w:rFonts w:hint="eastAsia" w:ascii="宋体"/>
          <w:color w:val="auto"/>
          <w:sz w:val="24"/>
          <w:szCs w:val="24"/>
          <w:highlight w:val="none"/>
        </w:rPr>
        <w:t>日</w:t>
      </w:r>
    </w:p>
    <w:p w14:paraId="67006EA7">
      <w:pPr>
        <w:widowControl w:val="0"/>
        <w:tabs>
          <w:tab w:val="left" w:pos="39"/>
          <w:tab w:val="left" w:pos="96"/>
        </w:tabs>
        <w:snapToGrid w:val="0"/>
        <w:spacing w:line="360" w:lineRule="auto"/>
        <w:ind w:firstLine="630" w:firstLineChars="225"/>
        <w:rPr>
          <w:rFonts w:eastAsia="方正黑体简体"/>
          <w:color w:val="auto"/>
          <w:sz w:val="28"/>
          <w:szCs w:val="28"/>
          <w:highlight w:val="none"/>
        </w:rPr>
      </w:pPr>
      <w:r>
        <w:rPr>
          <w:rFonts w:eastAsia="方正黑体简体"/>
          <w:color w:val="auto"/>
          <w:sz w:val="28"/>
          <w:szCs w:val="28"/>
          <w:highlight w:val="none"/>
        </w:rPr>
        <w:br w:type="page"/>
      </w:r>
    </w:p>
    <w:p w14:paraId="27498DB9">
      <w:pPr>
        <w:widowControl w:val="0"/>
        <w:snapToGrid w:val="0"/>
        <w:spacing w:line="360" w:lineRule="auto"/>
        <w:jc w:val="center"/>
        <w:outlineLvl w:val="0"/>
        <w:rPr>
          <w:rFonts w:hint="eastAsia" w:eastAsia="黑体"/>
          <w:b/>
          <w:color w:val="auto"/>
          <w:sz w:val="36"/>
          <w:szCs w:val="36"/>
          <w:highlight w:val="none"/>
        </w:rPr>
      </w:pPr>
      <w:bookmarkStart w:id="13" w:name="_Toc202883062"/>
    </w:p>
    <w:p w14:paraId="40BD702D">
      <w:pPr>
        <w:widowControl w:val="0"/>
        <w:snapToGrid w:val="0"/>
        <w:spacing w:line="360" w:lineRule="auto"/>
        <w:jc w:val="center"/>
        <w:outlineLvl w:val="0"/>
        <w:rPr>
          <w:rFonts w:eastAsia="方正黑体简体"/>
          <w:color w:val="auto"/>
          <w:sz w:val="36"/>
          <w:szCs w:val="36"/>
          <w:highlight w:val="none"/>
        </w:rPr>
      </w:pPr>
      <w:r>
        <w:rPr>
          <w:rFonts w:hint="eastAsia" w:eastAsia="黑体"/>
          <w:b/>
          <w:color w:val="auto"/>
          <w:sz w:val="36"/>
          <w:szCs w:val="36"/>
          <w:highlight w:val="none"/>
        </w:rPr>
        <w:t>第二章</w:t>
      </w:r>
      <w:r>
        <w:rPr>
          <w:rFonts w:eastAsia="黑体"/>
          <w:b/>
          <w:color w:val="auto"/>
          <w:sz w:val="36"/>
          <w:szCs w:val="36"/>
          <w:highlight w:val="none"/>
        </w:rPr>
        <w:t xml:space="preserve">  </w:t>
      </w:r>
      <w:r>
        <w:rPr>
          <w:rFonts w:hint="eastAsia" w:eastAsia="黑体"/>
          <w:b/>
          <w:color w:val="auto"/>
          <w:sz w:val="36"/>
          <w:szCs w:val="36"/>
          <w:highlight w:val="none"/>
        </w:rPr>
        <w:t>采购项目及服务要求</w:t>
      </w:r>
      <w:bookmarkEnd w:id="13"/>
    </w:p>
    <w:p w14:paraId="540A0447">
      <w:pPr>
        <w:widowControl w:val="0"/>
        <w:snapToGrid w:val="0"/>
        <w:spacing w:line="360" w:lineRule="auto"/>
        <w:jc w:val="center"/>
        <w:rPr>
          <w:b/>
          <w:color w:val="auto"/>
          <w:sz w:val="28"/>
          <w:highlight w:val="none"/>
        </w:rPr>
      </w:pPr>
    </w:p>
    <w:p w14:paraId="157B6FD8">
      <w:pPr>
        <w:widowControl w:val="0"/>
        <w:snapToGrid w:val="0"/>
        <w:spacing w:line="360" w:lineRule="auto"/>
        <w:ind w:firstLine="422" w:firstLineChars="150"/>
        <w:jc w:val="left"/>
        <w:outlineLvl w:val="1"/>
        <w:rPr>
          <w:rFonts w:ascii="黑体" w:hAnsi="黑体" w:eastAsia="黑体"/>
          <w:b/>
          <w:color w:val="auto"/>
          <w:sz w:val="28"/>
          <w:highlight w:val="none"/>
        </w:rPr>
      </w:pPr>
      <w:bookmarkStart w:id="14" w:name="_Toc202883063"/>
      <w:bookmarkStart w:id="15" w:name="_Toc65744471"/>
      <w:r>
        <w:rPr>
          <w:rFonts w:ascii="黑体" w:hAnsi="黑体" w:eastAsia="黑体"/>
          <w:b/>
          <w:color w:val="auto"/>
          <w:sz w:val="28"/>
          <w:highlight w:val="none"/>
        </w:rPr>
        <w:t xml:space="preserve">1. </w:t>
      </w:r>
      <w:r>
        <w:rPr>
          <w:rFonts w:hint="eastAsia" w:ascii="黑体" w:hAnsi="黑体" w:eastAsia="黑体"/>
          <w:b/>
          <w:color w:val="auto"/>
          <w:sz w:val="28"/>
          <w:highlight w:val="none"/>
        </w:rPr>
        <w:t>采购项目、标段（包）划分、磋商报价</w:t>
      </w:r>
      <w:bookmarkEnd w:id="14"/>
      <w:bookmarkEnd w:id="15"/>
    </w:p>
    <w:p w14:paraId="19D16712">
      <w:pPr>
        <w:widowControl w:val="0"/>
        <w:snapToGrid w:val="0"/>
        <w:spacing w:line="360" w:lineRule="auto"/>
        <w:ind w:firstLine="482" w:firstLineChars="200"/>
        <w:jc w:val="left"/>
        <w:rPr>
          <w:rFonts w:ascii="宋体" w:hAnsi="宋体"/>
          <w:color w:val="auto"/>
          <w:sz w:val="24"/>
          <w:szCs w:val="24"/>
          <w:highlight w:val="none"/>
        </w:rPr>
      </w:pPr>
      <w:r>
        <w:rPr>
          <w:rFonts w:ascii="黑体" w:hAnsi="黑体" w:eastAsia="黑体"/>
          <w:b/>
          <w:color w:val="auto"/>
          <w:sz w:val="24"/>
          <w:szCs w:val="24"/>
          <w:highlight w:val="none"/>
        </w:rPr>
        <w:t>1.1</w:t>
      </w:r>
      <w:r>
        <w:rPr>
          <w:rFonts w:hint="eastAsia" w:ascii="黑体" w:hAnsi="黑体" w:eastAsia="黑体"/>
          <w:b/>
          <w:color w:val="auto"/>
          <w:sz w:val="24"/>
          <w:szCs w:val="24"/>
          <w:highlight w:val="none"/>
        </w:rPr>
        <w:t>采购项目名称</w:t>
      </w:r>
      <w:r>
        <w:rPr>
          <w:rFonts w:hint="eastAsia"/>
          <w:color w:val="auto"/>
          <w:sz w:val="24"/>
          <w:szCs w:val="24"/>
          <w:highlight w:val="none"/>
        </w:rPr>
        <w:t>：</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市财政局</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市执法执勤车辆监管平台运行维护项目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二次</w:t>
      </w:r>
      <w:r>
        <w:rPr>
          <w:rFonts w:hint="eastAsia" w:ascii="宋体" w:hAnsi="宋体"/>
          <w:color w:val="auto"/>
          <w:sz w:val="24"/>
          <w:szCs w:val="24"/>
          <w:highlight w:val="none"/>
          <w:lang w:eastAsia="zh-CN"/>
        </w:rPr>
        <w:t>）</w:t>
      </w:r>
    </w:p>
    <w:p w14:paraId="58F1A4C3">
      <w:pPr>
        <w:widowControl w:val="0"/>
        <w:snapToGrid w:val="0"/>
        <w:spacing w:line="360" w:lineRule="auto"/>
        <w:ind w:firstLine="482" w:firstLineChars="200"/>
        <w:jc w:val="left"/>
        <w:rPr>
          <w:color w:val="auto"/>
          <w:sz w:val="24"/>
          <w:szCs w:val="24"/>
          <w:highlight w:val="none"/>
        </w:rPr>
      </w:pPr>
      <w:r>
        <w:rPr>
          <w:rFonts w:ascii="黑体" w:hAnsi="黑体" w:eastAsia="黑体"/>
          <w:b/>
          <w:color w:val="auto"/>
          <w:sz w:val="24"/>
          <w:szCs w:val="24"/>
          <w:highlight w:val="none"/>
        </w:rPr>
        <w:t xml:space="preserve">1.2 </w:t>
      </w:r>
      <w:r>
        <w:rPr>
          <w:rFonts w:hint="eastAsia" w:ascii="黑体" w:hAnsi="黑体" w:eastAsia="黑体"/>
          <w:b/>
          <w:color w:val="auto"/>
          <w:sz w:val="24"/>
          <w:szCs w:val="24"/>
          <w:highlight w:val="none"/>
        </w:rPr>
        <w:t>标段（包）划分及其服务期服务地点</w:t>
      </w:r>
      <w:r>
        <w:rPr>
          <w:rFonts w:hint="eastAsia"/>
          <w:color w:val="auto"/>
          <w:sz w:val="24"/>
          <w:szCs w:val="24"/>
          <w:highlight w:val="none"/>
        </w:rPr>
        <w:t>：本次采购项目划分为1个标段（包）。</w:t>
      </w:r>
    </w:p>
    <w:tbl>
      <w:tblPr>
        <w:tblStyle w:val="9"/>
        <w:tblW w:w="9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37"/>
        <w:gridCol w:w="2557"/>
        <w:gridCol w:w="1881"/>
        <w:gridCol w:w="1378"/>
      </w:tblGrid>
      <w:tr w14:paraId="274C5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604" w:type="dxa"/>
            <w:gridSpan w:val="5"/>
            <w:vAlign w:val="center"/>
          </w:tcPr>
          <w:p w14:paraId="6B3ADE75">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标段（包）一览表</w:t>
            </w:r>
          </w:p>
        </w:tc>
      </w:tr>
      <w:tr w14:paraId="6CBA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951" w:type="dxa"/>
            <w:vAlign w:val="center"/>
          </w:tcPr>
          <w:p w14:paraId="25EF9AA9">
            <w:pPr>
              <w:widowControl w:val="0"/>
              <w:snapToGrid w:val="0"/>
              <w:spacing w:line="240" w:lineRule="auto"/>
              <w:jc w:val="center"/>
              <w:rPr>
                <w:b/>
                <w:color w:val="auto"/>
                <w:sz w:val="24"/>
                <w:szCs w:val="24"/>
                <w:highlight w:val="none"/>
              </w:rPr>
            </w:pPr>
            <w:r>
              <w:rPr>
                <w:rFonts w:hint="eastAsia"/>
                <w:b/>
                <w:color w:val="auto"/>
                <w:sz w:val="24"/>
                <w:szCs w:val="24"/>
                <w:highlight w:val="none"/>
              </w:rPr>
              <w:t>项目名称</w:t>
            </w:r>
          </w:p>
        </w:tc>
        <w:tc>
          <w:tcPr>
            <w:tcW w:w="1837" w:type="dxa"/>
            <w:vAlign w:val="center"/>
          </w:tcPr>
          <w:p w14:paraId="4EE0F751">
            <w:pPr>
              <w:widowControl w:val="0"/>
              <w:snapToGrid w:val="0"/>
              <w:spacing w:line="240" w:lineRule="auto"/>
              <w:jc w:val="center"/>
              <w:rPr>
                <w:b/>
                <w:color w:val="auto"/>
                <w:sz w:val="24"/>
                <w:szCs w:val="24"/>
                <w:highlight w:val="none"/>
              </w:rPr>
            </w:pPr>
            <w:r>
              <w:rPr>
                <w:rFonts w:hint="eastAsia"/>
                <w:b/>
                <w:color w:val="auto"/>
                <w:sz w:val="24"/>
                <w:szCs w:val="24"/>
                <w:highlight w:val="none"/>
              </w:rPr>
              <w:t>标段（包）名称</w:t>
            </w:r>
          </w:p>
        </w:tc>
        <w:tc>
          <w:tcPr>
            <w:tcW w:w="2557" w:type="dxa"/>
            <w:vAlign w:val="center"/>
          </w:tcPr>
          <w:p w14:paraId="3F3EEB47">
            <w:pPr>
              <w:widowControl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标段（包）内容（范围）</w:t>
            </w:r>
          </w:p>
        </w:tc>
        <w:tc>
          <w:tcPr>
            <w:tcW w:w="1881" w:type="dxa"/>
            <w:vAlign w:val="center"/>
          </w:tcPr>
          <w:p w14:paraId="174E08B8">
            <w:pPr>
              <w:widowControl w:val="0"/>
              <w:snapToGrid w:val="0"/>
              <w:spacing w:line="240" w:lineRule="auto"/>
              <w:jc w:val="center"/>
              <w:rPr>
                <w:rFonts w:ascii="宋体" w:hAnsi="宋体"/>
                <w:b/>
                <w:color w:val="auto"/>
                <w:sz w:val="24"/>
                <w:szCs w:val="24"/>
                <w:highlight w:val="none"/>
              </w:rPr>
            </w:pPr>
            <w:r>
              <w:rPr>
                <w:rFonts w:hint="eastAsia" w:ascii="宋体" w:hAnsi="宋体"/>
                <w:b/>
                <w:color w:val="auto"/>
                <w:sz w:val="24"/>
                <w:szCs w:val="24"/>
                <w:highlight w:val="none"/>
              </w:rPr>
              <w:t>合同履行期限</w:t>
            </w:r>
          </w:p>
          <w:p w14:paraId="4C4C14E8">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（服务期）</w:t>
            </w:r>
          </w:p>
        </w:tc>
        <w:tc>
          <w:tcPr>
            <w:tcW w:w="1378" w:type="dxa"/>
            <w:vAlign w:val="center"/>
          </w:tcPr>
          <w:p w14:paraId="58D6EC66">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服务地点</w:t>
            </w:r>
          </w:p>
        </w:tc>
      </w:tr>
      <w:tr w14:paraId="089B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951" w:type="dxa"/>
            <w:vAlign w:val="center"/>
          </w:tcPr>
          <w:p w14:paraId="06B63210">
            <w:pPr>
              <w:widowControl w:val="0"/>
              <w:snapToGrid w:val="0"/>
              <w:spacing w:line="240" w:lineRule="auto"/>
              <w:rPr>
                <w:color w:val="auto"/>
                <w:sz w:val="24"/>
                <w:szCs w:val="24"/>
                <w:highlight w:val="none"/>
              </w:rPr>
            </w:pP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市财政局</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市执法执勤车辆监管平台运行维护项目</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二次</w:t>
            </w:r>
            <w:r>
              <w:rPr>
                <w:rFonts w:hint="eastAsia" w:ascii="宋体" w:hAnsi="宋体"/>
                <w:color w:val="auto"/>
                <w:sz w:val="24"/>
                <w:szCs w:val="24"/>
                <w:highlight w:val="none"/>
                <w:lang w:eastAsia="zh-CN"/>
              </w:rPr>
              <w:t>）</w:t>
            </w:r>
          </w:p>
        </w:tc>
        <w:tc>
          <w:tcPr>
            <w:tcW w:w="1837" w:type="dxa"/>
            <w:vAlign w:val="center"/>
          </w:tcPr>
          <w:p w14:paraId="22CAF5E3">
            <w:pPr>
              <w:widowControl w:val="0"/>
              <w:snapToGrid w:val="0"/>
              <w:spacing w:line="240" w:lineRule="auto"/>
              <w:rPr>
                <w:color w:val="auto"/>
                <w:sz w:val="24"/>
                <w:szCs w:val="24"/>
                <w:highlight w:val="none"/>
              </w:rPr>
            </w:pPr>
            <w:r>
              <w:rPr>
                <w:rFonts w:hint="eastAsia"/>
                <w:color w:val="auto"/>
                <w:sz w:val="24"/>
                <w:szCs w:val="24"/>
                <w:highlight w:val="none"/>
              </w:rPr>
              <w:t>同项目名称</w:t>
            </w:r>
          </w:p>
        </w:tc>
        <w:tc>
          <w:tcPr>
            <w:tcW w:w="2557" w:type="dxa"/>
            <w:vAlign w:val="center"/>
          </w:tcPr>
          <w:p w14:paraId="6D668F15">
            <w:pPr>
              <w:widowControl w:val="0"/>
              <w:snapToGrid w:val="0"/>
              <w:spacing w:line="240" w:lineRule="auto"/>
              <w:rPr>
                <w:color w:val="auto"/>
                <w:sz w:val="24"/>
                <w:szCs w:val="24"/>
                <w:highlight w:val="none"/>
              </w:rPr>
            </w:pPr>
            <w:r>
              <w:rPr>
                <w:rFonts w:hint="eastAsia"/>
                <w:color w:val="auto"/>
                <w:sz w:val="24"/>
                <w:szCs w:val="24"/>
                <w:highlight w:val="none"/>
              </w:rPr>
              <w:t>见“第二章第</w:t>
            </w:r>
            <w:r>
              <w:rPr>
                <w:color w:val="auto"/>
                <w:sz w:val="24"/>
                <w:szCs w:val="24"/>
                <w:highlight w:val="none"/>
              </w:rPr>
              <w:t>2</w:t>
            </w:r>
            <w:r>
              <w:rPr>
                <w:rFonts w:hint="eastAsia"/>
                <w:color w:val="auto"/>
                <w:sz w:val="24"/>
                <w:szCs w:val="24"/>
                <w:highlight w:val="none"/>
              </w:rPr>
              <w:t>条：标段（包）内容（范围）及服务要求”</w:t>
            </w:r>
          </w:p>
        </w:tc>
        <w:tc>
          <w:tcPr>
            <w:tcW w:w="1881" w:type="dxa"/>
            <w:vAlign w:val="center"/>
          </w:tcPr>
          <w:p w14:paraId="5153FEBD">
            <w:pPr>
              <w:widowControl w:val="0"/>
              <w:snapToGrid w:val="0"/>
              <w:spacing w:line="240" w:lineRule="auto"/>
              <w:rPr>
                <w:color w:val="auto"/>
                <w:sz w:val="24"/>
                <w:szCs w:val="24"/>
                <w:highlight w:val="none"/>
              </w:rPr>
            </w:pPr>
            <w:r>
              <w:rPr>
                <w:rFonts w:hint="eastAsia"/>
                <w:color w:val="auto"/>
                <w:sz w:val="24"/>
                <w:szCs w:val="24"/>
                <w:highlight w:val="none"/>
              </w:rPr>
              <w:t>见竞争性磋商公告</w:t>
            </w:r>
            <w:r>
              <w:rPr>
                <w:color w:val="auto"/>
                <w:sz w:val="24"/>
                <w:szCs w:val="24"/>
                <w:highlight w:val="none"/>
              </w:rPr>
              <w:t>1.6</w:t>
            </w:r>
          </w:p>
        </w:tc>
        <w:tc>
          <w:tcPr>
            <w:tcW w:w="1378" w:type="dxa"/>
            <w:vAlign w:val="center"/>
          </w:tcPr>
          <w:p w14:paraId="05D74FE7">
            <w:pPr>
              <w:widowControl w:val="0"/>
              <w:snapToGrid w:val="0"/>
              <w:spacing w:line="240" w:lineRule="auto"/>
              <w:rPr>
                <w:color w:val="auto"/>
                <w:sz w:val="24"/>
                <w:szCs w:val="24"/>
                <w:highlight w:val="none"/>
              </w:rPr>
            </w:pPr>
            <w:r>
              <w:rPr>
                <w:rFonts w:hint="eastAsia"/>
                <w:color w:val="auto"/>
                <w:sz w:val="24"/>
                <w:szCs w:val="24"/>
                <w:highlight w:val="none"/>
              </w:rPr>
              <w:t>采购人指定地点</w:t>
            </w:r>
          </w:p>
        </w:tc>
      </w:tr>
    </w:tbl>
    <w:p w14:paraId="7E110D49">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 xml:space="preserve">1.3 </w:t>
      </w:r>
      <w:r>
        <w:rPr>
          <w:rFonts w:hint="eastAsia" w:ascii="黑体" w:hAnsi="黑体" w:eastAsia="黑体"/>
          <w:b/>
          <w:color w:val="auto"/>
          <w:sz w:val="24"/>
          <w:szCs w:val="24"/>
          <w:highlight w:val="none"/>
        </w:rPr>
        <w:t>磋商报价（价格构成）</w:t>
      </w:r>
    </w:p>
    <w:p w14:paraId="244D1FB5">
      <w:pPr>
        <w:widowControl w:val="0"/>
        <w:snapToGrid w:val="0"/>
        <w:spacing w:line="360" w:lineRule="auto"/>
        <w:ind w:firstLine="480" w:firstLineChars="200"/>
        <w:jc w:val="left"/>
        <w:rPr>
          <w:color w:val="auto"/>
          <w:sz w:val="24"/>
          <w:szCs w:val="24"/>
          <w:highlight w:val="none"/>
        </w:rPr>
      </w:pPr>
      <w:r>
        <w:rPr>
          <w:color w:val="auto"/>
          <w:sz w:val="24"/>
          <w:szCs w:val="24"/>
          <w:highlight w:val="none"/>
        </w:rPr>
        <w:t>1.3.1</w:t>
      </w:r>
      <w:r>
        <w:rPr>
          <w:rFonts w:hint="eastAsia"/>
          <w:color w:val="auto"/>
          <w:sz w:val="24"/>
          <w:szCs w:val="24"/>
          <w:highlight w:val="none"/>
        </w:rPr>
        <w:t>供应商的磋商报价应为达到服务要求下的目的地交验价，包括人工费、管理费、相关税费、交通费、知识产权（如有）、保险（如需）、所涉货物包装、技术服务费等与采购项目（标段（包））相关的、必须的款项及费用（包括未列明而完成交验所必须的所有费用、材料、工具、设施）。</w:t>
      </w:r>
      <w:r>
        <w:rPr>
          <w:rFonts w:hint="eastAsia" w:ascii="宋体" w:hAnsi="宋体"/>
          <w:color w:val="auto"/>
          <w:sz w:val="24"/>
          <w:szCs w:val="24"/>
          <w:highlight w:val="none"/>
        </w:rPr>
        <w:t>成交价格在成交合同范围内固定不变。</w:t>
      </w:r>
    </w:p>
    <w:p w14:paraId="50C2F473">
      <w:pPr>
        <w:widowControl w:val="0"/>
        <w:snapToGrid w:val="0"/>
        <w:spacing w:line="360" w:lineRule="auto"/>
        <w:ind w:firstLine="480" w:firstLineChars="200"/>
        <w:jc w:val="left"/>
        <w:rPr>
          <w:color w:val="auto"/>
          <w:sz w:val="24"/>
          <w:szCs w:val="24"/>
          <w:highlight w:val="none"/>
        </w:rPr>
      </w:pPr>
      <w:r>
        <w:rPr>
          <w:color w:val="auto"/>
          <w:sz w:val="24"/>
          <w:szCs w:val="24"/>
          <w:highlight w:val="none"/>
        </w:rPr>
        <w:t>1.3.2</w:t>
      </w:r>
      <w:r>
        <w:rPr>
          <w:rFonts w:hint="eastAsia"/>
          <w:color w:val="auto"/>
          <w:sz w:val="24"/>
          <w:szCs w:val="24"/>
          <w:highlight w:val="none"/>
        </w:rPr>
        <w:t>本次竞争性磋商共二次报价（含系统中</w:t>
      </w:r>
      <w:r>
        <w:rPr>
          <w:rFonts w:hint="eastAsia"/>
          <w:b/>
          <w:color w:val="auto"/>
          <w:sz w:val="24"/>
          <w:szCs w:val="24"/>
          <w:highlight w:val="none"/>
        </w:rPr>
        <w:t>开标一览表</w:t>
      </w:r>
      <w:r>
        <w:rPr>
          <w:rFonts w:hint="eastAsia"/>
          <w:color w:val="auto"/>
          <w:sz w:val="24"/>
          <w:szCs w:val="24"/>
          <w:highlight w:val="none"/>
        </w:rPr>
        <w:t>报价共二次价格磋商）。磋商小组未对《磋商文件》作优化变更增加的，磋商中的报价均不应超过前次报价，供应商擅自调高报价的。二次报价高于前次报价或未进行最终报价的，均按投标无效处理。供应商拒绝接受上述意见的，磋商小组将视为变相在提交《响应文件》截止时间后撤回《响应文件》，并评定其为无效投标，</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p>
    <w:p w14:paraId="42EFB1A8">
      <w:pPr>
        <w:autoSpaceDE w:val="0"/>
        <w:autoSpaceDN w:val="0"/>
        <w:adjustRightInd w:val="0"/>
        <w:snapToGrid w:val="0"/>
        <w:spacing w:before="120" w:beforeLines="50" w:line="300" w:lineRule="auto"/>
        <w:ind w:firstLine="569" w:firstLineChars="236"/>
        <w:jc w:val="left"/>
        <w:rPr>
          <w:b/>
          <w:color w:val="auto"/>
          <w:sz w:val="24"/>
          <w:szCs w:val="24"/>
          <w:highlight w:val="none"/>
        </w:rPr>
      </w:pPr>
      <w:r>
        <w:rPr>
          <w:rFonts w:hint="eastAsia"/>
          <w:b/>
          <w:color w:val="auto"/>
          <w:sz w:val="24"/>
          <w:szCs w:val="24"/>
          <w:highlight w:val="none"/>
        </w:rPr>
        <w:t>价</w:t>
      </w:r>
      <w:r>
        <w:rPr>
          <w:b/>
          <w:color w:val="auto"/>
          <w:sz w:val="24"/>
          <w:szCs w:val="24"/>
          <w:highlight w:val="none"/>
        </w:rPr>
        <w:t>格</w:t>
      </w:r>
      <w:r>
        <w:rPr>
          <w:rFonts w:hint="eastAsia"/>
          <w:b/>
          <w:color w:val="auto"/>
          <w:sz w:val="24"/>
          <w:szCs w:val="24"/>
          <w:highlight w:val="none"/>
        </w:rPr>
        <w:t>磋商</w:t>
      </w:r>
      <w:r>
        <w:rPr>
          <w:b/>
          <w:color w:val="auto"/>
          <w:sz w:val="24"/>
          <w:szCs w:val="24"/>
          <w:highlight w:val="none"/>
        </w:rPr>
        <w:t>规</w:t>
      </w:r>
      <w:r>
        <w:rPr>
          <w:rFonts w:hint="eastAsia"/>
          <w:b/>
          <w:color w:val="auto"/>
          <w:sz w:val="24"/>
          <w:szCs w:val="24"/>
          <w:highlight w:val="none"/>
        </w:rPr>
        <w:t>则</w:t>
      </w:r>
      <w:r>
        <w:rPr>
          <w:b/>
          <w:color w:val="auto"/>
          <w:sz w:val="24"/>
          <w:szCs w:val="24"/>
          <w:highlight w:val="none"/>
        </w:rPr>
        <w:t>详见第四章</w:t>
      </w:r>
      <w:r>
        <w:rPr>
          <w:rFonts w:hint="eastAsia"/>
          <w:b/>
          <w:color w:val="auto"/>
          <w:sz w:val="24"/>
          <w:szCs w:val="24"/>
          <w:highlight w:val="none"/>
        </w:rPr>
        <w:t>“评审办法”</w:t>
      </w:r>
      <w:r>
        <w:rPr>
          <w:b/>
          <w:color w:val="auto"/>
          <w:sz w:val="24"/>
          <w:szCs w:val="24"/>
          <w:highlight w:val="none"/>
        </w:rPr>
        <w:t>第</w:t>
      </w:r>
      <w:r>
        <w:rPr>
          <w:rFonts w:hint="eastAsia"/>
          <w:b/>
          <w:color w:val="auto"/>
          <w:sz w:val="24"/>
          <w:szCs w:val="24"/>
          <w:highlight w:val="none"/>
        </w:rPr>
        <w:t>“</w:t>
      </w:r>
      <w:r>
        <w:rPr>
          <w:b/>
          <w:color w:val="auto"/>
          <w:sz w:val="24"/>
          <w:szCs w:val="24"/>
          <w:highlight w:val="none"/>
        </w:rPr>
        <w:t>3.</w:t>
      </w:r>
      <w:r>
        <w:rPr>
          <w:rFonts w:hint="eastAsia"/>
          <w:b/>
          <w:color w:val="auto"/>
          <w:sz w:val="24"/>
          <w:szCs w:val="24"/>
          <w:highlight w:val="none"/>
        </w:rPr>
        <w:t>4</w:t>
      </w:r>
      <w:r>
        <w:rPr>
          <w:b/>
          <w:color w:val="auto"/>
          <w:sz w:val="24"/>
          <w:szCs w:val="24"/>
          <w:highlight w:val="none"/>
        </w:rPr>
        <w:t xml:space="preserve">.7 </w:t>
      </w:r>
      <w:r>
        <w:rPr>
          <w:rFonts w:hint="eastAsia"/>
          <w:b/>
          <w:color w:val="auto"/>
          <w:sz w:val="24"/>
          <w:szCs w:val="24"/>
          <w:highlight w:val="none"/>
        </w:rPr>
        <w:t>价格磋商”</w:t>
      </w:r>
      <w:r>
        <w:rPr>
          <w:b/>
          <w:color w:val="auto"/>
          <w:sz w:val="24"/>
          <w:szCs w:val="24"/>
          <w:highlight w:val="none"/>
        </w:rPr>
        <w:t>条款</w:t>
      </w:r>
      <w:r>
        <w:rPr>
          <w:rFonts w:hint="eastAsia"/>
          <w:b/>
          <w:color w:val="auto"/>
          <w:sz w:val="24"/>
          <w:szCs w:val="24"/>
          <w:highlight w:val="none"/>
        </w:rPr>
        <w:t>。</w:t>
      </w:r>
    </w:p>
    <w:p w14:paraId="21DB88AA">
      <w:pPr>
        <w:widowControl w:val="0"/>
        <w:snapToGrid w:val="0"/>
        <w:spacing w:line="360" w:lineRule="auto"/>
        <w:ind w:firstLine="480" w:firstLineChars="200"/>
        <w:jc w:val="left"/>
        <w:rPr>
          <w:color w:val="auto"/>
          <w:sz w:val="24"/>
          <w:szCs w:val="24"/>
          <w:highlight w:val="none"/>
        </w:rPr>
      </w:pPr>
      <w:r>
        <w:rPr>
          <w:color w:val="auto"/>
          <w:sz w:val="24"/>
          <w:szCs w:val="24"/>
          <w:highlight w:val="none"/>
        </w:rPr>
        <w:t xml:space="preserve">1.3.3 </w:t>
      </w:r>
      <w:r>
        <w:rPr>
          <w:rFonts w:hint="eastAsia"/>
          <w:color w:val="auto"/>
          <w:sz w:val="24"/>
          <w:szCs w:val="24"/>
          <w:highlight w:val="none"/>
        </w:rPr>
        <w:t>如供应商的磋商报价未超过</w:t>
      </w:r>
      <w:r>
        <w:rPr>
          <w:rFonts w:hint="eastAsia" w:ascii="宋体" w:hAnsi="宋体" w:cs="楷体_GB2312"/>
          <w:bCs/>
          <w:color w:val="auto"/>
          <w:sz w:val="24"/>
          <w:highlight w:val="none"/>
          <w:lang w:val="zh-CN"/>
        </w:rPr>
        <w:t>预算金额</w:t>
      </w:r>
      <w:r>
        <w:rPr>
          <w:rFonts w:hint="eastAsia"/>
          <w:color w:val="auto"/>
          <w:sz w:val="24"/>
          <w:szCs w:val="24"/>
          <w:highlight w:val="none"/>
        </w:rPr>
        <w:t>（见竞争性磋商公告</w:t>
      </w:r>
      <w:r>
        <w:rPr>
          <w:color w:val="auto"/>
          <w:sz w:val="24"/>
          <w:szCs w:val="24"/>
          <w:highlight w:val="none"/>
        </w:rPr>
        <w:t>1.</w:t>
      </w:r>
      <w:r>
        <w:rPr>
          <w:rFonts w:hint="eastAsia"/>
          <w:color w:val="auto"/>
          <w:sz w:val="24"/>
          <w:szCs w:val="24"/>
          <w:highlight w:val="none"/>
        </w:rPr>
        <w:t>4）的供应商不足三家的，该标段（包）做废标处理。</w:t>
      </w:r>
    </w:p>
    <w:p w14:paraId="4096E292">
      <w:pPr>
        <w:widowControl w:val="0"/>
        <w:snapToGrid w:val="0"/>
        <w:spacing w:line="360" w:lineRule="auto"/>
        <w:ind w:firstLine="480" w:firstLineChars="200"/>
        <w:jc w:val="left"/>
        <w:rPr>
          <w:color w:val="auto"/>
          <w:sz w:val="24"/>
          <w:szCs w:val="24"/>
          <w:highlight w:val="none"/>
        </w:rPr>
      </w:pPr>
      <w:r>
        <w:rPr>
          <w:color w:val="auto"/>
          <w:sz w:val="24"/>
          <w:szCs w:val="24"/>
          <w:highlight w:val="none"/>
        </w:rPr>
        <w:t>1.3.4</w:t>
      </w:r>
      <w:r>
        <w:rPr>
          <w:rFonts w:hint="eastAsia"/>
          <w:color w:val="auto"/>
          <w:sz w:val="24"/>
          <w:szCs w:val="24"/>
          <w:highlight w:val="none"/>
        </w:rPr>
        <w:t>遵循第三章供应商须知</w:t>
      </w:r>
      <w:r>
        <w:rPr>
          <w:color w:val="auto"/>
          <w:sz w:val="24"/>
          <w:szCs w:val="24"/>
          <w:highlight w:val="none"/>
        </w:rPr>
        <w:t>3.7.</w:t>
      </w:r>
      <w:r>
        <w:rPr>
          <w:rFonts w:hint="eastAsia"/>
          <w:color w:val="auto"/>
          <w:sz w:val="24"/>
          <w:szCs w:val="24"/>
          <w:highlight w:val="none"/>
        </w:rPr>
        <w:t>5项规定。</w:t>
      </w:r>
    </w:p>
    <w:p w14:paraId="4CB4C842">
      <w:pPr>
        <w:spacing w:line="560" w:lineRule="exact"/>
        <w:ind w:firstLine="562" w:firstLineChars="200"/>
        <w:rPr>
          <w:rFonts w:ascii="黑体" w:hAnsi="黑体" w:eastAsia="黑体"/>
          <w:b/>
          <w:color w:val="auto"/>
          <w:sz w:val="28"/>
          <w:highlight w:val="none"/>
        </w:rPr>
      </w:pPr>
    </w:p>
    <w:p w14:paraId="370C356A">
      <w:pPr>
        <w:spacing w:line="560" w:lineRule="exact"/>
        <w:ind w:firstLine="562" w:firstLineChars="200"/>
        <w:outlineLvl w:val="1"/>
        <w:rPr>
          <w:rFonts w:ascii="黑体" w:hAnsi="黑体" w:eastAsia="黑体"/>
          <w:b/>
          <w:color w:val="auto"/>
          <w:sz w:val="28"/>
          <w:highlight w:val="none"/>
        </w:rPr>
      </w:pPr>
      <w:bookmarkStart w:id="16" w:name="_Toc65744472"/>
      <w:bookmarkStart w:id="17" w:name="_Toc202883064"/>
      <w:r>
        <w:rPr>
          <w:rFonts w:ascii="黑体" w:hAnsi="黑体" w:eastAsia="黑体"/>
          <w:b/>
          <w:color w:val="auto"/>
          <w:sz w:val="28"/>
          <w:highlight w:val="none"/>
        </w:rPr>
        <w:t xml:space="preserve">2. </w:t>
      </w:r>
      <w:r>
        <w:rPr>
          <w:rFonts w:hint="eastAsia" w:ascii="黑体" w:hAnsi="黑体" w:eastAsia="黑体"/>
          <w:b/>
          <w:color w:val="auto"/>
          <w:sz w:val="28"/>
          <w:highlight w:val="none"/>
        </w:rPr>
        <w:t>标段（包）内容（范围）及服务要求</w:t>
      </w:r>
      <w:bookmarkEnd w:id="16"/>
      <w:bookmarkEnd w:id="17"/>
    </w:p>
    <w:p w14:paraId="3842C4B0">
      <w:pPr>
        <w:spacing w:line="560" w:lineRule="exact"/>
        <w:ind w:firstLine="482" w:firstLineChars="200"/>
        <w:rPr>
          <w:color w:val="auto"/>
          <w:sz w:val="24"/>
          <w:szCs w:val="24"/>
          <w:highlight w:val="none"/>
        </w:rPr>
      </w:pPr>
      <w:r>
        <w:rPr>
          <w:rFonts w:ascii="黑体" w:hAnsi="黑体" w:eastAsia="黑体"/>
          <w:b/>
          <w:color w:val="auto"/>
          <w:sz w:val="24"/>
          <w:szCs w:val="24"/>
          <w:highlight w:val="none"/>
        </w:rPr>
        <w:t xml:space="preserve">2.1 </w:t>
      </w:r>
      <w:r>
        <w:rPr>
          <w:rFonts w:hint="eastAsia" w:ascii="黑体" w:hAnsi="黑体" w:eastAsia="黑体"/>
          <w:b/>
          <w:color w:val="auto"/>
          <w:sz w:val="24"/>
          <w:szCs w:val="24"/>
          <w:highlight w:val="none"/>
        </w:rPr>
        <w:t>总体服务（方案）要求及标段（包）内容（范围）：</w:t>
      </w:r>
      <w:r>
        <w:rPr>
          <w:rFonts w:hint="eastAsia"/>
          <w:color w:val="auto"/>
          <w:sz w:val="24"/>
          <w:szCs w:val="24"/>
          <w:highlight w:val="none"/>
        </w:rPr>
        <w:t>详见下述</w:t>
      </w:r>
      <w:r>
        <w:rPr>
          <w:color w:val="auto"/>
          <w:sz w:val="24"/>
          <w:szCs w:val="24"/>
          <w:highlight w:val="none"/>
        </w:rPr>
        <w:t>2.</w:t>
      </w:r>
      <w:r>
        <w:rPr>
          <w:rFonts w:hint="eastAsia"/>
          <w:color w:val="auto"/>
          <w:sz w:val="24"/>
          <w:szCs w:val="24"/>
          <w:highlight w:val="none"/>
        </w:rPr>
        <w:t>4款</w:t>
      </w:r>
    </w:p>
    <w:p w14:paraId="445EFCE8">
      <w:pPr>
        <w:adjustRightInd w:val="0"/>
        <w:snapToGrid w:val="0"/>
        <w:spacing w:before="120"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2</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项目落实的政府采购政策（法规标准条款）</w:t>
      </w:r>
    </w:p>
    <w:p w14:paraId="5AD3BE6C">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.1 </w:t>
      </w:r>
      <w:r>
        <w:rPr>
          <w:rFonts w:hint="eastAsia" w:ascii="宋体" w:hAnsi="宋体"/>
          <w:color w:val="auto"/>
          <w:sz w:val="24"/>
          <w:szCs w:val="24"/>
          <w:highlight w:val="none"/>
        </w:rPr>
        <w:t>政府采购节能产品、环境标志产品实施品目清单管理后，对本次采购产品属于“节能产品政府采购品目清单”中强制采购品目的</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标产</w:t>
      </w:r>
      <w:r>
        <w:rPr>
          <w:rFonts w:hint="eastAsia" w:ascii="宋体" w:hAnsi="宋体" w:cs="宋体"/>
          <w:color w:val="auto"/>
          <w:sz w:val="24"/>
          <w:szCs w:val="24"/>
          <w:highlight w:val="none"/>
        </w:rPr>
        <w:t>品</w:t>
      </w:r>
      <w:r>
        <w:rPr>
          <w:rFonts w:ascii="宋体" w:hAnsi="宋体" w:cs="宋体"/>
          <w:color w:val="auto"/>
          <w:sz w:val="24"/>
          <w:szCs w:val="24"/>
          <w:highlight w:val="none"/>
        </w:rPr>
        <w:t>应当具有</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r>
        <w:rPr>
          <w:rFonts w:ascii="宋体" w:hAnsi="宋体" w:cs="宋体"/>
          <w:color w:val="auto"/>
          <w:sz w:val="24"/>
          <w:szCs w:val="24"/>
          <w:highlight w:val="none"/>
        </w:rPr>
        <w:t>）</w:t>
      </w:r>
      <w:r>
        <w:rPr>
          <w:rFonts w:hint="eastAsia" w:ascii="宋体" w:hAnsi="宋体" w:cs="宋体"/>
          <w:color w:val="auto"/>
          <w:sz w:val="24"/>
          <w:szCs w:val="24"/>
          <w:highlight w:val="none"/>
        </w:rPr>
        <w:t>，投</w:t>
      </w:r>
      <w:r>
        <w:rPr>
          <w:rFonts w:ascii="宋体" w:hAnsi="宋体" w:cs="宋体"/>
          <w:color w:val="auto"/>
          <w:sz w:val="24"/>
          <w:szCs w:val="24"/>
          <w:highlight w:val="none"/>
        </w:rPr>
        <w:t>标文件中应当提供</w:t>
      </w:r>
      <w:r>
        <w:rPr>
          <w:rFonts w:hint="eastAsia" w:ascii="宋体" w:hAnsi="宋体" w:cs="宋体"/>
          <w:color w:val="auto"/>
          <w:sz w:val="24"/>
          <w:szCs w:val="24"/>
          <w:highlight w:val="none"/>
        </w:rPr>
        <w:t>相</w:t>
      </w:r>
      <w:r>
        <w:rPr>
          <w:rFonts w:ascii="宋体" w:hAnsi="宋体" w:cs="宋体"/>
          <w:color w:val="auto"/>
          <w:sz w:val="24"/>
          <w:szCs w:val="24"/>
          <w:highlight w:val="none"/>
        </w:rPr>
        <w:t>应</w:t>
      </w:r>
      <w:r>
        <w:rPr>
          <w:rFonts w:hint="eastAsia" w:ascii="宋体" w:hAnsi="宋体" w:cs="宋体"/>
          <w:color w:val="auto"/>
          <w:sz w:val="24"/>
          <w:szCs w:val="24"/>
          <w:highlight w:val="none"/>
        </w:rPr>
        <w:t>的认证证书（认证证书应当为国家确定的认证机构出具、且应处于有效期之内）。</w:t>
      </w:r>
    </w:p>
    <w:p w14:paraId="5FFA705C">
      <w:pPr>
        <w:adjustRightInd w:val="0"/>
        <w:snapToGrid w:val="0"/>
        <w:spacing w:before="120"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属于政府强制采购</w:t>
      </w:r>
      <w:r>
        <w:rPr>
          <w:rFonts w:hint="eastAsia" w:ascii="宋体" w:hAnsi="宋体" w:cs="宋体"/>
          <w:color w:val="auto"/>
          <w:sz w:val="24"/>
          <w:szCs w:val="24"/>
          <w:highlight w:val="none"/>
        </w:rPr>
        <w:t>品目</w:t>
      </w:r>
      <w:r>
        <w:rPr>
          <w:rFonts w:hint="eastAsia" w:ascii="宋体" w:hAnsi="宋体"/>
          <w:color w:val="auto"/>
          <w:sz w:val="24"/>
          <w:szCs w:val="24"/>
          <w:highlight w:val="none"/>
        </w:rPr>
        <w:t>、而未按要求提供相应资料的，</w:t>
      </w:r>
      <w:r>
        <w:rPr>
          <w:rFonts w:hint="eastAsia" w:ascii="宋体" w:hAnsi="宋体"/>
          <w:b/>
          <w:color w:val="auto"/>
          <w:sz w:val="24"/>
          <w:szCs w:val="24"/>
          <w:highlight w:val="none"/>
        </w:rPr>
        <w:t>为无效投标</w:t>
      </w:r>
      <w:r>
        <w:rPr>
          <w:rFonts w:hint="eastAsia" w:ascii="宋体" w:hAnsi="宋体"/>
          <w:color w:val="auto"/>
          <w:sz w:val="24"/>
          <w:szCs w:val="24"/>
          <w:highlight w:val="none"/>
        </w:rPr>
        <w:t>。</w:t>
      </w:r>
    </w:p>
    <w:p w14:paraId="3470368D">
      <w:pPr>
        <w:adjustRightInd w:val="0"/>
        <w:snapToGrid w:val="0"/>
        <w:spacing w:before="120" w:beforeLines="50" w:line="300" w:lineRule="auto"/>
        <w:ind w:firstLine="480" w:firstLineChars="200"/>
        <w:rPr>
          <w:rFonts w:ascii="宋体" w:hAnsi="宋体" w:cs="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 xml:space="preserve">.2 </w:t>
      </w:r>
      <w:r>
        <w:rPr>
          <w:rFonts w:hint="eastAsia" w:ascii="宋体" w:hAnsi="宋体"/>
          <w:color w:val="auto"/>
          <w:sz w:val="24"/>
          <w:szCs w:val="24"/>
          <w:highlight w:val="none"/>
        </w:rPr>
        <w:t>同等条件下，</w:t>
      </w:r>
      <w:r>
        <w:rPr>
          <w:rFonts w:hint="eastAsia" w:ascii="宋体" w:hAnsi="宋体" w:cs="宋体"/>
          <w:color w:val="auto"/>
          <w:sz w:val="24"/>
          <w:szCs w:val="24"/>
          <w:highlight w:val="none"/>
        </w:rPr>
        <w:t>获得节能产品认证证书或环境标志产品认证证书的产品优先采购。(认证证书应</w:t>
      </w:r>
      <w:r>
        <w:rPr>
          <w:rFonts w:ascii="宋体" w:hAnsi="宋体" w:cs="宋体"/>
          <w:color w:val="auto"/>
          <w:sz w:val="24"/>
          <w:szCs w:val="24"/>
          <w:highlight w:val="none"/>
        </w:rPr>
        <w:t>当为</w:t>
      </w:r>
      <w:r>
        <w:rPr>
          <w:rFonts w:hint="eastAsia" w:ascii="宋体" w:hAnsi="宋体" w:cs="宋体"/>
          <w:color w:val="auto"/>
          <w:sz w:val="24"/>
          <w:szCs w:val="24"/>
          <w:highlight w:val="none"/>
        </w:rPr>
        <w:t>国家确定的认证机构出具、且</w:t>
      </w:r>
      <w:r>
        <w:rPr>
          <w:rFonts w:ascii="宋体" w:hAnsi="宋体" w:cs="宋体"/>
          <w:color w:val="auto"/>
          <w:sz w:val="24"/>
          <w:szCs w:val="24"/>
          <w:highlight w:val="none"/>
        </w:rPr>
        <w:t>应</w:t>
      </w:r>
      <w:r>
        <w:rPr>
          <w:rFonts w:hint="eastAsia" w:ascii="宋体" w:hAnsi="宋体" w:cs="宋体"/>
          <w:color w:val="auto"/>
          <w:sz w:val="24"/>
          <w:szCs w:val="24"/>
          <w:highlight w:val="none"/>
        </w:rPr>
        <w:t>处于有效期之内。)</w:t>
      </w:r>
    </w:p>
    <w:p w14:paraId="0F3D70BC">
      <w:pPr>
        <w:adjustRightInd w:val="0"/>
        <w:snapToGrid w:val="0"/>
        <w:spacing w:before="120" w:beforeLines="50" w:line="300" w:lineRule="auto"/>
        <w:ind w:firstLine="480" w:firstLineChars="200"/>
        <w:rPr>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3本次采购产品如有列入《网络关键设备和网络安全专用产品目录》的网络安全专用产品，该产品应当按照《关于调整网络安全专用产品安全管理有关事项的公告》要求进行安全认证或安全检测、或已获得《计算机信息系统安全专用产品销售许可证》（</w:t>
      </w:r>
      <w:r>
        <w:rPr>
          <w:rFonts w:hint="eastAsia" w:ascii="宋体" w:hAnsi="宋体" w:cs="宋体"/>
          <w:color w:val="auto"/>
          <w:sz w:val="24"/>
          <w:szCs w:val="24"/>
          <w:highlight w:val="none"/>
        </w:rPr>
        <w:t>应处于有效期内</w:t>
      </w:r>
      <w:r>
        <w:rPr>
          <w:rFonts w:hint="eastAsia" w:ascii="宋体" w:hAnsi="宋体"/>
          <w:color w:val="auto"/>
          <w:sz w:val="24"/>
          <w:szCs w:val="24"/>
          <w:highlight w:val="none"/>
        </w:rPr>
        <w:t>）。</w:t>
      </w:r>
    </w:p>
    <w:p w14:paraId="7EC21943">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4计算机产品须预装正版操作系统软件。</w:t>
      </w:r>
    </w:p>
    <w:p w14:paraId="1C545337">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本次采购不允许进口产品参加。</w:t>
      </w:r>
    </w:p>
    <w:p w14:paraId="13C1E93A">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6如允许采购进口产品的，优先采购向我国企业转让技术、与我国企业签订消化吸收再创新方案的供应商的进口产品。</w:t>
      </w:r>
    </w:p>
    <w:p w14:paraId="78B3F677">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7</w:t>
      </w:r>
      <w:r>
        <w:rPr>
          <w:rFonts w:ascii="宋体" w:hAnsi="宋体"/>
          <w:color w:val="auto"/>
          <w:sz w:val="24"/>
          <w:szCs w:val="24"/>
          <w:highlight w:val="none"/>
        </w:rPr>
        <w:t xml:space="preserve"> </w:t>
      </w:r>
      <w:r>
        <w:rPr>
          <w:rFonts w:hint="eastAsia" w:ascii="宋体" w:hAnsi="宋体"/>
          <w:color w:val="auto"/>
          <w:sz w:val="24"/>
          <w:szCs w:val="24"/>
          <w:highlight w:val="none"/>
        </w:rPr>
        <w:t>促进中小企业发展扶持政策：见第四章“评审办法”第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7D1C4406">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8促进残疾人就业、支持监狱企业发展：见第四章“评审办法”第</w:t>
      </w:r>
      <w:r>
        <w:rPr>
          <w:rFonts w:ascii="宋体" w:hAnsi="宋体"/>
          <w:color w:val="auto"/>
          <w:sz w:val="24"/>
          <w:szCs w:val="24"/>
          <w:highlight w:val="none"/>
        </w:rPr>
        <w:t>4</w:t>
      </w:r>
      <w:r>
        <w:rPr>
          <w:rFonts w:hint="eastAsia" w:ascii="宋体" w:hAnsi="宋体"/>
          <w:color w:val="auto"/>
          <w:sz w:val="24"/>
          <w:szCs w:val="24"/>
          <w:highlight w:val="none"/>
        </w:rPr>
        <w:t>条。</w:t>
      </w:r>
    </w:p>
    <w:p w14:paraId="72524D11">
      <w:pPr>
        <w:adjustRightInd w:val="0"/>
        <w:snapToGrid w:val="0"/>
        <w:spacing w:before="120" w:beforeLines="50" w:line="30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9</w:t>
      </w:r>
      <w:r>
        <w:rPr>
          <w:rFonts w:ascii="宋体" w:hAnsi="宋体"/>
          <w:color w:val="auto"/>
          <w:sz w:val="24"/>
          <w:szCs w:val="24"/>
          <w:highlight w:val="none"/>
        </w:rPr>
        <w:t xml:space="preserve"> </w:t>
      </w:r>
      <w:r>
        <w:rPr>
          <w:rFonts w:hint="eastAsia" w:ascii="宋体" w:hAnsi="宋体"/>
          <w:color w:val="auto"/>
          <w:sz w:val="24"/>
          <w:szCs w:val="24"/>
          <w:highlight w:val="none"/>
        </w:rPr>
        <w:t>所供产品有商品包装的应当使用绿色包装。所供产品有其他环保政策要求的，应符合相关环保法律政策要求。</w:t>
      </w:r>
    </w:p>
    <w:p w14:paraId="59E4FE77">
      <w:pPr>
        <w:adjustRightInd w:val="0"/>
        <w:snapToGrid w:val="0"/>
        <w:spacing w:before="120" w:beforeLines="50" w:line="30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2.2.10</w:t>
      </w:r>
      <w:r>
        <w:rPr>
          <w:rFonts w:ascii="宋体" w:hAnsi="宋体"/>
          <w:color w:val="auto"/>
          <w:sz w:val="24"/>
          <w:szCs w:val="24"/>
          <w:highlight w:val="none"/>
        </w:rPr>
        <w:t xml:space="preserve"> </w:t>
      </w:r>
      <w:r>
        <w:rPr>
          <w:rFonts w:hint="eastAsia" w:ascii="宋体" w:hAnsi="宋体"/>
          <w:color w:val="auto"/>
          <w:sz w:val="24"/>
          <w:szCs w:val="24"/>
          <w:highlight w:val="none"/>
        </w:rPr>
        <w:t>支持绿色建筑、绿色建材，支持使用低</w:t>
      </w:r>
      <w:r>
        <w:rPr>
          <w:rFonts w:ascii="Arial" w:hAnsi="Arial" w:cs="Arial"/>
          <w:color w:val="auto"/>
          <w:szCs w:val="21"/>
          <w:highlight w:val="none"/>
          <w:shd w:val="clear" w:color="auto" w:fill="FFFFFF"/>
        </w:rPr>
        <w:t>VOCs</w:t>
      </w:r>
      <w:r>
        <w:rPr>
          <w:rFonts w:hint="eastAsia" w:ascii="宋体" w:hAnsi="宋体"/>
          <w:color w:val="auto"/>
          <w:sz w:val="24"/>
          <w:szCs w:val="24"/>
          <w:highlight w:val="none"/>
        </w:rPr>
        <w:t>含量涂料和胶黏剂，支持不发达、少数民族地区的企业，促进自主创新产业发展，支持脱贫攻坚等；同等条件下，优先采购。</w:t>
      </w:r>
    </w:p>
    <w:p w14:paraId="2D8804E1">
      <w:pPr>
        <w:adjustRightInd w:val="0"/>
        <w:snapToGrid w:val="0"/>
        <w:spacing w:line="300" w:lineRule="auto"/>
        <w:ind w:firstLine="482" w:firstLineChars="200"/>
        <w:jc w:val="left"/>
        <w:rPr>
          <w:rFonts w:ascii="黑体" w:hAnsi="黑体" w:eastAsia="黑体"/>
          <w:b/>
          <w:color w:val="auto"/>
          <w:sz w:val="24"/>
          <w:szCs w:val="24"/>
          <w:highlight w:val="none"/>
        </w:rPr>
      </w:pPr>
      <w:r>
        <w:rPr>
          <w:rFonts w:ascii="黑体" w:hAnsi="黑体" w:eastAsia="黑体"/>
          <w:b/>
          <w:color w:val="auto"/>
          <w:sz w:val="24"/>
          <w:szCs w:val="24"/>
          <w:highlight w:val="none"/>
        </w:rPr>
        <w:t>2.3</w:t>
      </w:r>
      <w:r>
        <w:rPr>
          <w:rFonts w:hint="eastAsia" w:ascii="黑体" w:hAnsi="黑体" w:eastAsia="黑体"/>
          <w:b/>
          <w:color w:val="auto"/>
          <w:sz w:val="24"/>
          <w:szCs w:val="24"/>
          <w:highlight w:val="none"/>
        </w:rPr>
        <w:t>采购标的需执行的国家相关标准、行业标准、地方标准或者其他标准、规范；</w:t>
      </w:r>
    </w:p>
    <w:p w14:paraId="4663CFE1">
      <w:pPr>
        <w:widowControl w:val="0"/>
        <w:adjustRightInd w:val="0"/>
        <w:snapToGrid w:val="0"/>
        <w:spacing w:before="120" w:beforeLines="50" w:line="300" w:lineRule="auto"/>
        <w:ind w:left="22" w:firstLine="555"/>
        <w:rPr>
          <w:color w:val="auto"/>
          <w:sz w:val="24"/>
          <w:szCs w:val="24"/>
          <w:highlight w:val="none"/>
        </w:rPr>
      </w:pPr>
      <w:r>
        <w:rPr>
          <w:rFonts w:hint="eastAsia"/>
          <w:color w:val="auto"/>
          <w:sz w:val="24"/>
          <w:szCs w:val="24"/>
          <w:highlight w:val="none"/>
        </w:rPr>
        <w:t>供应商所报响应服务（及所涉货物材料设施）应符合国家质量标准、部颁标准及行业规范的要求，符合国家各项强制性规范及安全标准，响应服务（及所涉货物材料设施）不应与第三方存在知识产权权属问题；供应商应本着服务客户、为客户着想的宗旨，来完善服务（及所涉货物材料设施）及技术要求未尽事宜，不得以《磋商文件》未列明事项为由，来降低响应服务（及所涉货物材料设施）的质量。</w:t>
      </w:r>
    </w:p>
    <w:p w14:paraId="3B8CBF73">
      <w:pPr>
        <w:spacing w:line="560" w:lineRule="exact"/>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4具体服务要求及标段（包）内容（范围）</w:t>
      </w:r>
    </w:p>
    <w:p w14:paraId="2994E7E9">
      <w:pPr>
        <w:widowControl w:val="0"/>
        <w:adjustRightInd w:val="0"/>
        <w:snapToGrid w:val="0"/>
        <w:spacing w:before="120" w:beforeLines="50" w:line="300" w:lineRule="auto"/>
        <w:ind w:left="22" w:firstLine="555"/>
        <w:rPr>
          <w:rFonts w:ascii="宋体" w:hAnsi="宋体"/>
          <w:b/>
          <w:color w:val="auto"/>
          <w:sz w:val="24"/>
          <w:szCs w:val="28"/>
          <w:highlight w:val="none"/>
        </w:rPr>
      </w:pPr>
      <w:r>
        <w:rPr>
          <w:rFonts w:hint="eastAsia" w:ascii="宋体" w:hAnsi="宋体"/>
          <w:b/>
          <w:color w:val="auto"/>
          <w:sz w:val="24"/>
          <w:szCs w:val="28"/>
          <w:highlight w:val="none"/>
        </w:rPr>
        <w:t>一、服务范围</w:t>
      </w:r>
    </w:p>
    <w:p w14:paraId="63B498AE">
      <w:pPr>
        <w:widowControl w:val="0"/>
        <w:adjustRightInd w:val="0"/>
        <w:snapToGrid w:val="0"/>
        <w:spacing w:before="120" w:beforeLines="50" w:line="300" w:lineRule="auto"/>
        <w:ind w:left="22" w:firstLine="555"/>
        <w:rPr>
          <w:rFonts w:ascii="宋体" w:hAnsi="宋体" w:cs="宋体"/>
          <w:color w:val="auto"/>
          <w:sz w:val="24"/>
          <w:highlight w:val="none"/>
        </w:rPr>
      </w:pPr>
      <w:r>
        <w:rPr>
          <w:rFonts w:hint="eastAsia" w:ascii="宋体" w:hAnsi="宋体" w:cs="宋体"/>
          <w:color w:val="auto"/>
          <w:sz w:val="24"/>
          <w:szCs w:val="24"/>
          <w:highlight w:val="none"/>
        </w:rPr>
        <w:t>运行维护服务内容：</w:t>
      </w:r>
    </w:p>
    <w:p w14:paraId="50973066">
      <w:pPr>
        <w:widowControl w:val="0"/>
        <w:numPr>
          <w:ilvl w:val="0"/>
          <w:numId w:val="0"/>
        </w:numPr>
        <w:spacing w:line="360" w:lineRule="auto"/>
        <w:ind w:firstLine="240" w:firstLineChars="100"/>
        <w:textAlignment w:val="auto"/>
        <w:rPr>
          <w:rFonts w:ascii="宋体" w:hAnsi="宋体" w:cs="宋体"/>
          <w:color w:val="auto"/>
          <w:sz w:val="24"/>
          <w:highlight w:val="none"/>
        </w:rPr>
      </w:pPr>
      <w:r>
        <w:rPr>
          <w:rFonts w:ascii="宋体" w:hAnsi="宋体" w:eastAsia="宋体" w:cs="宋体"/>
          <w:color w:val="auto"/>
          <w:sz w:val="24"/>
          <w:highlight w:val="none"/>
          <w:u w:color="000000"/>
          <w:lang w:val="en-US" w:eastAsia="zh-CN" w:bidi="ar-SA"/>
        </w:rPr>
        <w:t>（1）</w:t>
      </w:r>
      <w:r>
        <w:rPr>
          <w:rFonts w:hint="eastAsia" w:ascii="宋体" w:hAnsi="宋体" w:cs="宋体"/>
          <w:color w:val="auto"/>
          <w:sz w:val="24"/>
          <w:szCs w:val="24"/>
          <w:highlight w:val="none"/>
        </w:rPr>
        <w:t>提供运维服务配套车载定位终端。</w:t>
      </w:r>
    </w:p>
    <w:p w14:paraId="02DCE514">
      <w:pPr>
        <w:widowControl w:val="0"/>
        <w:numPr>
          <w:ilvl w:val="0"/>
          <w:numId w:val="0"/>
        </w:numPr>
        <w:spacing w:line="360" w:lineRule="auto"/>
        <w:ind w:firstLine="240" w:firstLineChars="100"/>
        <w:textAlignment w:val="auto"/>
        <w:rPr>
          <w:rFonts w:ascii="宋体" w:hAnsi="宋体" w:cs="宋体"/>
          <w:color w:val="auto"/>
          <w:sz w:val="24"/>
          <w:highlight w:val="none"/>
        </w:rPr>
      </w:pPr>
      <w:r>
        <w:rPr>
          <w:rFonts w:ascii="宋体" w:hAnsi="宋体" w:eastAsia="宋体" w:cs="宋体"/>
          <w:color w:val="auto"/>
          <w:sz w:val="24"/>
          <w:highlight w:val="none"/>
          <w:u w:color="000000"/>
          <w:lang w:val="en-US" w:eastAsia="zh-CN" w:bidi="ar-SA"/>
        </w:rPr>
        <w:t>（2）</w:t>
      </w:r>
      <w:r>
        <w:rPr>
          <w:rFonts w:hint="eastAsia" w:ascii="宋体" w:hAnsi="宋体" w:cs="宋体"/>
          <w:color w:val="auto"/>
          <w:sz w:val="24"/>
          <w:szCs w:val="24"/>
          <w:highlight w:val="none"/>
        </w:rPr>
        <w:t>提供车载定位终端安装服务。</w:t>
      </w:r>
    </w:p>
    <w:p w14:paraId="1E2BB554">
      <w:pPr>
        <w:spacing w:line="360" w:lineRule="auto"/>
        <w:ind w:firstLine="240" w:firstLineChars="100"/>
        <w:rPr>
          <w:rFonts w:ascii="宋体" w:hAnsi="宋体" w:cs="宋体"/>
          <w:color w:val="auto"/>
          <w:sz w:val="24"/>
          <w:highlight w:val="none"/>
        </w:rPr>
      </w:pPr>
      <w:r>
        <w:rPr>
          <w:rFonts w:hint="eastAsia" w:ascii="宋体" w:hAnsi="宋体" w:cs="宋体"/>
          <w:color w:val="auto"/>
          <w:sz w:val="24"/>
          <w:szCs w:val="24"/>
          <w:highlight w:val="none"/>
        </w:rPr>
        <w:t>（3）服务期内提供车载定位终端运维服务。</w:t>
      </w:r>
    </w:p>
    <w:p w14:paraId="5502C53E">
      <w:pPr>
        <w:spacing w:line="360" w:lineRule="auto"/>
        <w:ind w:firstLine="240" w:firstLineChars="100"/>
        <w:rPr>
          <w:rFonts w:ascii="宋体" w:hAnsi="宋体" w:cs="宋体"/>
          <w:color w:val="auto"/>
          <w:sz w:val="24"/>
          <w:highlight w:val="none"/>
        </w:rPr>
      </w:pPr>
      <w:r>
        <w:rPr>
          <w:rFonts w:hint="eastAsia" w:ascii="宋体" w:hAnsi="宋体" w:cs="宋体"/>
          <w:color w:val="auto"/>
          <w:sz w:val="24"/>
          <w:szCs w:val="24"/>
          <w:highlight w:val="none"/>
        </w:rPr>
        <w:t>（4</w:t>
      </w:r>
      <w:r>
        <w:rPr>
          <w:rFonts w:ascii="宋体" w:hAnsi="宋体" w:cs="宋体"/>
          <w:color w:val="auto"/>
          <w:sz w:val="24"/>
          <w:szCs w:val="24"/>
          <w:highlight w:val="none"/>
        </w:rPr>
        <w:t>）</w:t>
      </w:r>
      <w:r>
        <w:rPr>
          <w:rFonts w:hint="eastAsia" w:ascii="宋体" w:hAnsi="宋体" w:cs="宋体"/>
          <w:color w:val="auto"/>
          <w:sz w:val="24"/>
          <w:szCs w:val="24"/>
          <w:highlight w:val="none"/>
        </w:rPr>
        <w:t>提供车辆信息化管理平台及技术服务。</w:t>
      </w:r>
    </w:p>
    <w:p w14:paraId="07A98DEC">
      <w:pPr>
        <w:spacing w:line="360" w:lineRule="auto"/>
        <w:ind w:firstLine="240" w:firstLineChars="100"/>
        <w:rPr>
          <w:rFonts w:ascii="宋体" w:hAnsi="宋体" w:cs="宋体"/>
          <w:color w:val="auto"/>
          <w:sz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color w:val="auto"/>
          <w:sz w:val="24"/>
          <w:szCs w:val="24"/>
          <w:highlight w:val="none"/>
        </w:rPr>
        <w:t>提供车辆信息化管理平台现场技术支持服务。</w:t>
      </w:r>
    </w:p>
    <w:p w14:paraId="0C147A47">
      <w:pPr>
        <w:spacing w:line="360" w:lineRule="auto"/>
        <w:ind w:firstLine="240" w:firstLineChars="100"/>
        <w:rPr>
          <w:rFonts w:ascii="宋体" w:hAnsi="宋体" w:cs="宋体"/>
          <w:color w:val="auto"/>
          <w:sz w:val="24"/>
          <w:highlight w:val="none"/>
        </w:rPr>
      </w:pPr>
      <w:r>
        <w:rPr>
          <w:rFonts w:ascii="宋体" w:hAnsi="宋体" w:cs="宋体"/>
          <w:color w:val="auto"/>
          <w:sz w:val="24"/>
          <w:szCs w:val="24"/>
          <w:highlight w:val="none"/>
        </w:rPr>
        <w:t>（</w:t>
      </w:r>
      <w:r>
        <w:rPr>
          <w:rFonts w:hint="eastAsia" w:ascii="宋体" w:hAnsi="宋体" w:cs="宋体"/>
          <w:color w:val="auto"/>
          <w:sz w:val="24"/>
          <w:szCs w:val="24"/>
          <w:highlight w:val="none"/>
        </w:rPr>
        <w:t>6</w:t>
      </w:r>
      <w:r>
        <w:rPr>
          <w:rFonts w:ascii="宋体" w:hAnsi="宋体" w:cs="宋体"/>
          <w:color w:val="auto"/>
          <w:sz w:val="24"/>
          <w:szCs w:val="24"/>
          <w:highlight w:val="none"/>
        </w:rPr>
        <w:t>）</w:t>
      </w:r>
      <w:r>
        <w:rPr>
          <w:rFonts w:hint="eastAsia" w:ascii="宋体" w:hAnsi="宋体" w:cs="宋体"/>
          <w:color w:val="auto"/>
          <w:sz w:val="24"/>
          <w:szCs w:val="24"/>
          <w:highlight w:val="none"/>
        </w:rPr>
        <w:t>车辆信息化管理平台</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级等保安全技术服务</w:t>
      </w:r>
    </w:p>
    <w:p w14:paraId="76A08422">
      <w:pPr>
        <w:widowControl w:val="0"/>
        <w:numPr>
          <w:ilvl w:val="0"/>
          <w:numId w:val="0"/>
        </w:numPr>
        <w:spacing w:line="360" w:lineRule="auto"/>
        <w:ind w:firstLine="240" w:firstLineChars="100"/>
        <w:textAlignment w:val="auto"/>
        <w:rPr>
          <w:rFonts w:ascii="宋体" w:hAnsi="宋体" w:cs="宋体"/>
          <w:color w:val="auto"/>
          <w:sz w:val="24"/>
          <w:highlight w:val="none"/>
        </w:rPr>
      </w:pPr>
      <w:r>
        <w:rPr>
          <w:rFonts w:ascii="宋体" w:hAnsi="宋体" w:eastAsia="宋体" w:cs="宋体"/>
          <w:color w:val="auto"/>
          <w:sz w:val="24"/>
          <w:highlight w:val="none"/>
          <w:u w:color="000000"/>
          <w:lang w:val="en-US" w:eastAsia="zh-CN" w:bidi="ar-SA"/>
        </w:rPr>
        <w:t>（7）</w:t>
      </w:r>
      <w:r>
        <w:rPr>
          <w:rFonts w:hint="eastAsia" w:ascii="宋体" w:hAnsi="宋体" w:cs="宋体"/>
          <w:color w:val="auto"/>
          <w:sz w:val="24"/>
          <w:szCs w:val="24"/>
          <w:highlight w:val="none"/>
        </w:rPr>
        <w:t>提供车辆信息化管理平台密保技术服务。</w:t>
      </w:r>
    </w:p>
    <w:p w14:paraId="10C52AB6">
      <w:pPr>
        <w:widowControl w:val="0"/>
        <w:numPr>
          <w:ilvl w:val="0"/>
          <w:numId w:val="0"/>
        </w:numPr>
        <w:spacing w:line="360" w:lineRule="auto"/>
        <w:ind w:firstLine="240" w:firstLineChars="100"/>
        <w:textAlignment w:val="auto"/>
        <w:rPr>
          <w:rFonts w:ascii="宋体" w:hAnsi="宋体" w:cs="宋体"/>
          <w:color w:val="auto"/>
          <w:sz w:val="24"/>
          <w:highlight w:val="none"/>
        </w:rPr>
      </w:pPr>
      <w:r>
        <w:rPr>
          <w:rFonts w:ascii="宋体" w:hAnsi="宋体" w:eastAsia="宋体" w:cs="宋体"/>
          <w:color w:val="auto"/>
          <w:sz w:val="24"/>
          <w:highlight w:val="none"/>
          <w:u w:color="000000"/>
          <w:lang w:val="en-US" w:eastAsia="zh-CN" w:bidi="ar-SA"/>
        </w:rPr>
        <w:t>（8）</w:t>
      </w:r>
      <w:r>
        <w:rPr>
          <w:rFonts w:hint="eastAsia" w:ascii="宋体" w:hAnsi="宋体" w:cs="宋体"/>
          <w:color w:val="auto"/>
          <w:sz w:val="24"/>
          <w:szCs w:val="24"/>
          <w:highlight w:val="none"/>
        </w:rPr>
        <w:t>提供其他相关配套的软、硬件升级服务。</w:t>
      </w:r>
    </w:p>
    <w:p w14:paraId="462124CB">
      <w:pPr>
        <w:spacing w:line="360" w:lineRule="auto"/>
        <w:ind w:firstLine="354" w:firstLineChars="147"/>
        <w:rPr>
          <w:rFonts w:ascii="宋体" w:hAnsi="宋体"/>
          <w:b/>
          <w:color w:val="auto"/>
          <w:sz w:val="24"/>
          <w:szCs w:val="28"/>
          <w:highlight w:val="none"/>
        </w:rPr>
      </w:pPr>
      <w:r>
        <w:rPr>
          <w:rFonts w:hint="eastAsia" w:ascii="宋体" w:hAnsi="宋体"/>
          <w:b/>
          <w:color w:val="auto"/>
          <w:sz w:val="24"/>
          <w:szCs w:val="28"/>
          <w:highlight w:val="none"/>
        </w:rPr>
        <w:t>二、具体服务内容及要求</w:t>
      </w:r>
    </w:p>
    <w:p w14:paraId="2F7D4C98">
      <w:pPr>
        <w:widowControl w:val="0"/>
        <w:tabs>
          <w:tab w:val="left" w:pos="39"/>
          <w:tab w:val="left" w:pos="96"/>
        </w:tabs>
        <w:snapToGrid w:val="0"/>
        <w:spacing w:line="360" w:lineRule="auto"/>
        <w:ind w:firstLine="480" w:firstLineChars="200"/>
        <w:jc w:val="left"/>
        <w:rPr>
          <w:rFonts w:hint="eastAsia" w:ascii="宋体" w:hAnsi="宋体" w:eastAsia="宋体"/>
          <w:color w:val="auto"/>
          <w:sz w:val="24"/>
          <w:szCs w:val="28"/>
          <w:highlight w:val="none"/>
          <w:lang w:val="en-US" w:eastAsia="zh-CN"/>
        </w:rPr>
      </w:pPr>
      <w:r>
        <w:rPr>
          <w:rFonts w:hint="eastAsia" w:ascii="宋体" w:hAnsi="宋体"/>
          <w:color w:val="auto"/>
          <w:sz w:val="24"/>
          <w:szCs w:val="28"/>
          <w:highlight w:val="none"/>
        </w:rPr>
        <w:t>（一）</w:t>
      </w:r>
      <w:r>
        <w:rPr>
          <w:rFonts w:hint="eastAsia" w:ascii="宋体" w:hAnsi="宋体"/>
          <w:color w:val="auto"/>
          <w:sz w:val="24"/>
          <w:szCs w:val="28"/>
          <w:highlight w:val="none"/>
          <w:lang w:val="en-US" w:eastAsia="zh-CN"/>
        </w:rPr>
        <w:t>对</w:t>
      </w:r>
      <w:r>
        <w:rPr>
          <w:rFonts w:hint="eastAsia" w:ascii="宋体" w:hAnsi="宋体" w:cs="宋体"/>
          <w:color w:val="auto"/>
          <w:sz w:val="24"/>
          <w:highlight w:val="none"/>
          <w:lang w:val="en-US" w:eastAsia="zh-CN"/>
        </w:rPr>
        <w:t>全市</w:t>
      </w:r>
      <w:r>
        <w:rPr>
          <w:rFonts w:hint="eastAsia" w:ascii="宋体" w:hAnsi="宋体" w:cs="宋体"/>
          <w:color w:val="auto"/>
          <w:sz w:val="24"/>
          <w:highlight w:val="none"/>
        </w:rPr>
        <w:t>1540台执法执勤车辆</w:t>
      </w:r>
      <w:r>
        <w:rPr>
          <w:rFonts w:hint="eastAsia" w:ascii="宋体" w:hAnsi="宋体" w:cs="宋体"/>
          <w:color w:val="auto"/>
          <w:sz w:val="24"/>
          <w:highlight w:val="none"/>
          <w:lang w:val="en-US" w:eastAsia="zh-CN"/>
        </w:rPr>
        <w:t>提供3年的定位监管</w:t>
      </w:r>
      <w:r>
        <w:rPr>
          <w:rFonts w:hint="eastAsia" w:ascii="宋体" w:hAnsi="宋体" w:cs="宋体"/>
          <w:color w:val="auto"/>
          <w:sz w:val="24"/>
          <w:highlight w:val="none"/>
        </w:rPr>
        <w:t>维保</w:t>
      </w:r>
      <w:r>
        <w:rPr>
          <w:rFonts w:hint="eastAsia" w:ascii="宋体" w:hAnsi="宋体" w:cs="宋体"/>
          <w:color w:val="auto"/>
          <w:sz w:val="24"/>
          <w:highlight w:val="none"/>
          <w:lang w:val="en-US" w:eastAsia="zh-CN"/>
        </w:rPr>
        <w:t>服务，服务期内保证车载定位终端正常运行；对于损坏的终端更换为符合以下要求的设备，并按有关部门规定通过工信部门相关备案。</w:t>
      </w:r>
      <w:r>
        <w:rPr>
          <w:rFonts w:hint="eastAsia" w:ascii="宋体" w:hAnsi="宋体" w:cs="宋体"/>
          <w:b/>
          <w:bCs/>
          <w:color w:val="auto"/>
          <w:sz w:val="24"/>
          <w:highlight w:val="none"/>
        </w:rPr>
        <w:t>供应商响应文件需专项承诺</w:t>
      </w:r>
      <w:r>
        <w:rPr>
          <w:rFonts w:hint="eastAsia" w:ascii="宋体" w:hAnsi="宋体" w:cs="宋体"/>
          <w:b/>
          <w:bCs/>
          <w:color w:val="auto"/>
          <w:sz w:val="24"/>
          <w:highlight w:val="none"/>
          <w:lang w:eastAsia="zh-CN"/>
        </w:rPr>
        <w:t>。</w:t>
      </w:r>
    </w:p>
    <w:tbl>
      <w:tblPr>
        <w:tblStyle w:val="9"/>
        <w:tblW w:w="9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7696"/>
      </w:tblGrid>
      <w:tr w14:paraId="6DF5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447" w:type="dxa"/>
            <w:gridSpan w:val="2"/>
            <w:shd w:val="clear" w:color="auto" w:fill="auto"/>
            <w:vAlign w:val="center"/>
          </w:tcPr>
          <w:p w14:paraId="79038984">
            <w:pPr>
              <w:spacing w:line="24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终端要求</w:t>
            </w:r>
          </w:p>
        </w:tc>
      </w:tr>
      <w:tr w14:paraId="7F2B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51" w:type="dxa"/>
            <w:noWrap/>
            <w:vAlign w:val="center"/>
          </w:tcPr>
          <w:p w14:paraId="03ACBCAD">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工作电流</w:t>
            </w:r>
          </w:p>
        </w:tc>
        <w:tc>
          <w:tcPr>
            <w:tcW w:w="7696" w:type="dxa"/>
            <w:vAlign w:val="center"/>
          </w:tcPr>
          <w:p w14:paraId="39CED569">
            <w:pPr>
              <w:spacing w:line="240" w:lineRule="atLeas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平均工作电流：≤</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0mA</w:t>
            </w:r>
            <w:r>
              <w:rPr>
                <w:rFonts w:hint="eastAsia" w:ascii="宋体" w:hAnsi="宋体" w:cs="宋体"/>
                <w:color w:val="auto"/>
                <w:sz w:val="24"/>
                <w:szCs w:val="24"/>
                <w:highlight w:val="none"/>
                <w:lang w:eastAsia="zh-CN"/>
              </w:rPr>
              <w:t>，</w:t>
            </w:r>
          </w:p>
        </w:tc>
      </w:tr>
      <w:tr w14:paraId="76561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51" w:type="dxa"/>
            <w:noWrap/>
            <w:vAlign w:val="center"/>
          </w:tcPr>
          <w:p w14:paraId="7D0359D2">
            <w:pPr>
              <w:spacing w:line="240" w:lineRule="atLeast"/>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安装方式</w:t>
            </w:r>
          </w:p>
        </w:tc>
        <w:tc>
          <w:tcPr>
            <w:tcW w:w="7696" w:type="dxa"/>
            <w:vAlign w:val="center"/>
          </w:tcPr>
          <w:p w14:paraId="46C6DBAE">
            <w:pPr>
              <w:spacing w:line="240" w:lineRule="atLeast"/>
              <w:jc w:val="left"/>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有线安装</w:t>
            </w:r>
          </w:p>
        </w:tc>
      </w:tr>
      <w:tr w14:paraId="352A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1" w:type="dxa"/>
            <w:noWrap/>
            <w:vAlign w:val="center"/>
          </w:tcPr>
          <w:p w14:paraId="39157CF0">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设备内置电池组</w:t>
            </w:r>
          </w:p>
        </w:tc>
        <w:tc>
          <w:tcPr>
            <w:tcW w:w="7696" w:type="dxa"/>
            <w:vAlign w:val="center"/>
          </w:tcPr>
          <w:p w14:paraId="5241B9E3">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额定容量≧50mAh</w:t>
            </w:r>
          </w:p>
        </w:tc>
      </w:tr>
      <w:tr w14:paraId="558A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751" w:type="dxa"/>
            <w:vMerge w:val="restart"/>
            <w:noWrap/>
            <w:vAlign w:val="center"/>
          </w:tcPr>
          <w:p w14:paraId="54F3E47E">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环境特性</w:t>
            </w:r>
          </w:p>
        </w:tc>
        <w:tc>
          <w:tcPr>
            <w:tcW w:w="7696" w:type="dxa"/>
            <w:vAlign w:val="center"/>
          </w:tcPr>
          <w:p w14:paraId="752D3AF6">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冷启动时间：≤34秒（平均）</w:t>
            </w:r>
          </w:p>
        </w:tc>
      </w:tr>
      <w:tr w14:paraId="0DD0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1" w:type="dxa"/>
            <w:vMerge w:val="continue"/>
            <w:noWrap/>
            <w:vAlign w:val="center"/>
          </w:tcPr>
          <w:p w14:paraId="668731EF">
            <w:pPr>
              <w:spacing w:line="240" w:lineRule="atLeast"/>
              <w:jc w:val="center"/>
              <w:rPr>
                <w:rFonts w:ascii="宋体" w:hAnsi="宋体" w:cs="宋体"/>
                <w:color w:val="auto"/>
                <w:sz w:val="24"/>
                <w:szCs w:val="24"/>
                <w:highlight w:val="none"/>
              </w:rPr>
            </w:pPr>
          </w:p>
        </w:tc>
        <w:tc>
          <w:tcPr>
            <w:tcW w:w="7696" w:type="dxa"/>
            <w:vAlign w:val="center"/>
          </w:tcPr>
          <w:p w14:paraId="2FA7A3AF">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热启动时间：≤3秒（平均）</w:t>
            </w:r>
          </w:p>
        </w:tc>
      </w:tr>
      <w:tr w14:paraId="2D7D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751" w:type="dxa"/>
            <w:vAlign w:val="center"/>
          </w:tcPr>
          <w:p w14:paraId="00024BC3">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网络制式</w:t>
            </w:r>
          </w:p>
        </w:tc>
        <w:tc>
          <w:tcPr>
            <w:tcW w:w="7696" w:type="dxa"/>
            <w:vAlign w:val="center"/>
          </w:tcPr>
          <w:p w14:paraId="4683CE28">
            <w:pPr>
              <w:spacing w:line="240" w:lineRule="atLeas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4G</w:t>
            </w:r>
            <w:r>
              <w:rPr>
                <w:rFonts w:hint="eastAsia" w:ascii="宋体" w:hAnsi="宋体" w:cs="宋体"/>
                <w:color w:val="auto"/>
                <w:sz w:val="24"/>
                <w:szCs w:val="24"/>
                <w:highlight w:val="none"/>
                <w:lang w:val="en-US" w:eastAsia="zh-CN"/>
              </w:rPr>
              <w:t>制式</w:t>
            </w:r>
          </w:p>
        </w:tc>
      </w:tr>
      <w:tr w14:paraId="44CA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751" w:type="dxa"/>
            <w:vAlign w:val="center"/>
          </w:tcPr>
          <w:p w14:paraId="1A93A887">
            <w:pPr>
              <w:spacing w:line="24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天线形态</w:t>
            </w:r>
          </w:p>
        </w:tc>
        <w:tc>
          <w:tcPr>
            <w:tcW w:w="7696" w:type="dxa"/>
            <w:vAlign w:val="center"/>
          </w:tcPr>
          <w:p w14:paraId="3AFF10AF">
            <w:pPr>
              <w:spacing w:line="240" w:lineRule="atLeast"/>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外置天线</w:t>
            </w:r>
          </w:p>
        </w:tc>
      </w:tr>
      <w:tr w14:paraId="387E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751" w:type="dxa"/>
            <w:vMerge w:val="restart"/>
            <w:vAlign w:val="center"/>
          </w:tcPr>
          <w:p w14:paraId="404C9D23">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通信特性</w:t>
            </w:r>
          </w:p>
        </w:tc>
        <w:tc>
          <w:tcPr>
            <w:tcW w:w="7696" w:type="dxa"/>
            <w:vAlign w:val="center"/>
          </w:tcPr>
          <w:p w14:paraId="7204EF5C">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频段：LTE-FDD：B1/B3/B5/B8</w:t>
            </w:r>
          </w:p>
          <w:p w14:paraId="5B220CAB">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LTE-TDD：B34/B38/B39/B40/B41</w:t>
            </w:r>
          </w:p>
        </w:tc>
      </w:tr>
      <w:tr w14:paraId="1FC1B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51" w:type="dxa"/>
            <w:vMerge w:val="continue"/>
            <w:noWrap/>
            <w:vAlign w:val="center"/>
          </w:tcPr>
          <w:p w14:paraId="1CF658A5">
            <w:pPr>
              <w:spacing w:line="240" w:lineRule="atLeast"/>
              <w:jc w:val="center"/>
              <w:rPr>
                <w:rFonts w:ascii="宋体" w:hAnsi="宋体" w:cs="宋体"/>
                <w:color w:val="auto"/>
                <w:sz w:val="24"/>
                <w:szCs w:val="24"/>
                <w:highlight w:val="none"/>
              </w:rPr>
            </w:pPr>
          </w:p>
        </w:tc>
        <w:tc>
          <w:tcPr>
            <w:tcW w:w="7696" w:type="dxa"/>
            <w:vAlign w:val="center"/>
          </w:tcPr>
          <w:p w14:paraId="697C2F64">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最大输出功率：</w:t>
            </w:r>
          </w:p>
          <w:p w14:paraId="62944517">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LTE-TDD：Class3(23dBm+1/-3dB)</w:t>
            </w:r>
          </w:p>
          <w:p w14:paraId="3AF146C1">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LTE-FDD：Class3(23dBm+-2dB)</w:t>
            </w:r>
          </w:p>
        </w:tc>
      </w:tr>
      <w:tr w14:paraId="50AE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51" w:type="dxa"/>
            <w:vMerge w:val="continue"/>
            <w:noWrap/>
            <w:vAlign w:val="center"/>
          </w:tcPr>
          <w:p w14:paraId="7EC3EC8B">
            <w:pPr>
              <w:spacing w:line="240" w:lineRule="atLeast"/>
              <w:jc w:val="center"/>
              <w:rPr>
                <w:rFonts w:ascii="宋体" w:hAnsi="宋体" w:cs="宋体"/>
                <w:color w:val="auto"/>
                <w:sz w:val="24"/>
                <w:szCs w:val="24"/>
                <w:highlight w:val="none"/>
              </w:rPr>
            </w:pPr>
          </w:p>
        </w:tc>
        <w:tc>
          <w:tcPr>
            <w:tcW w:w="7696" w:type="dxa"/>
            <w:vAlign w:val="center"/>
          </w:tcPr>
          <w:p w14:paraId="4671B9CD">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最大频率误差：±0.1ppm</w:t>
            </w:r>
          </w:p>
        </w:tc>
      </w:tr>
      <w:tr w14:paraId="6E06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51" w:type="dxa"/>
            <w:vMerge w:val="continue"/>
            <w:noWrap/>
            <w:vAlign w:val="center"/>
          </w:tcPr>
          <w:p w14:paraId="12D61363">
            <w:pPr>
              <w:spacing w:line="240" w:lineRule="atLeast"/>
              <w:jc w:val="center"/>
              <w:rPr>
                <w:rFonts w:ascii="宋体" w:hAnsi="宋体" w:cs="宋体"/>
                <w:color w:val="auto"/>
                <w:sz w:val="24"/>
                <w:szCs w:val="24"/>
                <w:highlight w:val="none"/>
              </w:rPr>
            </w:pPr>
          </w:p>
        </w:tc>
        <w:tc>
          <w:tcPr>
            <w:tcW w:w="7696" w:type="dxa"/>
            <w:vAlign w:val="center"/>
          </w:tcPr>
          <w:p w14:paraId="5D34BD84">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接收灵敏度：</w:t>
            </w:r>
          </w:p>
          <w:p w14:paraId="13215488">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TD-LTE：≤100dBm(10M) </w:t>
            </w:r>
          </w:p>
          <w:p w14:paraId="22F380B6">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LTE-FDD：≤100dBm(10M)</w:t>
            </w:r>
          </w:p>
        </w:tc>
      </w:tr>
      <w:tr w14:paraId="5DB4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1" w:type="dxa"/>
            <w:vMerge w:val="continue"/>
            <w:noWrap/>
            <w:vAlign w:val="center"/>
          </w:tcPr>
          <w:p w14:paraId="431E848B">
            <w:pPr>
              <w:spacing w:line="240" w:lineRule="atLeast"/>
              <w:jc w:val="center"/>
              <w:rPr>
                <w:rFonts w:ascii="宋体" w:hAnsi="宋体" w:cs="宋体"/>
                <w:color w:val="auto"/>
                <w:sz w:val="24"/>
                <w:szCs w:val="24"/>
                <w:highlight w:val="none"/>
              </w:rPr>
            </w:pPr>
          </w:p>
        </w:tc>
        <w:tc>
          <w:tcPr>
            <w:tcW w:w="7696" w:type="dxa"/>
            <w:vAlign w:val="center"/>
          </w:tcPr>
          <w:p w14:paraId="61F5A15A">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跟踪灵敏度：≧-200dBm</w:t>
            </w:r>
          </w:p>
        </w:tc>
      </w:tr>
      <w:tr w14:paraId="2CD9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751" w:type="dxa"/>
            <w:vMerge w:val="continue"/>
            <w:noWrap/>
            <w:vAlign w:val="center"/>
          </w:tcPr>
          <w:p w14:paraId="7EB87CF6">
            <w:pPr>
              <w:spacing w:line="240" w:lineRule="atLeast"/>
              <w:jc w:val="center"/>
              <w:rPr>
                <w:rFonts w:ascii="宋体" w:hAnsi="宋体" w:cs="宋体"/>
                <w:color w:val="auto"/>
                <w:sz w:val="24"/>
                <w:szCs w:val="24"/>
                <w:highlight w:val="none"/>
              </w:rPr>
            </w:pPr>
          </w:p>
        </w:tc>
        <w:tc>
          <w:tcPr>
            <w:tcW w:w="7696" w:type="dxa"/>
            <w:vAlign w:val="center"/>
          </w:tcPr>
          <w:p w14:paraId="765A991B">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捕捉灵敏度：≧-200dBm</w:t>
            </w:r>
          </w:p>
        </w:tc>
      </w:tr>
      <w:tr w14:paraId="7A91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751" w:type="dxa"/>
            <w:vMerge w:val="restart"/>
            <w:vAlign w:val="center"/>
          </w:tcPr>
          <w:p w14:paraId="16F081A1">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功能特性</w:t>
            </w:r>
          </w:p>
        </w:tc>
        <w:tc>
          <w:tcPr>
            <w:tcW w:w="7696" w:type="dxa"/>
            <w:vAlign w:val="center"/>
          </w:tcPr>
          <w:p w14:paraId="25C6738A">
            <w:pPr>
              <w:spacing w:line="240" w:lineRule="atLeas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支持电路防反接设计</w:t>
            </w:r>
          </w:p>
        </w:tc>
      </w:tr>
      <w:tr w14:paraId="21FA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51" w:type="dxa"/>
            <w:vMerge w:val="continue"/>
            <w:noWrap/>
            <w:vAlign w:val="center"/>
          </w:tcPr>
          <w:p w14:paraId="7075ABA1">
            <w:pPr>
              <w:spacing w:line="240" w:lineRule="atLeast"/>
              <w:jc w:val="center"/>
              <w:rPr>
                <w:rFonts w:ascii="宋体" w:hAnsi="宋体" w:cs="宋体"/>
                <w:color w:val="auto"/>
                <w:sz w:val="24"/>
                <w:szCs w:val="24"/>
                <w:highlight w:val="none"/>
              </w:rPr>
            </w:pPr>
          </w:p>
        </w:tc>
        <w:tc>
          <w:tcPr>
            <w:tcW w:w="7696" w:type="dxa"/>
            <w:vAlign w:val="center"/>
          </w:tcPr>
          <w:p w14:paraId="51531295">
            <w:pPr>
              <w:spacing w:line="240" w:lineRule="atLeas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支持远程升级</w:t>
            </w:r>
          </w:p>
        </w:tc>
      </w:tr>
      <w:tr w14:paraId="1281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751" w:type="dxa"/>
            <w:vMerge w:val="continue"/>
            <w:noWrap/>
            <w:vAlign w:val="center"/>
          </w:tcPr>
          <w:p w14:paraId="1C383965">
            <w:pPr>
              <w:spacing w:line="240" w:lineRule="atLeast"/>
              <w:jc w:val="center"/>
              <w:rPr>
                <w:rFonts w:ascii="宋体" w:hAnsi="宋体" w:cs="宋体"/>
                <w:color w:val="auto"/>
                <w:sz w:val="24"/>
                <w:szCs w:val="24"/>
                <w:highlight w:val="none"/>
              </w:rPr>
            </w:pPr>
          </w:p>
        </w:tc>
        <w:tc>
          <w:tcPr>
            <w:tcW w:w="7696" w:type="dxa"/>
            <w:vAlign w:val="center"/>
          </w:tcPr>
          <w:p w14:paraId="27525A56">
            <w:pPr>
              <w:spacing w:line="240" w:lineRule="atLeas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支持部标JT/T808协议</w:t>
            </w:r>
          </w:p>
        </w:tc>
      </w:tr>
      <w:tr w14:paraId="651E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751" w:type="dxa"/>
            <w:vMerge w:val="continue"/>
            <w:noWrap/>
            <w:vAlign w:val="center"/>
          </w:tcPr>
          <w:p w14:paraId="09CB1DE8">
            <w:pPr>
              <w:spacing w:line="240" w:lineRule="atLeast"/>
              <w:jc w:val="center"/>
              <w:rPr>
                <w:rFonts w:ascii="宋体" w:hAnsi="宋体" w:cs="宋体"/>
                <w:color w:val="auto"/>
                <w:sz w:val="24"/>
                <w:szCs w:val="24"/>
                <w:highlight w:val="none"/>
              </w:rPr>
            </w:pPr>
          </w:p>
        </w:tc>
        <w:tc>
          <w:tcPr>
            <w:tcW w:w="7696" w:type="dxa"/>
            <w:vAlign w:val="center"/>
          </w:tcPr>
          <w:p w14:paraId="6E2F66DB">
            <w:pPr>
              <w:spacing w:line="240" w:lineRule="atLeas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支持盲区补报和拐点补传</w:t>
            </w:r>
          </w:p>
        </w:tc>
      </w:tr>
      <w:tr w14:paraId="0B64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751" w:type="dxa"/>
            <w:vMerge w:val="continue"/>
            <w:noWrap/>
            <w:vAlign w:val="center"/>
          </w:tcPr>
          <w:p w14:paraId="0FDF19C9">
            <w:pPr>
              <w:spacing w:line="240" w:lineRule="atLeast"/>
              <w:jc w:val="center"/>
              <w:rPr>
                <w:rFonts w:ascii="宋体" w:hAnsi="宋体" w:cs="宋体"/>
                <w:color w:val="auto"/>
                <w:sz w:val="24"/>
                <w:szCs w:val="24"/>
                <w:highlight w:val="none"/>
              </w:rPr>
            </w:pPr>
          </w:p>
        </w:tc>
        <w:tc>
          <w:tcPr>
            <w:tcW w:w="7696" w:type="dxa"/>
            <w:vAlign w:val="center"/>
          </w:tcPr>
          <w:p w14:paraId="3B468CCF">
            <w:pPr>
              <w:spacing w:line="240" w:lineRule="atLeas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休眠状态下平均功耗不超过2W</w:t>
            </w:r>
          </w:p>
        </w:tc>
      </w:tr>
      <w:tr w14:paraId="5547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751" w:type="dxa"/>
            <w:noWrap/>
            <w:vAlign w:val="center"/>
          </w:tcPr>
          <w:p w14:paraId="37BD8737">
            <w:pPr>
              <w:spacing w:line="240" w:lineRule="atLeas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定位精度</w:t>
            </w:r>
          </w:p>
        </w:tc>
        <w:tc>
          <w:tcPr>
            <w:tcW w:w="7696" w:type="dxa"/>
            <w:vAlign w:val="center"/>
          </w:tcPr>
          <w:p w14:paraId="4A860231">
            <w:pPr>
              <w:spacing w:line="240" w:lineRule="atLeast"/>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10米</w:t>
            </w:r>
          </w:p>
        </w:tc>
      </w:tr>
      <w:tr w14:paraId="275D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751" w:type="dxa"/>
            <w:noWrap/>
            <w:vAlign w:val="center"/>
          </w:tcPr>
          <w:p w14:paraId="4A46C562">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其它要求</w:t>
            </w:r>
          </w:p>
        </w:tc>
        <w:tc>
          <w:tcPr>
            <w:tcW w:w="7696" w:type="dxa"/>
            <w:vAlign w:val="center"/>
          </w:tcPr>
          <w:p w14:paraId="1908CF02">
            <w:pPr>
              <w:spacing w:line="240" w:lineRule="atLeas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★车载终端支持单北斗功能</w:t>
            </w:r>
            <w:r>
              <w:rPr>
                <w:rFonts w:hint="eastAsia" w:ascii="宋体" w:hAnsi="宋体" w:cs="宋体"/>
                <w:color w:val="auto"/>
                <w:sz w:val="24"/>
                <w:szCs w:val="24"/>
                <w:highlight w:val="none"/>
                <w:lang w:eastAsia="zh-CN"/>
              </w:rPr>
              <w:t>。</w:t>
            </w:r>
          </w:p>
          <w:p w14:paraId="0A2B7F22">
            <w:pPr>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产品具有</w:t>
            </w:r>
            <w:r>
              <w:rPr>
                <w:rFonts w:hint="eastAsia" w:ascii="宋体" w:hAnsi="宋体" w:cs="宋体"/>
                <w:color w:val="auto"/>
                <w:sz w:val="24"/>
                <w:szCs w:val="24"/>
                <w:highlight w:val="none"/>
              </w:rPr>
              <w:t>3C认证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响应文件中提供认证证书。</w:t>
            </w:r>
          </w:p>
        </w:tc>
      </w:tr>
    </w:tbl>
    <w:p w14:paraId="35471A7B">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p>
    <w:p w14:paraId="0CCFF507">
      <w:pPr>
        <w:widowControl w:val="0"/>
        <w:numPr>
          <w:ilvl w:val="0"/>
          <w:numId w:val="0"/>
        </w:numPr>
        <w:tabs>
          <w:tab w:val="left" w:pos="39"/>
          <w:tab w:val="left" w:pos="96"/>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u w:color="000000"/>
          <w:lang w:val="en-US" w:eastAsia="zh-CN" w:bidi="ar-SA"/>
        </w:rPr>
        <w:t>（二）</w:t>
      </w:r>
      <w:r>
        <w:rPr>
          <w:rFonts w:hint="eastAsia" w:ascii="宋体" w:hAnsi="宋体" w:cs="宋体"/>
          <w:color w:val="auto"/>
          <w:sz w:val="24"/>
          <w:highlight w:val="none"/>
        </w:rPr>
        <w:t>车辆信息化管理平台主要功能及技术服务</w:t>
      </w:r>
    </w:p>
    <w:tbl>
      <w:tblPr>
        <w:tblStyle w:val="9"/>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9"/>
        <w:gridCol w:w="3007"/>
        <w:gridCol w:w="4268"/>
      </w:tblGrid>
      <w:tr w14:paraId="1DF61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3F91A">
            <w:pPr>
              <w:spacing w:line="240" w:lineRule="atLeas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一级功能模块</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0D3B3">
            <w:pPr>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二级功能模块</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2C636">
            <w:pPr>
              <w:spacing w:line="24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三级功能模块</w:t>
            </w:r>
          </w:p>
        </w:tc>
      </w:tr>
      <w:tr w14:paraId="4858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07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A038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首页</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275B6">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D4DCD">
            <w:pPr>
              <w:spacing w:line="240" w:lineRule="atLeast"/>
              <w:jc w:val="center"/>
              <w:rPr>
                <w:rFonts w:hint="eastAsia" w:ascii="宋体" w:hAnsi="宋体" w:eastAsia="宋体" w:cs="宋体"/>
                <w:color w:val="auto"/>
                <w:sz w:val="24"/>
                <w:szCs w:val="24"/>
                <w:highlight w:val="none"/>
              </w:rPr>
            </w:pPr>
          </w:p>
        </w:tc>
      </w:tr>
      <w:tr w14:paraId="1DB8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45C6C6">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监控中心</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C2D6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车辆监控</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7F782">
            <w:pPr>
              <w:spacing w:line="240" w:lineRule="atLeast"/>
              <w:jc w:val="center"/>
              <w:rPr>
                <w:rFonts w:hint="eastAsia" w:ascii="宋体" w:hAnsi="宋体" w:eastAsia="宋体" w:cs="宋体"/>
                <w:color w:val="auto"/>
                <w:sz w:val="24"/>
                <w:szCs w:val="24"/>
                <w:highlight w:val="none"/>
              </w:rPr>
            </w:pPr>
          </w:p>
        </w:tc>
      </w:tr>
      <w:tr w14:paraId="10D21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19C0D7">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1D6E6">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轨迹回放</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4B659">
            <w:pPr>
              <w:spacing w:line="240" w:lineRule="atLeast"/>
              <w:jc w:val="center"/>
              <w:rPr>
                <w:rFonts w:hint="eastAsia" w:ascii="宋体" w:hAnsi="宋体" w:eastAsia="宋体" w:cs="宋体"/>
                <w:color w:val="auto"/>
                <w:sz w:val="24"/>
                <w:szCs w:val="24"/>
                <w:highlight w:val="none"/>
              </w:rPr>
            </w:pPr>
          </w:p>
        </w:tc>
      </w:tr>
      <w:tr w14:paraId="3CA4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C56B079">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车务管理</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514EB">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车务统计</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BB76">
            <w:pPr>
              <w:spacing w:line="240" w:lineRule="atLeast"/>
              <w:jc w:val="center"/>
              <w:rPr>
                <w:rFonts w:hint="eastAsia" w:ascii="宋体" w:hAnsi="宋体" w:eastAsia="宋体" w:cs="宋体"/>
                <w:color w:val="auto"/>
                <w:sz w:val="24"/>
                <w:szCs w:val="24"/>
                <w:highlight w:val="none"/>
              </w:rPr>
            </w:pPr>
          </w:p>
        </w:tc>
      </w:tr>
      <w:tr w14:paraId="1C18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EA7D93">
            <w:pPr>
              <w:spacing w:line="240" w:lineRule="atLeast"/>
              <w:jc w:val="center"/>
              <w:rPr>
                <w:rFonts w:hint="eastAsia" w:ascii="宋体" w:hAnsi="宋体" w:eastAsia="宋体" w:cs="宋体"/>
                <w:color w:val="auto"/>
                <w:sz w:val="24"/>
                <w:szCs w:val="24"/>
                <w:highlight w:val="none"/>
              </w:rPr>
            </w:pPr>
          </w:p>
        </w:tc>
        <w:tc>
          <w:tcPr>
            <w:tcW w:w="3007" w:type="dxa"/>
            <w:vMerge w:val="restart"/>
            <w:tcBorders>
              <w:top w:val="single" w:color="000000" w:sz="4" w:space="0"/>
              <w:left w:val="single" w:color="000000" w:sz="4" w:space="0"/>
              <w:right w:val="single" w:color="000000" w:sz="4" w:space="0"/>
            </w:tcBorders>
            <w:shd w:val="clear" w:color="auto" w:fill="FFFFFF"/>
            <w:vAlign w:val="center"/>
          </w:tcPr>
          <w:p w14:paraId="2753D7FA">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用车服务</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BBC62">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用车申请</w:t>
            </w:r>
          </w:p>
        </w:tc>
      </w:tr>
      <w:tr w14:paraId="3F79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C2BF44">
            <w:pPr>
              <w:spacing w:line="240" w:lineRule="atLeast"/>
              <w:jc w:val="center"/>
              <w:rPr>
                <w:rFonts w:hint="eastAsia" w:ascii="宋体" w:hAnsi="宋体" w:eastAsia="宋体" w:cs="宋体"/>
                <w:color w:val="auto"/>
                <w:sz w:val="24"/>
                <w:szCs w:val="24"/>
                <w:highlight w:val="none"/>
              </w:rPr>
            </w:pPr>
          </w:p>
        </w:tc>
        <w:tc>
          <w:tcPr>
            <w:tcW w:w="3007" w:type="dxa"/>
            <w:vMerge w:val="continue"/>
            <w:tcBorders>
              <w:left w:val="single" w:color="000000" w:sz="4" w:space="0"/>
              <w:right w:val="single" w:color="000000" w:sz="4" w:space="0"/>
            </w:tcBorders>
            <w:shd w:val="clear" w:color="auto" w:fill="FFFFFF"/>
            <w:vAlign w:val="center"/>
          </w:tcPr>
          <w:p w14:paraId="4BEC3C3C">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40191">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用车审批</w:t>
            </w:r>
          </w:p>
        </w:tc>
      </w:tr>
      <w:tr w14:paraId="6B7E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952706">
            <w:pPr>
              <w:spacing w:line="240" w:lineRule="atLeast"/>
              <w:jc w:val="center"/>
              <w:rPr>
                <w:rFonts w:hint="eastAsia" w:ascii="宋体" w:hAnsi="宋体" w:eastAsia="宋体" w:cs="宋体"/>
                <w:color w:val="auto"/>
                <w:sz w:val="24"/>
                <w:szCs w:val="24"/>
                <w:highlight w:val="none"/>
              </w:rPr>
            </w:pPr>
          </w:p>
        </w:tc>
        <w:tc>
          <w:tcPr>
            <w:tcW w:w="3007" w:type="dxa"/>
            <w:vMerge w:val="continue"/>
            <w:tcBorders>
              <w:left w:val="single" w:color="000000" w:sz="4" w:space="0"/>
              <w:right w:val="single" w:color="000000" w:sz="4" w:space="0"/>
            </w:tcBorders>
            <w:shd w:val="clear" w:color="auto" w:fill="FFFFFF"/>
            <w:vAlign w:val="center"/>
          </w:tcPr>
          <w:p w14:paraId="4CDB519E">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69AF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车辆调度</w:t>
            </w:r>
          </w:p>
        </w:tc>
      </w:tr>
      <w:tr w14:paraId="27848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6CA7C3">
            <w:pPr>
              <w:spacing w:line="240" w:lineRule="atLeast"/>
              <w:jc w:val="center"/>
              <w:rPr>
                <w:rFonts w:hint="eastAsia" w:ascii="宋体" w:hAnsi="宋体" w:eastAsia="宋体" w:cs="宋体"/>
                <w:color w:val="auto"/>
                <w:sz w:val="24"/>
                <w:szCs w:val="24"/>
                <w:highlight w:val="none"/>
              </w:rPr>
            </w:pPr>
          </w:p>
        </w:tc>
        <w:tc>
          <w:tcPr>
            <w:tcW w:w="3007" w:type="dxa"/>
            <w:vMerge w:val="continue"/>
            <w:tcBorders>
              <w:left w:val="single" w:color="000000" w:sz="4" w:space="0"/>
              <w:right w:val="single" w:color="000000" w:sz="4" w:space="0"/>
            </w:tcBorders>
            <w:shd w:val="clear" w:color="auto" w:fill="FFFFFF"/>
            <w:vAlign w:val="center"/>
          </w:tcPr>
          <w:p w14:paraId="51D1CB84">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4F87F">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还车</w:t>
            </w:r>
          </w:p>
        </w:tc>
      </w:tr>
      <w:tr w14:paraId="5ED9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2079" w:type="dxa"/>
            <w:vMerge w:val="continue"/>
            <w:tcBorders>
              <w:left w:val="single" w:color="000000" w:sz="4" w:space="0"/>
              <w:bottom w:val="single" w:color="000000" w:sz="4" w:space="0"/>
              <w:right w:val="single" w:color="000000" w:sz="4" w:space="0"/>
            </w:tcBorders>
            <w:shd w:val="clear" w:color="auto" w:fill="FFFFFF"/>
            <w:vAlign w:val="center"/>
          </w:tcPr>
          <w:p w14:paraId="70F213BA">
            <w:pPr>
              <w:spacing w:line="240" w:lineRule="atLeast"/>
              <w:jc w:val="center"/>
              <w:rPr>
                <w:rFonts w:hint="eastAsia" w:ascii="宋体" w:hAnsi="宋体" w:eastAsia="宋体" w:cs="宋体"/>
                <w:color w:val="auto"/>
                <w:sz w:val="24"/>
                <w:szCs w:val="24"/>
                <w:highlight w:val="none"/>
              </w:rPr>
            </w:pPr>
          </w:p>
        </w:tc>
        <w:tc>
          <w:tcPr>
            <w:tcW w:w="3007" w:type="dxa"/>
            <w:vMerge w:val="continue"/>
            <w:tcBorders>
              <w:left w:val="single" w:color="000000" w:sz="4" w:space="0"/>
              <w:bottom w:val="single" w:color="000000" w:sz="4" w:space="0"/>
              <w:right w:val="single" w:color="000000" w:sz="4" w:space="0"/>
            </w:tcBorders>
            <w:shd w:val="clear" w:color="auto" w:fill="FFFFFF"/>
            <w:vAlign w:val="center"/>
          </w:tcPr>
          <w:p w14:paraId="4B8EFF20">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D8AD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用车评价</w:t>
            </w:r>
          </w:p>
        </w:tc>
      </w:tr>
      <w:tr w14:paraId="200E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DBB23">
            <w:pPr>
              <w:spacing w:line="240" w:lineRule="atLeast"/>
              <w:jc w:val="center"/>
              <w:rPr>
                <w:rFonts w:hint="eastAsia" w:ascii="宋体" w:hAnsi="宋体" w:eastAsia="宋体" w:cs="宋体"/>
                <w:color w:val="auto"/>
                <w:sz w:val="24"/>
                <w:szCs w:val="24"/>
                <w:highlight w:val="none"/>
              </w:rPr>
            </w:pPr>
          </w:p>
        </w:tc>
        <w:tc>
          <w:tcPr>
            <w:tcW w:w="3007" w:type="dxa"/>
            <w:vMerge w:val="restart"/>
            <w:tcBorders>
              <w:top w:val="single" w:color="000000" w:sz="4" w:space="0"/>
              <w:left w:val="single" w:color="000000" w:sz="4" w:space="0"/>
              <w:right w:val="single" w:color="000000" w:sz="4" w:space="0"/>
            </w:tcBorders>
            <w:shd w:val="clear" w:color="auto" w:fill="FFFFFF"/>
            <w:vAlign w:val="center"/>
          </w:tcPr>
          <w:p w14:paraId="6F714302">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车辆服务</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425DC">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车辆维修保养申请</w:t>
            </w:r>
          </w:p>
        </w:tc>
      </w:tr>
      <w:tr w14:paraId="5B15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679294">
            <w:pPr>
              <w:spacing w:line="240" w:lineRule="atLeast"/>
              <w:jc w:val="center"/>
              <w:rPr>
                <w:rFonts w:hint="eastAsia" w:ascii="宋体" w:hAnsi="宋体" w:eastAsia="宋体" w:cs="宋体"/>
                <w:color w:val="auto"/>
                <w:sz w:val="24"/>
                <w:szCs w:val="24"/>
                <w:highlight w:val="none"/>
              </w:rPr>
            </w:pPr>
          </w:p>
        </w:tc>
        <w:tc>
          <w:tcPr>
            <w:tcW w:w="3007" w:type="dxa"/>
            <w:vMerge w:val="continue"/>
            <w:tcBorders>
              <w:left w:val="single" w:color="000000" w:sz="4" w:space="0"/>
              <w:right w:val="single" w:color="000000" w:sz="4" w:space="0"/>
            </w:tcBorders>
            <w:shd w:val="clear" w:color="auto" w:fill="FFFFFF"/>
            <w:vAlign w:val="center"/>
          </w:tcPr>
          <w:p w14:paraId="24B75D44">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7A27D">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车辆维修保养审批</w:t>
            </w:r>
          </w:p>
        </w:tc>
      </w:tr>
      <w:tr w14:paraId="6918D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2079" w:type="dxa"/>
            <w:vMerge w:val="continue"/>
            <w:tcBorders>
              <w:left w:val="single" w:color="000000" w:sz="4" w:space="0"/>
              <w:bottom w:val="single" w:color="000000" w:sz="4" w:space="0"/>
              <w:right w:val="single" w:color="000000" w:sz="4" w:space="0"/>
            </w:tcBorders>
            <w:shd w:val="clear" w:color="auto" w:fill="FFFFFF"/>
            <w:vAlign w:val="center"/>
          </w:tcPr>
          <w:p w14:paraId="4A9BEB3D">
            <w:pPr>
              <w:spacing w:line="240" w:lineRule="atLeast"/>
              <w:jc w:val="center"/>
              <w:rPr>
                <w:rFonts w:hint="eastAsia" w:ascii="宋体" w:hAnsi="宋体" w:eastAsia="宋体" w:cs="宋体"/>
                <w:color w:val="auto"/>
                <w:sz w:val="24"/>
                <w:szCs w:val="24"/>
                <w:highlight w:val="none"/>
              </w:rPr>
            </w:pPr>
          </w:p>
        </w:tc>
        <w:tc>
          <w:tcPr>
            <w:tcW w:w="3007" w:type="dxa"/>
            <w:vMerge w:val="continue"/>
            <w:tcBorders>
              <w:left w:val="single" w:color="000000" w:sz="4" w:space="0"/>
              <w:bottom w:val="single" w:color="000000" w:sz="4" w:space="0"/>
              <w:right w:val="single" w:color="000000" w:sz="4" w:space="0"/>
            </w:tcBorders>
            <w:shd w:val="clear" w:color="auto" w:fill="FFFFFF"/>
            <w:vAlign w:val="center"/>
          </w:tcPr>
          <w:p w14:paraId="21B7DC8F">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FE273">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车辆维修保养完成</w:t>
            </w:r>
          </w:p>
        </w:tc>
      </w:tr>
      <w:tr w14:paraId="4D30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E5A928">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6ED0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调度中心</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EB6DF">
            <w:pPr>
              <w:spacing w:line="240" w:lineRule="atLeast"/>
              <w:jc w:val="center"/>
              <w:rPr>
                <w:rFonts w:hint="eastAsia" w:ascii="宋体" w:hAnsi="宋体" w:eastAsia="宋体" w:cs="宋体"/>
                <w:color w:val="auto"/>
                <w:sz w:val="24"/>
                <w:szCs w:val="24"/>
                <w:highlight w:val="none"/>
              </w:rPr>
            </w:pPr>
          </w:p>
        </w:tc>
      </w:tr>
      <w:tr w14:paraId="4966F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1B8E4">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11D5D">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消息提醒</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3B983">
            <w:pPr>
              <w:spacing w:line="240" w:lineRule="atLeast"/>
              <w:jc w:val="center"/>
              <w:rPr>
                <w:rFonts w:hint="eastAsia" w:ascii="宋体" w:hAnsi="宋体" w:eastAsia="宋体" w:cs="宋体"/>
                <w:color w:val="auto"/>
                <w:sz w:val="24"/>
                <w:szCs w:val="24"/>
                <w:highlight w:val="none"/>
              </w:rPr>
            </w:pPr>
          </w:p>
        </w:tc>
      </w:tr>
      <w:tr w14:paraId="7E861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2DF97B">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费用管理</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DEFE2">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车辆费用录入</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91647">
            <w:pPr>
              <w:spacing w:line="240" w:lineRule="atLeast"/>
              <w:jc w:val="center"/>
              <w:rPr>
                <w:rFonts w:hint="eastAsia" w:ascii="宋体" w:hAnsi="宋体" w:eastAsia="宋体" w:cs="宋体"/>
                <w:color w:val="auto"/>
                <w:sz w:val="24"/>
                <w:szCs w:val="24"/>
                <w:highlight w:val="none"/>
              </w:rPr>
            </w:pPr>
          </w:p>
        </w:tc>
      </w:tr>
      <w:tr w14:paraId="7F48A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9E6E42">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4AF5F">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车辆费用统计</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F9FD7">
            <w:pPr>
              <w:spacing w:line="240" w:lineRule="atLeast"/>
              <w:jc w:val="center"/>
              <w:rPr>
                <w:rFonts w:hint="eastAsia" w:ascii="宋体" w:hAnsi="宋体" w:eastAsia="宋体" w:cs="宋体"/>
                <w:color w:val="auto"/>
                <w:sz w:val="24"/>
                <w:szCs w:val="24"/>
                <w:highlight w:val="none"/>
              </w:rPr>
            </w:pPr>
          </w:p>
        </w:tc>
      </w:tr>
      <w:tr w14:paraId="212D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16854F">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统计报表</w:t>
            </w:r>
          </w:p>
        </w:tc>
        <w:tc>
          <w:tcPr>
            <w:tcW w:w="30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C12F90">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报警报表</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156CB">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电子围栏报警</w:t>
            </w:r>
          </w:p>
        </w:tc>
      </w:tr>
      <w:tr w14:paraId="4970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086DB3">
            <w:pPr>
              <w:spacing w:line="240" w:lineRule="atLeast"/>
              <w:jc w:val="center"/>
              <w:rPr>
                <w:rFonts w:hint="eastAsia" w:ascii="宋体" w:hAnsi="宋体" w:eastAsia="宋体" w:cs="宋体"/>
                <w:color w:val="auto"/>
                <w:sz w:val="24"/>
                <w:szCs w:val="24"/>
                <w:highlight w:val="none"/>
              </w:rPr>
            </w:pPr>
          </w:p>
        </w:tc>
        <w:tc>
          <w:tcPr>
            <w:tcW w:w="30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53B7C5">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56AB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停车超时报警</w:t>
            </w:r>
          </w:p>
        </w:tc>
      </w:tr>
      <w:tr w14:paraId="2425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530CEA">
            <w:pPr>
              <w:spacing w:line="240" w:lineRule="atLeast"/>
              <w:jc w:val="center"/>
              <w:rPr>
                <w:rFonts w:hint="eastAsia" w:ascii="宋体" w:hAnsi="宋体" w:eastAsia="宋体" w:cs="宋体"/>
                <w:color w:val="auto"/>
                <w:sz w:val="24"/>
                <w:szCs w:val="24"/>
                <w:highlight w:val="none"/>
              </w:rPr>
            </w:pPr>
          </w:p>
        </w:tc>
        <w:tc>
          <w:tcPr>
            <w:tcW w:w="30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AD37EB">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6F662">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拆除报警</w:t>
            </w:r>
          </w:p>
        </w:tc>
      </w:tr>
      <w:tr w14:paraId="5B68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AE4687">
            <w:pPr>
              <w:spacing w:line="240" w:lineRule="atLeast"/>
              <w:jc w:val="center"/>
              <w:rPr>
                <w:rFonts w:hint="eastAsia" w:ascii="宋体" w:hAnsi="宋体" w:eastAsia="宋体" w:cs="宋体"/>
                <w:color w:val="auto"/>
                <w:sz w:val="24"/>
                <w:szCs w:val="24"/>
                <w:highlight w:val="none"/>
              </w:rPr>
            </w:pPr>
          </w:p>
        </w:tc>
        <w:tc>
          <w:tcPr>
            <w:tcW w:w="30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65EB8E">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34247">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停车未熄火</w:t>
            </w:r>
          </w:p>
        </w:tc>
      </w:tr>
      <w:tr w14:paraId="47CAA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109948">
            <w:pPr>
              <w:spacing w:line="240" w:lineRule="atLeast"/>
              <w:jc w:val="center"/>
              <w:rPr>
                <w:rFonts w:hint="eastAsia" w:ascii="宋体" w:hAnsi="宋体" w:eastAsia="宋体" w:cs="宋体"/>
                <w:color w:val="auto"/>
                <w:sz w:val="24"/>
                <w:szCs w:val="24"/>
                <w:highlight w:val="none"/>
              </w:rPr>
            </w:pPr>
          </w:p>
        </w:tc>
        <w:tc>
          <w:tcPr>
            <w:tcW w:w="30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876815">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DB737">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疲劳驾驶报警</w:t>
            </w:r>
          </w:p>
        </w:tc>
      </w:tr>
      <w:tr w14:paraId="5C23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8F161">
            <w:pPr>
              <w:spacing w:line="240" w:lineRule="atLeast"/>
              <w:jc w:val="center"/>
              <w:rPr>
                <w:rFonts w:hint="eastAsia" w:ascii="宋体" w:hAnsi="宋体" w:eastAsia="宋体" w:cs="宋体"/>
                <w:color w:val="auto"/>
                <w:sz w:val="24"/>
                <w:szCs w:val="24"/>
                <w:highlight w:val="none"/>
              </w:rPr>
            </w:pPr>
          </w:p>
        </w:tc>
        <w:tc>
          <w:tcPr>
            <w:tcW w:w="30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AE54FD">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10E8C">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超速报警</w:t>
            </w:r>
          </w:p>
        </w:tc>
      </w:tr>
      <w:tr w14:paraId="1749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19BC1B">
            <w:pPr>
              <w:spacing w:line="240" w:lineRule="atLeast"/>
              <w:jc w:val="center"/>
              <w:rPr>
                <w:rFonts w:hint="eastAsia" w:ascii="宋体" w:hAnsi="宋体" w:eastAsia="宋体" w:cs="宋体"/>
                <w:color w:val="auto"/>
                <w:sz w:val="24"/>
                <w:szCs w:val="24"/>
                <w:highlight w:val="none"/>
              </w:rPr>
            </w:pPr>
          </w:p>
        </w:tc>
        <w:tc>
          <w:tcPr>
            <w:tcW w:w="30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F0C5D">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5B1B2">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报警统计</w:t>
            </w:r>
          </w:p>
        </w:tc>
      </w:tr>
      <w:tr w14:paraId="0B9D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7C0F04">
            <w:pPr>
              <w:spacing w:line="240" w:lineRule="atLeast"/>
              <w:jc w:val="center"/>
              <w:rPr>
                <w:rFonts w:hint="eastAsia" w:ascii="宋体" w:hAnsi="宋体" w:eastAsia="宋体" w:cs="宋体"/>
                <w:color w:val="auto"/>
                <w:sz w:val="24"/>
                <w:szCs w:val="24"/>
                <w:highlight w:val="none"/>
              </w:rPr>
            </w:pPr>
          </w:p>
        </w:tc>
        <w:tc>
          <w:tcPr>
            <w:tcW w:w="30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AAF6C2">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里程油耗统计</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7BFF9">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油耗明细报表</w:t>
            </w:r>
          </w:p>
        </w:tc>
      </w:tr>
      <w:tr w14:paraId="56A8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EF280">
            <w:pPr>
              <w:spacing w:line="240" w:lineRule="atLeast"/>
              <w:jc w:val="center"/>
              <w:rPr>
                <w:rFonts w:hint="eastAsia" w:ascii="宋体" w:hAnsi="宋体" w:eastAsia="宋体" w:cs="宋体"/>
                <w:color w:val="auto"/>
                <w:sz w:val="24"/>
                <w:szCs w:val="24"/>
                <w:highlight w:val="none"/>
              </w:rPr>
            </w:pPr>
          </w:p>
        </w:tc>
        <w:tc>
          <w:tcPr>
            <w:tcW w:w="30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C960AD">
            <w:pPr>
              <w:spacing w:line="240" w:lineRule="atLeast"/>
              <w:jc w:val="center"/>
              <w:rPr>
                <w:rFonts w:hint="eastAsia" w:ascii="宋体" w:hAnsi="宋体" w:eastAsia="宋体" w:cs="宋体"/>
                <w:color w:val="auto"/>
                <w:sz w:val="24"/>
                <w:szCs w:val="24"/>
                <w:highlight w:val="none"/>
              </w:rPr>
            </w:pP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1EA6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时间油耗报表</w:t>
            </w:r>
          </w:p>
        </w:tc>
      </w:tr>
      <w:tr w14:paraId="67F50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19094B">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FCBDC">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司机任务统计</w:t>
            </w:r>
            <w:r>
              <w:rPr>
                <w:rFonts w:hint="eastAsia" w:ascii="宋体" w:hAnsi="宋体" w:cs="宋体"/>
                <w:color w:val="auto"/>
                <w:sz w:val="24"/>
                <w:szCs w:val="24"/>
                <w:highlight w:val="none"/>
                <w:lang w:val="en-US" w:eastAsia="zh-CN"/>
              </w:rPr>
              <w:t>（或类似功能，如</w:t>
            </w:r>
            <w:r>
              <w:rPr>
                <w:rFonts w:hint="eastAsia" w:ascii="宋体" w:hAnsi="宋体" w:eastAsia="宋体" w:cs="宋体"/>
                <w:color w:val="auto"/>
                <w:sz w:val="24"/>
                <w:szCs w:val="24"/>
                <w:highlight w:val="none"/>
                <w:lang w:val="en-US" w:eastAsia="zh-CN"/>
              </w:rPr>
              <w:t>司机出勤类统计</w:t>
            </w:r>
            <w:r>
              <w:rPr>
                <w:rFonts w:hint="eastAsia" w:ascii="宋体" w:hAnsi="宋体" w:cs="宋体"/>
                <w:color w:val="auto"/>
                <w:sz w:val="24"/>
                <w:szCs w:val="24"/>
                <w:highlight w:val="none"/>
                <w:lang w:val="en-US" w:eastAsia="zh-CN"/>
              </w:rPr>
              <w:t>）</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D5C8F">
            <w:pPr>
              <w:spacing w:line="240" w:lineRule="atLeast"/>
              <w:jc w:val="center"/>
              <w:rPr>
                <w:rFonts w:hint="eastAsia" w:ascii="宋体" w:hAnsi="宋体" w:eastAsia="宋体" w:cs="宋体"/>
                <w:color w:val="auto"/>
                <w:sz w:val="24"/>
                <w:szCs w:val="24"/>
                <w:highlight w:val="none"/>
              </w:rPr>
            </w:pPr>
          </w:p>
        </w:tc>
      </w:tr>
      <w:tr w14:paraId="6A55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BB4AB9">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3CC2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车辆任务</w:t>
            </w:r>
            <w:r>
              <w:rPr>
                <w:rFonts w:hint="eastAsia" w:ascii="宋体" w:hAnsi="宋体" w:cs="宋体"/>
                <w:color w:val="auto"/>
                <w:sz w:val="24"/>
                <w:szCs w:val="24"/>
                <w:highlight w:val="none"/>
                <w:lang w:val="en-US" w:eastAsia="zh-CN"/>
              </w:rPr>
              <w:t>类</w:t>
            </w:r>
            <w:r>
              <w:rPr>
                <w:rFonts w:hint="eastAsia" w:ascii="宋体" w:hAnsi="宋体" w:eastAsia="宋体" w:cs="宋体"/>
                <w:color w:val="auto"/>
                <w:sz w:val="24"/>
                <w:szCs w:val="24"/>
                <w:highlight w:val="none"/>
                <w:lang w:val="en-US" w:eastAsia="zh-CN"/>
              </w:rPr>
              <w:t>统计</w:t>
            </w:r>
            <w:r>
              <w:rPr>
                <w:rFonts w:hint="eastAsia" w:ascii="宋体" w:hAnsi="宋体" w:cs="宋体"/>
                <w:color w:val="auto"/>
                <w:sz w:val="24"/>
                <w:szCs w:val="24"/>
                <w:highlight w:val="none"/>
                <w:lang w:val="en-US" w:eastAsia="zh-CN"/>
              </w:rPr>
              <w:t>（或类似功能，如车辆</w:t>
            </w:r>
            <w:r>
              <w:rPr>
                <w:rFonts w:hint="eastAsia" w:ascii="宋体" w:hAnsi="宋体" w:eastAsia="宋体" w:cs="宋体"/>
                <w:color w:val="auto"/>
                <w:sz w:val="24"/>
                <w:szCs w:val="24"/>
                <w:highlight w:val="none"/>
                <w:lang w:val="en-US" w:eastAsia="zh-CN"/>
              </w:rPr>
              <w:t>出勤类统计</w:t>
            </w:r>
            <w:r>
              <w:rPr>
                <w:rFonts w:hint="eastAsia" w:ascii="宋体" w:hAnsi="宋体" w:cs="宋体"/>
                <w:color w:val="auto"/>
                <w:sz w:val="24"/>
                <w:szCs w:val="24"/>
                <w:highlight w:val="none"/>
                <w:lang w:val="en-US" w:eastAsia="zh-CN"/>
              </w:rPr>
              <w:t>）</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26FBF">
            <w:pPr>
              <w:spacing w:line="240" w:lineRule="atLeast"/>
              <w:jc w:val="center"/>
              <w:rPr>
                <w:rFonts w:hint="eastAsia" w:ascii="宋体" w:hAnsi="宋体" w:eastAsia="宋体" w:cs="宋体"/>
                <w:color w:val="auto"/>
                <w:sz w:val="24"/>
                <w:szCs w:val="24"/>
                <w:highlight w:val="none"/>
              </w:rPr>
            </w:pPr>
          </w:p>
        </w:tc>
      </w:tr>
      <w:tr w14:paraId="0CA7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519FDA">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50770">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停车统计</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6A487">
            <w:pPr>
              <w:spacing w:line="240" w:lineRule="atLeast"/>
              <w:jc w:val="center"/>
              <w:rPr>
                <w:rFonts w:hint="eastAsia" w:ascii="宋体" w:hAnsi="宋体" w:eastAsia="宋体" w:cs="宋体"/>
                <w:color w:val="auto"/>
                <w:sz w:val="24"/>
                <w:szCs w:val="24"/>
                <w:highlight w:val="none"/>
              </w:rPr>
            </w:pPr>
          </w:p>
        </w:tc>
      </w:tr>
      <w:tr w14:paraId="11D8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9D936A">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资料管理</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99A68">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车辆管理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FF1AC">
            <w:pPr>
              <w:spacing w:line="240" w:lineRule="atLeast"/>
              <w:jc w:val="center"/>
              <w:rPr>
                <w:rFonts w:hint="eastAsia" w:ascii="宋体" w:hAnsi="宋体" w:eastAsia="宋体" w:cs="宋体"/>
                <w:color w:val="auto"/>
                <w:sz w:val="24"/>
                <w:szCs w:val="24"/>
                <w:highlight w:val="none"/>
              </w:rPr>
            </w:pPr>
          </w:p>
        </w:tc>
      </w:tr>
      <w:tr w14:paraId="41C2D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2D36AD">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2A7AD">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司机管理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01AE6">
            <w:pPr>
              <w:spacing w:line="240" w:lineRule="atLeast"/>
              <w:jc w:val="center"/>
              <w:rPr>
                <w:rFonts w:hint="eastAsia" w:ascii="宋体" w:hAnsi="宋体" w:eastAsia="宋体" w:cs="宋体"/>
                <w:color w:val="auto"/>
                <w:sz w:val="24"/>
                <w:szCs w:val="24"/>
                <w:highlight w:val="none"/>
              </w:rPr>
            </w:pPr>
          </w:p>
        </w:tc>
      </w:tr>
      <w:tr w14:paraId="3F29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A703AC">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131FE">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设备管理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8C16B">
            <w:pPr>
              <w:spacing w:line="240" w:lineRule="atLeast"/>
              <w:jc w:val="center"/>
              <w:rPr>
                <w:rFonts w:hint="eastAsia" w:ascii="宋体" w:hAnsi="宋体" w:eastAsia="宋体" w:cs="宋体"/>
                <w:color w:val="auto"/>
                <w:sz w:val="24"/>
                <w:szCs w:val="24"/>
                <w:highlight w:val="none"/>
              </w:rPr>
            </w:pPr>
          </w:p>
        </w:tc>
      </w:tr>
      <w:tr w14:paraId="4161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E6A886">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1EB">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油卡管理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F2BE9">
            <w:pPr>
              <w:spacing w:line="240" w:lineRule="atLeast"/>
              <w:jc w:val="center"/>
              <w:rPr>
                <w:rFonts w:hint="eastAsia" w:ascii="宋体" w:hAnsi="宋体" w:eastAsia="宋体" w:cs="宋体"/>
                <w:color w:val="auto"/>
                <w:sz w:val="24"/>
                <w:szCs w:val="24"/>
                <w:highlight w:val="none"/>
              </w:rPr>
            </w:pPr>
          </w:p>
        </w:tc>
      </w:tr>
      <w:tr w14:paraId="4BC0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A3B53F">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1CD8C">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线路规划</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BF030">
            <w:pPr>
              <w:spacing w:line="240" w:lineRule="atLeast"/>
              <w:jc w:val="center"/>
              <w:rPr>
                <w:rFonts w:hint="eastAsia" w:ascii="宋体" w:hAnsi="宋体" w:eastAsia="宋体" w:cs="宋体"/>
                <w:color w:val="auto"/>
                <w:sz w:val="24"/>
                <w:szCs w:val="24"/>
                <w:highlight w:val="none"/>
              </w:rPr>
            </w:pPr>
          </w:p>
        </w:tc>
      </w:tr>
      <w:tr w14:paraId="0CC2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21C7E7">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系统管理</w:t>
            </w: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82E72">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机构管理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CF198">
            <w:pPr>
              <w:spacing w:line="240" w:lineRule="atLeast"/>
              <w:jc w:val="center"/>
              <w:rPr>
                <w:rFonts w:hint="eastAsia" w:ascii="宋体" w:hAnsi="宋体" w:eastAsia="宋体" w:cs="宋体"/>
                <w:color w:val="auto"/>
                <w:sz w:val="24"/>
                <w:szCs w:val="24"/>
                <w:highlight w:val="none"/>
              </w:rPr>
            </w:pPr>
          </w:p>
        </w:tc>
      </w:tr>
      <w:tr w14:paraId="7F31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C5DDA3">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FFA86">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用户管理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75591">
            <w:pPr>
              <w:spacing w:line="240" w:lineRule="atLeast"/>
              <w:jc w:val="center"/>
              <w:rPr>
                <w:rFonts w:hint="eastAsia" w:ascii="宋体" w:hAnsi="宋体" w:eastAsia="宋体" w:cs="宋体"/>
                <w:color w:val="auto"/>
                <w:sz w:val="24"/>
                <w:szCs w:val="24"/>
                <w:highlight w:val="none"/>
              </w:rPr>
            </w:pPr>
          </w:p>
        </w:tc>
      </w:tr>
      <w:tr w14:paraId="187B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EE729E">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A5843">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角色管理</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59D6D">
            <w:pPr>
              <w:spacing w:line="240" w:lineRule="atLeast"/>
              <w:jc w:val="center"/>
              <w:rPr>
                <w:rFonts w:hint="eastAsia" w:ascii="宋体" w:hAnsi="宋体" w:eastAsia="宋体" w:cs="宋体"/>
                <w:color w:val="auto"/>
                <w:sz w:val="24"/>
                <w:szCs w:val="24"/>
                <w:highlight w:val="none"/>
              </w:rPr>
            </w:pPr>
          </w:p>
        </w:tc>
      </w:tr>
      <w:tr w14:paraId="2484B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F29F1">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EF52D">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审批配置</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A0CBC">
            <w:pPr>
              <w:spacing w:line="240" w:lineRule="atLeast"/>
              <w:jc w:val="center"/>
              <w:rPr>
                <w:rFonts w:hint="eastAsia" w:ascii="宋体" w:hAnsi="宋体" w:eastAsia="宋体" w:cs="宋体"/>
                <w:color w:val="auto"/>
                <w:sz w:val="24"/>
                <w:szCs w:val="24"/>
                <w:highlight w:val="none"/>
              </w:rPr>
            </w:pPr>
          </w:p>
        </w:tc>
      </w:tr>
      <w:tr w14:paraId="70BF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D97770">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462F5">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车辆配置</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CE937">
            <w:pPr>
              <w:spacing w:line="240" w:lineRule="atLeast"/>
              <w:jc w:val="center"/>
              <w:rPr>
                <w:rFonts w:hint="eastAsia" w:ascii="宋体" w:hAnsi="宋体" w:eastAsia="宋体" w:cs="宋体"/>
                <w:color w:val="auto"/>
                <w:sz w:val="24"/>
                <w:szCs w:val="24"/>
                <w:highlight w:val="none"/>
              </w:rPr>
            </w:pPr>
          </w:p>
        </w:tc>
      </w:tr>
      <w:tr w14:paraId="71C1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396E3D">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8D94A">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司机配置</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F1B82">
            <w:pPr>
              <w:spacing w:line="240" w:lineRule="atLeast"/>
              <w:jc w:val="center"/>
              <w:rPr>
                <w:rFonts w:hint="eastAsia" w:ascii="宋体" w:hAnsi="宋体" w:eastAsia="宋体" w:cs="宋体"/>
                <w:color w:val="auto"/>
                <w:sz w:val="24"/>
                <w:szCs w:val="24"/>
                <w:highlight w:val="none"/>
              </w:rPr>
            </w:pPr>
          </w:p>
        </w:tc>
      </w:tr>
      <w:tr w14:paraId="41BD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49075C">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B499B">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系统操作日志</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355B6">
            <w:pPr>
              <w:spacing w:line="240" w:lineRule="atLeast"/>
              <w:jc w:val="center"/>
              <w:rPr>
                <w:rFonts w:hint="eastAsia" w:ascii="宋体" w:hAnsi="宋体" w:eastAsia="宋体" w:cs="宋体"/>
                <w:color w:val="auto"/>
                <w:sz w:val="24"/>
                <w:szCs w:val="24"/>
                <w:highlight w:val="none"/>
              </w:rPr>
            </w:pPr>
          </w:p>
        </w:tc>
      </w:tr>
      <w:tr w14:paraId="4F51D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A0407C">
            <w:pPr>
              <w:spacing w:line="240" w:lineRule="atLeast"/>
              <w:jc w:val="center"/>
              <w:rPr>
                <w:rFonts w:hint="eastAsia" w:ascii="宋体" w:hAnsi="宋体" w:eastAsia="宋体" w:cs="宋体"/>
                <w:color w:val="auto"/>
                <w:sz w:val="24"/>
                <w:szCs w:val="24"/>
                <w:highlight w:val="none"/>
              </w:rPr>
            </w:pPr>
          </w:p>
        </w:tc>
        <w:tc>
          <w:tcPr>
            <w:tcW w:w="30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79726">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登录页面背景自定义配置</w:t>
            </w:r>
          </w:p>
        </w:tc>
        <w:tc>
          <w:tcPr>
            <w:tcW w:w="4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2B7F0">
            <w:pPr>
              <w:spacing w:line="240" w:lineRule="atLeast"/>
              <w:jc w:val="center"/>
              <w:rPr>
                <w:rFonts w:hint="eastAsia" w:ascii="宋体" w:hAnsi="宋体" w:eastAsia="宋体" w:cs="宋体"/>
                <w:color w:val="auto"/>
                <w:sz w:val="24"/>
                <w:szCs w:val="24"/>
                <w:highlight w:val="none"/>
              </w:rPr>
            </w:pPr>
          </w:p>
        </w:tc>
      </w:tr>
    </w:tbl>
    <w:p w14:paraId="5B1B6D84">
      <w:pPr>
        <w:widowControl w:val="0"/>
        <w:numPr>
          <w:ilvl w:val="0"/>
          <w:numId w:val="0"/>
        </w:numPr>
        <w:tabs>
          <w:tab w:val="left" w:pos="39"/>
          <w:tab w:val="left" w:pos="96"/>
        </w:tabs>
        <w:snapToGrid w:val="0"/>
        <w:spacing w:line="360" w:lineRule="auto"/>
        <w:jc w:val="left"/>
        <w:rPr>
          <w:rFonts w:hint="eastAsia" w:ascii="宋体" w:hAnsi="宋体" w:cs="宋体"/>
          <w:color w:val="auto"/>
          <w:sz w:val="24"/>
          <w:highlight w:val="none"/>
        </w:rPr>
      </w:pPr>
    </w:p>
    <w:p w14:paraId="1877F4B3">
      <w:pPr>
        <w:widowControl w:val="0"/>
        <w:numPr>
          <w:ilvl w:val="0"/>
          <w:numId w:val="0"/>
        </w:numPr>
        <w:tabs>
          <w:tab w:val="left" w:pos="39"/>
          <w:tab w:val="left" w:pos="96"/>
        </w:tabs>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color="000000"/>
          <w:lang w:val="en-US" w:eastAsia="zh-CN" w:bidi="ar-SA"/>
        </w:rPr>
        <w:t>（</w:t>
      </w:r>
      <w:r>
        <w:rPr>
          <w:rFonts w:hint="eastAsia" w:ascii="宋体" w:hAnsi="宋体" w:cs="宋体"/>
          <w:color w:val="auto"/>
          <w:sz w:val="24"/>
          <w:szCs w:val="24"/>
          <w:highlight w:val="none"/>
          <w:u w:color="000000"/>
          <w:lang w:val="en-US" w:eastAsia="zh-CN" w:bidi="ar-SA"/>
        </w:rPr>
        <w:t>三</w:t>
      </w:r>
      <w:r>
        <w:rPr>
          <w:rFonts w:hint="eastAsia" w:ascii="宋体" w:hAnsi="宋体" w:eastAsia="宋体" w:cs="宋体"/>
          <w:color w:val="auto"/>
          <w:sz w:val="24"/>
          <w:szCs w:val="24"/>
          <w:highlight w:val="none"/>
          <w:u w:color="000000"/>
          <w:lang w:val="en-US" w:eastAsia="zh-CN" w:bidi="ar-SA"/>
        </w:rPr>
        <w:t>）</w:t>
      </w:r>
      <w:r>
        <w:rPr>
          <w:rFonts w:hint="eastAsia" w:ascii="宋体" w:hAnsi="宋体" w:cs="宋体"/>
          <w:color w:val="auto"/>
          <w:sz w:val="24"/>
          <w:szCs w:val="24"/>
          <w:highlight w:val="none"/>
        </w:rPr>
        <w:t>车载定位终端安装服务</w:t>
      </w:r>
    </w:p>
    <w:p w14:paraId="497F3912">
      <w:pPr>
        <w:widowControl w:val="0"/>
        <w:numPr>
          <w:ilvl w:val="0"/>
          <w:numId w:val="0"/>
        </w:numPr>
        <w:tabs>
          <w:tab w:val="left" w:pos="39"/>
          <w:tab w:val="left" w:pos="96"/>
        </w:tabs>
        <w:snapToGrid w:val="0"/>
        <w:spacing w:line="360" w:lineRule="auto"/>
        <w:ind w:firstLine="480" w:firstLineChars="200"/>
        <w:jc w:val="left"/>
        <w:rPr>
          <w:rFonts w:hint="eastAsia" w:ascii="宋体" w:hAnsi="宋体" w:cs="宋体"/>
          <w:color w:val="auto"/>
          <w:sz w:val="24"/>
          <w:szCs w:val="24"/>
          <w:highlight w:val="none"/>
          <w:lang w:val="zh-CN" w:eastAsia="zh-CN"/>
        </w:rPr>
      </w:pPr>
      <w:r>
        <w:rPr>
          <w:rFonts w:hint="eastAsia" w:ascii="宋体" w:hAnsi="宋体" w:cs="宋体"/>
          <w:color w:val="auto"/>
          <w:sz w:val="24"/>
          <w:szCs w:val="24"/>
          <w:highlight w:val="none"/>
          <w:lang w:val="zh-CN" w:eastAsia="zh-CN"/>
        </w:rPr>
        <w:t>服务商</w:t>
      </w:r>
      <w:r>
        <w:rPr>
          <w:rFonts w:hint="eastAsia" w:ascii="宋体" w:hAnsi="宋体" w:cs="宋体"/>
          <w:color w:val="auto"/>
          <w:sz w:val="24"/>
          <w:szCs w:val="24"/>
          <w:highlight w:val="none"/>
          <w:lang w:val="zh-CN"/>
        </w:rPr>
        <w:t>提供4小时内到达现场上门</w:t>
      </w:r>
      <w:r>
        <w:rPr>
          <w:rFonts w:hint="eastAsia" w:ascii="宋体" w:hAnsi="宋体" w:cs="宋体"/>
          <w:color w:val="auto"/>
          <w:sz w:val="24"/>
          <w:szCs w:val="24"/>
          <w:highlight w:val="none"/>
          <w:lang w:val="zh-CN" w:eastAsia="zh-CN"/>
        </w:rPr>
        <w:t>安装</w:t>
      </w:r>
      <w:r>
        <w:rPr>
          <w:rFonts w:hint="eastAsia" w:ascii="宋体" w:hAnsi="宋体" w:cs="宋体"/>
          <w:color w:val="auto"/>
          <w:sz w:val="24"/>
          <w:szCs w:val="24"/>
          <w:highlight w:val="none"/>
          <w:lang w:val="zh-CN"/>
        </w:rPr>
        <w:t>服务（含区县）、7*24小时服务、区域网点布置等多种</w:t>
      </w:r>
      <w:r>
        <w:rPr>
          <w:rFonts w:hint="eastAsia" w:ascii="宋体" w:hAnsi="宋体" w:cs="宋体"/>
          <w:color w:val="auto"/>
          <w:sz w:val="24"/>
          <w:szCs w:val="24"/>
          <w:highlight w:val="none"/>
          <w:lang w:val="zh-CN" w:eastAsia="zh-CN"/>
        </w:rPr>
        <w:t>提升效率的安装服务</w:t>
      </w:r>
      <w:r>
        <w:rPr>
          <w:rFonts w:hint="eastAsia" w:ascii="宋体" w:hAnsi="宋体" w:cs="宋体"/>
          <w:color w:val="auto"/>
          <w:sz w:val="24"/>
          <w:szCs w:val="24"/>
          <w:highlight w:val="none"/>
          <w:lang w:val="zh-CN"/>
        </w:rPr>
        <w:t>方式。服务商需有一套成熟的</w:t>
      </w:r>
      <w:r>
        <w:rPr>
          <w:rFonts w:hint="eastAsia" w:ascii="宋体" w:hAnsi="宋体" w:cs="宋体"/>
          <w:color w:val="auto"/>
          <w:sz w:val="24"/>
          <w:szCs w:val="24"/>
          <w:highlight w:val="none"/>
          <w:lang w:val="zh-CN" w:eastAsia="zh-CN"/>
        </w:rPr>
        <w:t>安装标准和</w:t>
      </w:r>
      <w:r>
        <w:rPr>
          <w:rFonts w:hint="eastAsia" w:ascii="宋体" w:hAnsi="宋体" w:cs="宋体"/>
          <w:color w:val="auto"/>
          <w:sz w:val="24"/>
          <w:szCs w:val="24"/>
          <w:highlight w:val="none"/>
          <w:lang w:val="zh-CN"/>
        </w:rPr>
        <w:t>流程，做到统一接单，统一</w:t>
      </w:r>
      <w:r>
        <w:rPr>
          <w:rFonts w:hint="eastAsia" w:ascii="宋体" w:hAnsi="宋体" w:cs="宋体"/>
          <w:color w:val="auto"/>
          <w:sz w:val="24"/>
          <w:szCs w:val="24"/>
          <w:highlight w:val="none"/>
          <w:lang w:val="zh-CN" w:eastAsia="zh-CN"/>
        </w:rPr>
        <w:t>派单，</w:t>
      </w:r>
      <w:r>
        <w:rPr>
          <w:rFonts w:hint="eastAsia" w:ascii="宋体" w:hAnsi="宋体" w:cs="宋体"/>
          <w:color w:val="auto"/>
          <w:sz w:val="24"/>
          <w:szCs w:val="24"/>
          <w:highlight w:val="none"/>
          <w:lang w:val="en-US" w:eastAsia="zh-CN"/>
        </w:rPr>
        <w:t>满足安全</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高效</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优质的</w:t>
      </w:r>
      <w:r>
        <w:rPr>
          <w:rFonts w:hint="eastAsia" w:ascii="宋体" w:hAnsi="宋体" w:cs="宋体"/>
          <w:color w:val="auto"/>
          <w:sz w:val="24"/>
          <w:szCs w:val="24"/>
          <w:highlight w:val="none"/>
          <w:lang w:val="zh-CN" w:eastAsia="zh-CN"/>
        </w:rPr>
        <w:t>标准化安装要求。</w:t>
      </w:r>
    </w:p>
    <w:p w14:paraId="20C4F2FB">
      <w:pPr>
        <w:widowControl w:val="0"/>
        <w:numPr>
          <w:ilvl w:val="0"/>
          <w:numId w:val="0"/>
        </w:numPr>
        <w:tabs>
          <w:tab w:val="left" w:pos="39"/>
          <w:tab w:val="left" w:pos="96"/>
        </w:tabs>
        <w:snapToGrid w:val="0"/>
        <w:spacing w:line="360" w:lineRule="auto"/>
        <w:ind w:left="0" w:leftChars="0" w:firstLine="480" w:firstLineChars="200"/>
        <w:jc w:val="left"/>
        <w:rPr>
          <w:rFonts w:hint="eastAsia" w:ascii="宋体" w:hAnsi="宋体" w:cs="宋体"/>
          <w:color w:val="auto"/>
          <w:sz w:val="24"/>
          <w:highlight w:val="none"/>
        </w:rPr>
      </w:pPr>
      <w:r>
        <w:rPr>
          <w:rFonts w:hint="eastAsia" w:ascii="宋体" w:hAnsi="宋体" w:eastAsia="宋体" w:cs="宋体"/>
          <w:color w:val="auto"/>
          <w:sz w:val="24"/>
          <w:highlight w:val="none"/>
          <w:u w:color="000000"/>
          <w:lang w:val="en-US" w:eastAsia="zh-CN" w:bidi="ar-SA"/>
        </w:rPr>
        <w:t>（</w:t>
      </w:r>
      <w:r>
        <w:rPr>
          <w:rFonts w:hint="eastAsia" w:ascii="宋体" w:hAnsi="宋体" w:cs="宋体"/>
          <w:color w:val="auto"/>
          <w:sz w:val="24"/>
          <w:highlight w:val="none"/>
          <w:u w:color="000000"/>
          <w:lang w:val="en-US" w:eastAsia="zh-CN" w:bidi="ar-SA"/>
        </w:rPr>
        <w:t>四</w:t>
      </w:r>
      <w:r>
        <w:rPr>
          <w:rFonts w:hint="eastAsia" w:ascii="宋体" w:hAnsi="宋体" w:eastAsia="宋体" w:cs="宋体"/>
          <w:color w:val="auto"/>
          <w:sz w:val="24"/>
          <w:highlight w:val="none"/>
          <w:u w:color="000000"/>
          <w:lang w:val="en-US" w:eastAsia="zh-CN" w:bidi="ar-SA"/>
        </w:rPr>
        <w:t>）</w:t>
      </w:r>
      <w:r>
        <w:rPr>
          <w:rFonts w:hint="eastAsia" w:ascii="宋体" w:hAnsi="宋体" w:cs="宋体"/>
          <w:color w:val="auto"/>
          <w:sz w:val="24"/>
          <w:highlight w:val="none"/>
        </w:rPr>
        <w:t>服务期内车载定位终端运维服务</w:t>
      </w:r>
    </w:p>
    <w:p w14:paraId="235896FB">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1、维护内容包括设备的维修维护服务，需保障现有系统不间断运行。</w:t>
      </w:r>
    </w:p>
    <w:p w14:paraId="78041179">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2、提供100%覆盖的本地化的终端检修，全年免费（不限次数）检修或更换服务，完成终端检查、检修服务内容。</w:t>
      </w:r>
    </w:p>
    <w:p w14:paraId="7578260D">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配备专业技术服务工程师，提供运营维护响应服务，在接到车载终端故障报修的通知后，第一时间进行处理。遇到紧急或重大事故，根据实际情况安排相应人员进行处理（不限于技术支撑人员）；当遇到其他设备或系统故障时，积极配合处理。</w:t>
      </w:r>
    </w:p>
    <w:p w14:paraId="1B94C019">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支撑服务内容：</w:t>
      </w:r>
    </w:p>
    <w:p w14:paraId="1FE9F365">
      <w:pPr>
        <w:widowControl w:val="0"/>
        <w:tabs>
          <w:tab w:val="left" w:pos="39"/>
          <w:tab w:val="left" w:pos="96"/>
        </w:tabs>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配备2名熟悉平台软件功能操作的和对汽车电路及车载定位终熟练掌握的专业技术支撑人员，提供平台数据维护、设备硬件维护、平台功能需求梳理、平台功能培训、协助组织技术交流、学习培训、研讨会议、资料整理等服务。</w:t>
      </w:r>
    </w:p>
    <w:p w14:paraId="4F563F65">
      <w:pPr>
        <w:widowControl w:val="0"/>
        <w:tabs>
          <w:tab w:val="left" w:pos="39"/>
          <w:tab w:val="left" w:pos="96"/>
        </w:tabs>
        <w:snapToGrid w:val="0"/>
        <w:spacing w:line="360" w:lineRule="auto"/>
        <w:ind w:firstLine="480" w:firstLineChars="200"/>
        <w:jc w:val="left"/>
        <w:rPr>
          <w:color w:val="auto"/>
          <w:sz w:val="24"/>
          <w:highlight w:val="none"/>
        </w:rPr>
      </w:pP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五</w:t>
      </w:r>
      <w:r>
        <w:rPr>
          <w:rFonts w:hint="eastAsia" w:ascii="宋体" w:hAnsi="宋体"/>
          <w:color w:val="auto"/>
          <w:sz w:val="24"/>
          <w:szCs w:val="28"/>
          <w:highlight w:val="none"/>
        </w:rPr>
        <w:t>）</w:t>
      </w:r>
      <w:r>
        <w:rPr>
          <w:rFonts w:hint="eastAsia" w:ascii="宋体" w:hAnsi="宋体" w:cs="宋体"/>
          <w:color w:val="auto"/>
          <w:sz w:val="24"/>
          <w:szCs w:val="24"/>
          <w:highlight w:val="none"/>
        </w:rPr>
        <w:t>车辆信息化管理平台现场技术支持服务</w:t>
      </w:r>
    </w:p>
    <w:p w14:paraId="5F3C1164">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1、在遇到平台系统或车辆终端故障时，及时进行故障排查，开展故障修复作业。</w:t>
      </w:r>
    </w:p>
    <w:p w14:paraId="69557C5D">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2、根据客户需要，走访保留用车单位进行现场实地培训，提供平台操作手册并收集平台功能优化需求，做好现场记录，定期报送，提高平台使用率。</w:t>
      </w:r>
    </w:p>
    <w:p w14:paraId="6D21C0BB">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3、提供平台每周、月、季度及年度运营数据报告，为公车管理及公务出行提供数据支持。</w:t>
      </w:r>
    </w:p>
    <w:p w14:paraId="6256F587">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4、如遇平台功能更新，现场技术工作人员在规定时间到指定地点提供现场指导培训。</w:t>
      </w:r>
    </w:p>
    <w:p w14:paraId="10122D09">
      <w:pPr>
        <w:widowControl w:val="0"/>
        <w:tabs>
          <w:tab w:val="left" w:pos="39"/>
          <w:tab w:val="left" w:pos="96"/>
        </w:tabs>
        <w:snapToGrid w:val="0"/>
        <w:spacing w:line="360" w:lineRule="auto"/>
        <w:ind w:firstLine="480" w:firstLineChars="200"/>
        <w:jc w:val="left"/>
        <w:rPr>
          <w:rFonts w:ascii="宋体" w:hAnsi="宋体"/>
          <w:color w:val="auto"/>
          <w:sz w:val="24"/>
          <w:szCs w:val="28"/>
          <w:highlight w:val="none"/>
        </w:rPr>
      </w:pPr>
      <w:r>
        <w:rPr>
          <w:rFonts w:hint="eastAsia" w:ascii="宋体" w:hAnsi="宋体" w:cs="宋体"/>
          <w:color w:val="auto"/>
          <w:sz w:val="24"/>
          <w:highlight w:val="none"/>
        </w:rPr>
        <w:t>5、现场技术工作人员根据实际情况对所发生的问题应灵活处理、耐心解释、及时汇报、妥善解决，杜绝一切纠纷的发生。</w:t>
      </w:r>
    </w:p>
    <w:p w14:paraId="08B9FA3C">
      <w:pPr>
        <w:widowControl w:val="0"/>
        <w:tabs>
          <w:tab w:val="left" w:pos="39"/>
          <w:tab w:val="left" w:pos="96"/>
        </w:tabs>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六</w:t>
      </w:r>
      <w:r>
        <w:rPr>
          <w:rFonts w:hint="eastAsia" w:ascii="宋体" w:hAnsi="宋体"/>
          <w:color w:val="auto"/>
          <w:sz w:val="24"/>
          <w:szCs w:val="28"/>
          <w:highlight w:val="none"/>
        </w:rPr>
        <w:t>）</w:t>
      </w:r>
      <w:r>
        <w:rPr>
          <w:rFonts w:hint="eastAsia" w:ascii="宋体" w:hAnsi="宋体" w:cs="宋体"/>
          <w:color w:val="auto"/>
          <w:sz w:val="24"/>
          <w:szCs w:val="24"/>
          <w:highlight w:val="none"/>
        </w:rPr>
        <w:t>车辆信息化管理平台</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级等保安全技术服务</w:t>
      </w:r>
    </w:p>
    <w:p w14:paraId="4AD5C595">
      <w:pPr>
        <w:widowControl w:val="0"/>
        <w:tabs>
          <w:tab w:val="left" w:pos="39"/>
          <w:tab w:val="left" w:pos="96"/>
        </w:tabs>
        <w:snapToGrid w:val="0"/>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要求信息系统按照国家网络安全保护等级三级的标准要求，进行安全建设和防护。</w:t>
      </w:r>
    </w:p>
    <w:p w14:paraId="32281042">
      <w:pPr>
        <w:widowControl w:val="0"/>
        <w:tabs>
          <w:tab w:val="left" w:pos="39"/>
          <w:tab w:val="left" w:pos="96"/>
        </w:tabs>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七</w:t>
      </w:r>
      <w:r>
        <w:rPr>
          <w:rFonts w:hint="eastAsia" w:ascii="宋体" w:hAnsi="宋体"/>
          <w:color w:val="auto"/>
          <w:sz w:val="24"/>
          <w:szCs w:val="28"/>
          <w:highlight w:val="none"/>
        </w:rPr>
        <w:t>）</w:t>
      </w:r>
      <w:r>
        <w:rPr>
          <w:rFonts w:hint="eastAsia" w:ascii="宋体" w:hAnsi="宋体" w:cs="宋体"/>
          <w:color w:val="auto"/>
          <w:sz w:val="24"/>
          <w:szCs w:val="24"/>
          <w:highlight w:val="none"/>
        </w:rPr>
        <w:t>车辆信息化管理平台密保技术服务</w:t>
      </w:r>
    </w:p>
    <w:p w14:paraId="344FE7AE">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用先进的密码算法对用车管理平台进行密保技术服务，保障用车管理平台的网络安全、数据安全自由可控。</w:t>
      </w:r>
    </w:p>
    <w:p w14:paraId="29993BED">
      <w:pPr>
        <w:widowControl w:val="0"/>
        <w:tabs>
          <w:tab w:val="left" w:pos="39"/>
          <w:tab w:val="left" w:pos="96"/>
        </w:tabs>
        <w:snapToGrid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八</w:t>
      </w:r>
      <w:r>
        <w:rPr>
          <w:rFonts w:hint="eastAsia" w:ascii="宋体" w:hAnsi="宋体"/>
          <w:color w:val="auto"/>
          <w:sz w:val="24"/>
          <w:szCs w:val="28"/>
          <w:highlight w:val="none"/>
        </w:rPr>
        <w:t>）</w:t>
      </w:r>
      <w:r>
        <w:rPr>
          <w:rFonts w:hint="eastAsia" w:ascii="宋体" w:hAnsi="宋体" w:cs="宋体"/>
          <w:color w:val="auto"/>
          <w:sz w:val="24"/>
          <w:szCs w:val="24"/>
          <w:highlight w:val="none"/>
        </w:rPr>
        <w:t>其他相关配套的软、硬件升级服务</w:t>
      </w:r>
      <w:r>
        <w:rPr>
          <w:rFonts w:hint="eastAsia" w:ascii="宋体" w:hAnsi="宋体" w:cs="宋体"/>
          <w:color w:val="auto"/>
          <w:sz w:val="24"/>
          <w:szCs w:val="24"/>
          <w:highlight w:val="none"/>
          <w:lang w:eastAsia="zh-CN"/>
        </w:rPr>
        <w:t>；如果</w:t>
      </w:r>
      <w:r>
        <w:rPr>
          <w:rFonts w:hint="eastAsia" w:ascii="宋体" w:hAnsi="宋体" w:cs="宋体"/>
          <w:color w:val="auto"/>
          <w:sz w:val="24"/>
          <w:szCs w:val="24"/>
          <w:highlight w:val="none"/>
          <w:lang w:val="en-US" w:eastAsia="zh-CN"/>
        </w:rPr>
        <w:t>采购人</w:t>
      </w:r>
      <w:r>
        <w:rPr>
          <w:rFonts w:hint="eastAsia" w:ascii="宋体" w:hAnsi="宋体" w:cs="宋体"/>
          <w:color w:val="auto"/>
          <w:sz w:val="24"/>
          <w:szCs w:val="24"/>
          <w:highlight w:val="none"/>
          <w:lang w:eastAsia="zh-CN"/>
        </w:rPr>
        <w:t>有开发需求，</w:t>
      </w:r>
      <w:r>
        <w:rPr>
          <w:rFonts w:hint="eastAsia" w:ascii="宋体" w:hAnsi="宋体" w:cs="宋体"/>
          <w:color w:val="auto"/>
          <w:sz w:val="24"/>
          <w:szCs w:val="24"/>
          <w:highlight w:val="none"/>
          <w:lang w:val="en-US" w:eastAsia="zh-CN"/>
        </w:rPr>
        <w:t>供应商需按照采购人要求进行</w:t>
      </w:r>
      <w:r>
        <w:rPr>
          <w:rFonts w:hint="eastAsia" w:ascii="宋体" w:hAnsi="宋体" w:cs="宋体"/>
          <w:color w:val="auto"/>
          <w:sz w:val="24"/>
          <w:szCs w:val="24"/>
          <w:highlight w:val="none"/>
          <w:lang w:eastAsia="zh-CN"/>
        </w:rPr>
        <w:t>定制开发，</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lang w:eastAsia="zh-CN"/>
        </w:rPr>
        <w:t>需具备定制开发</w:t>
      </w:r>
      <w:r>
        <w:rPr>
          <w:rFonts w:hint="eastAsia" w:ascii="宋体" w:hAnsi="宋体" w:cs="宋体"/>
          <w:color w:val="auto"/>
          <w:sz w:val="24"/>
          <w:szCs w:val="24"/>
          <w:highlight w:val="none"/>
          <w:lang w:val="en-US" w:eastAsia="zh-CN"/>
        </w:rPr>
        <w:t>相应</w:t>
      </w:r>
      <w:r>
        <w:rPr>
          <w:rFonts w:hint="eastAsia" w:ascii="宋体" w:hAnsi="宋体" w:cs="宋体"/>
          <w:color w:val="auto"/>
          <w:sz w:val="24"/>
          <w:szCs w:val="24"/>
          <w:highlight w:val="none"/>
          <w:lang w:eastAsia="zh-CN"/>
        </w:rPr>
        <w:t>能力。</w:t>
      </w:r>
    </w:p>
    <w:p w14:paraId="0814411B">
      <w:pPr>
        <w:widowControl w:val="0"/>
        <w:tabs>
          <w:tab w:val="left" w:pos="39"/>
          <w:tab w:val="left" w:pos="96"/>
        </w:tabs>
        <w:snapToGrid w:val="0"/>
        <w:spacing w:line="360" w:lineRule="auto"/>
        <w:ind w:firstLine="482" w:firstLineChars="200"/>
        <w:jc w:val="left"/>
        <w:rPr>
          <w:rFonts w:ascii="宋体"/>
          <w:b/>
          <w:bCs/>
          <w:color w:val="auto"/>
          <w:sz w:val="24"/>
          <w:szCs w:val="24"/>
          <w:highlight w:val="none"/>
        </w:rPr>
      </w:pPr>
      <w:r>
        <w:rPr>
          <w:rFonts w:hint="eastAsia" w:ascii="宋体"/>
          <w:b/>
          <w:bCs/>
          <w:color w:val="auto"/>
          <w:sz w:val="24"/>
          <w:szCs w:val="24"/>
          <w:highlight w:val="none"/>
        </w:rPr>
        <w:t>三、其他要求</w:t>
      </w:r>
    </w:p>
    <w:p w14:paraId="6CC430C6">
      <w:pPr>
        <w:widowControl w:val="0"/>
        <w:tabs>
          <w:tab w:val="left" w:pos="39"/>
          <w:tab w:val="left" w:pos="96"/>
        </w:tabs>
        <w:snapToGrid w:val="0"/>
        <w:spacing w:line="360" w:lineRule="auto"/>
        <w:ind w:firstLine="480" w:firstLineChars="200"/>
        <w:jc w:val="left"/>
        <w:rPr>
          <w:b/>
          <w:color w:val="auto"/>
          <w:sz w:val="24"/>
          <w:szCs w:val="24"/>
          <w:highlight w:val="none"/>
        </w:rPr>
      </w:pPr>
      <w:r>
        <w:rPr>
          <w:rFonts w:hint="eastAsia" w:ascii="宋体" w:hAnsi="宋体" w:cs="宋体"/>
          <w:color w:val="auto"/>
          <w:sz w:val="24"/>
          <w:szCs w:val="24"/>
          <w:highlight w:val="none"/>
        </w:rPr>
        <w:t>成交供应商应当加强劳动安全管理，加强劳动合同管理。如因管理不善和其它意外（包括上下班途中）引起的各类人身伤害、工伤事故等，或出现劳动纠纷，由成交供应商负责并承担经济和道义上的责任，采购人不承担任何责任。 成交供应商违反国家相关法规与聘用人员发生纠纷，均由成交单位负责人负责调解和处理，采购人不承担责任。</w:t>
      </w:r>
    </w:p>
    <w:p w14:paraId="66FFD297">
      <w:pPr>
        <w:widowControl w:val="0"/>
        <w:tabs>
          <w:tab w:val="left" w:pos="39"/>
          <w:tab w:val="left" w:pos="96"/>
        </w:tabs>
        <w:snapToGrid w:val="0"/>
        <w:spacing w:line="360" w:lineRule="auto"/>
        <w:ind w:firstLine="482" w:firstLineChars="200"/>
        <w:jc w:val="left"/>
        <w:rPr>
          <w:rFonts w:ascii="宋体"/>
          <w:b/>
          <w:bCs/>
          <w:color w:val="auto"/>
          <w:sz w:val="24"/>
          <w:szCs w:val="24"/>
          <w:highlight w:val="none"/>
        </w:rPr>
      </w:pPr>
      <w:r>
        <w:rPr>
          <w:rFonts w:hint="eastAsia" w:ascii="宋体"/>
          <w:b/>
          <w:bCs/>
          <w:color w:val="auto"/>
          <w:sz w:val="24"/>
          <w:szCs w:val="24"/>
          <w:highlight w:val="none"/>
        </w:rPr>
        <w:t>四、保密要求</w:t>
      </w:r>
    </w:p>
    <w:p w14:paraId="7E10F995">
      <w:pPr>
        <w:pStyle w:val="14"/>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供应商应做到下列保密义务：</w:t>
      </w:r>
    </w:p>
    <w:p w14:paraId="032A75BC">
      <w:pPr>
        <w:pStyle w:val="14"/>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1、保密内容（包括技术信息）：所有项目相关的技术资料及商务文件。</w:t>
      </w:r>
    </w:p>
    <w:p w14:paraId="73BED68C">
      <w:pPr>
        <w:pStyle w:val="14"/>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2、涉密人员范围：供应商所有项目参与成员。</w:t>
      </w:r>
    </w:p>
    <w:p w14:paraId="47F6AD20">
      <w:pPr>
        <w:pStyle w:val="14"/>
        <w:ind w:firstLine="480"/>
        <w:rPr>
          <w:rFonts w:ascii="宋体" w:hAnsi="宋体" w:cs="Arial"/>
          <w:color w:val="auto"/>
          <w:szCs w:val="24"/>
          <w:highlight w:val="none"/>
          <w:shd w:val="clear" w:color="auto" w:fill="FFFFFF"/>
        </w:rPr>
      </w:pPr>
      <w:r>
        <w:rPr>
          <w:rFonts w:hint="eastAsia" w:ascii="宋体" w:hAnsi="宋体" w:cs="Arial"/>
          <w:color w:val="auto"/>
          <w:szCs w:val="24"/>
          <w:highlight w:val="none"/>
          <w:shd w:val="clear" w:color="auto" w:fill="FFFFFF"/>
        </w:rPr>
        <w:t>3、泄密责任：按照国家法律规定执行。</w:t>
      </w:r>
    </w:p>
    <w:p w14:paraId="622FE596">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olor w:val="auto"/>
          <w:sz w:val="24"/>
          <w:szCs w:val="24"/>
          <w:highlight w:val="none"/>
          <w:lang w:val="en-US" w:eastAsia="zh-CN"/>
        </w:rPr>
        <w:t>安阳</w:t>
      </w:r>
      <w:r>
        <w:rPr>
          <w:rFonts w:hint="eastAsia" w:ascii="宋体" w:hAnsi="宋体" w:cs="宋体"/>
          <w:color w:val="auto"/>
          <w:sz w:val="24"/>
          <w:highlight w:val="none"/>
        </w:rPr>
        <w:t>市财政局</w:t>
      </w:r>
      <w:r>
        <w:rPr>
          <w:rFonts w:hint="eastAsia" w:ascii="宋体" w:hAnsi="宋体"/>
          <w:color w:val="auto"/>
          <w:sz w:val="24"/>
          <w:szCs w:val="24"/>
          <w:highlight w:val="none"/>
          <w:lang w:val="en-US" w:eastAsia="zh-CN"/>
        </w:rPr>
        <w:t>安阳</w:t>
      </w:r>
      <w:r>
        <w:rPr>
          <w:rFonts w:hint="eastAsia" w:ascii="宋体" w:hAnsi="宋体" w:cs="宋体"/>
          <w:color w:val="auto"/>
          <w:sz w:val="24"/>
          <w:highlight w:val="none"/>
        </w:rPr>
        <w:t>市执法执勤车辆监管平台运行维护项目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二次</w:t>
      </w:r>
      <w:r>
        <w:rPr>
          <w:rFonts w:hint="eastAsia" w:ascii="宋体" w:hAnsi="宋体" w:cs="宋体"/>
          <w:color w:val="auto"/>
          <w:sz w:val="24"/>
          <w:highlight w:val="none"/>
          <w:lang w:eastAsia="zh-CN"/>
        </w:rPr>
        <w:t>）</w:t>
      </w:r>
      <w:r>
        <w:rPr>
          <w:rFonts w:hint="eastAsia" w:ascii="宋体" w:hAnsi="宋体" w:cs="宋体"/>
          <w:color w:val="auto"/>
          <w:sz w:val="24"/>
          <w:highlight w:val="none"/>
        </w:rPr>
        <w:t>的中小企业划分标准所属行业为：软件和信息技术服务业。</w:t>
      </w:r>
    </w:p>
    <w:p w14:paraId="4BB89EB5">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提醒：供应商按照采购文件中标明的服务项目的所属行业、按该行业所对应的中小企业划分标准，作为服务的承接商（供应商）是否属于中小企业的判断标准。</w:t>
      </w:r>
    </w:p>
    <w:p w14:paraId="5E6BAD5C">
      <w:pPr>
        <w:widowControl w:val="0"/>
        <w:tabs>
          <w:tab w:val="left" w:pos="39"/>
          <w:tab w:val="left" w:pos="96"/>
        </w:tabs>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供应商不应按照自身的行业属性作为中小企业的判断标准（应按采购文件标明的所属行业进行判断）。</w:t>
      </w:r>
    </w:p>
    <w:p w14:paraId="78ED051D">
      <w:pPr>
        <w:spacing w:line="300" w:lineRule="auto"/>
        <w:ind w:firstLine="480" w:firstLineChars="200"/>
        <w:rPr>
          <w:color w:val="auto"/>
          <w:sz w:val="24"/>
          <w:szCs w:val="24"/>
          <w:highlight w:val="none"/>
        </w:rPr>
      </w:pPr>
    </w:p>
    <w:p w14:paraId="6AE5C42C">
      <w:pPr>
        <w:adjustRightInd w:val="0"/>
        <w:snapToGrid w:val="0"/>
        <w:spacing w:before="120" w:beforeLines="50" w:line="300" w:lineRule="auto"/>
        <w:ind w:firstLine="482" w:firstLineChars="200"/>
        <w:rPr>
          <w:rFonts w:ascii="黑体" w:hAnsi="黑体" w:eastAsia="黑体"/>
          <w:b/>
          <w:color w:val="auto"/>
          <w:sz w:val="24"/>
          <w:szCs w:val="24"/>
          <w:highlight w:val="none"/>
        </w:rPr>
      </w:pPr>
      <w:r>
        <w:rPr>
          <w:rFonts w:hint="eastAsia" w:ascii="黑体" w:hAnsi="黑体" w:eastAsia="黑体"/>
          <w:b/>
          <w:color w:val="auto"/>
          <w:sz w:val="24"/>
          <w:szCs w:val="24"/>
          <w:highlight w:val="none"/>
        </w:rPr>
        <w:t>2.5安全</w:t>
      </w:r>
    </w:p>
    <w:p w14:paraId="70F49150">
      <w:pPr>
        <w:widowControl w:val="0"/>
        <w:adjustRightInd w:val="0"/>
        <w:snapToGrid w:val="0"/>
        <w:spacing w:before="120" w:beforeLines="50" w:line="300" w:lineRule="auto"/>
        <w:ind w:left="22" w:firstLine="555"/>
        <w:jc w:val="left"/>
        <w:rPr>
          <w:color w:val="auto"/>
          <w:sz w:val="24"/>
          <w:szCs w:val="24"/>
          <w:highlight w:val="none"/>
        </w:rPr>
      </w:pPr>
      <w:r>
        <w:rPr>
          <w:rFonts w:hint="eastAsia"/>
          <w:color w:val="auto"/>
          <w:sz w:val="24"/>
          <w:szCs w:val="24"/>
          <w:highlight w:val="none"/>
        </w:rPr>
        <w:t>响应服务（及所涉货物材料设施）应符合国家、行业的各</w:t>
      </w:r>
      <w:r>
        <w:rPr>
          <w:color w:val="auto"/>
          <w:sz w:val="24"/>
          <w:szCs w:val="24"/>
          <w:highlight w:val="none"/>
        </w:rPr>
        <w:t>项</w:t>
      </w:r>
      <w:r>
        <w:rPr>
          <w:rFonts w:hint="eastAsia"/>
          <w:color w:val="auto"/>
          <w:sz w:val="24"/>
          <w:szCs w:val="24"/>
          <w:highlight w:val="none"/>
        </w:rPr>
        <w:t>安全标准，供应商</w:t>
      </w:r>
      <w:r>
        <w:rPr>
          <w:color w:val="auto"/>
          <w:sz w:val="24"/>
          <w:szCs w:val="24"/>
          <w:highlight w:val="none"/>
        </w:rPr>
        <w:t>对</w:t>
      </w:r>
      <w:r>
        <w:rPr>
          <w:rFonts w:hint="eastAsia"/>
          <w:color w:val="auto"/>
          <w:sz w:val="24"/>
          <w:szCs w:val="24"/>
          <w:highlight w:val="none"/>
        </w:rPr>
        <w:t>响应服务（及所涉货物材料设施）的</w:t>
      </w:r>
      <w:r>
        <w:rPr>
          <w:color w:val="auto"/>
          <w:sz w:val="24"/>
          <w:szCs w:val="24"/>
          <w:highlight w:val="none"/>
        </w:rPr>
        <w:t>安全性承担全部责任。</w:t>
      </w:r>
      <w:r>
        <w:rPr>
          <w:rFonts w:hint="eastAsia"/>
          <w:color w:val="auto"/>
          <w:sz w:val="24"/>
          <w:szCs w:val="24"/>
          <w:highlight w:val="none"/>
        </w:rPr>
        <w:t>服务期内不符合保障人身、财产安全的国家标准、行业标准的服务（及所涉货物材料设施），将</w:t>
      </w:r>
      <w:r>
        <w:rPr>
          <w:color w:val="auto"/>
          <w:sz w:val="24"/>
          <w:szCs w:val="24"/>
          <w:highlight w:val="none"/>
        </w:rPr>
        <w:t>依法承担民事及相应刑事责任</w:t>
      </w:r>
      <w:r>
        <w:rPr>
          <w:rFonts w:hint="eastAsia"/>
          <w:color w:val="auto"/>
          <w:sz w:val="24"/>
          <w:szCs w:val="24"/>
          <w:highlight w:val="none"/>
        </w:rPr>
        <w:t>。合</w:t>
      </w:r>
      <w:r>
        <w:rPr>
          <w:color w:val="auto"/>
          <w:sz w:val="24"/>
          <w:szCs w:val="24"/>
          <w:highlight w:val="none"/>
        </w:rPr>
        <w:t>同履行中的安全责任由</w:t>
      </w:r>
      <w:r>
        <w:rPr>
          <w:rFonts w:hint="eastAsia"/>
          <w:color w:val="auto"/>
          <w:sz w:val="24"/>
          <w:szCs w:val="24"/>
          <w:highlight w:val="none"/>
        </w:rPr>
        <w:t>成交供应商</w:t>
      </w:r>
      <w:r>
        <w:rPr>
          <w:color w:val="auto"/>
          <w:sz w:val="24"/>
          <w:szCs w:val="24"/>
          <w:highlight w:val="none"/>
        </w:rPr>
        <w:t>承担全部责任。</w:t>
      </w:r>
    </w:p>
    <w:p w14:paraId="04BA1399">
      <w:pPr>
        <w:adjustRightInd w:val="0"/>
        <w:snapToGrid w:val="0"/>
        <w:spacing w:before="120"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6</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响应</w:t>
      </w:r>
      <w:r>
        <w:rPr>
          <w:rFonts w:ascii="黑体" w:hAnsi="黑体" w:eastAsia="黑体"/>
          <w:b/>
          <w:color w:val="auto"/>
          <w:sz w:val="24"/>
          <w:szCs w:val="24"/>
          <w:highlight w:val="none"/>
        </w:rPr>
        <w:t>文件</w:t>
      </w:r>
      <w:r>
        <w:rPr>
          <w:rFonts w:hint="eastAsia" w:ascii="黑体" w:hAnsi="黑体" w:eastAsia="黑体"/>
          <w:b/>
          <w:color w:val="auto"/>
          <w:sz w:val="24"/>
          <w:szCs w:val="24"/>
          <w:highlight w:val="none"/>
        </w:rPr>
        <w:t>对“具体服务要求及标段（包）内容（范围）”的</w:t>
      </w:r>
      <w:r>
        <w:rPr>
          <w:rFonts w:ascii="黑体" w:hAnsi="黑体" w:eastAsia="黑体"/>
          <w:b/>
          <w:color w:val="auto"/>
          <w:sz w:val="24"/>
          <w:szCs w:val="24"/>
          <w:highlight w:val="none"/>
        </w:rPr>
        <w:t>响应</w:t>
      </w:r>
    </w:p>
    <w:p w14:paraId="79480EFD">
      <w:pPr>
        <w:widowControl w:val="0"/>
        <w:adjustRightInd w:val="0"/>
        <w:snapToGrid w:val="0"/>
        <w:spacing w:before="120" w:beforeLines="50" w:line="300" w:lineRule="auto"/>
        <w:ind w:left="22" w:firstLine="555"/>
        <w:jc w:val="left"/>
        <w:rPr>
          <w:color w:val="auto"/>
          <w:sz w:val="24"/>
          <w:szCs w:val="24"/>
          <w:highlight w:val="none"/>
        </w:rPr>
      </w:pPr>
      <w:r>
        <w:rPr>
          <w:rFonts w:hint="eastAsia"/>
          <w:color w:val="auto"/>
          <w:sz w:val="24"/>
          <w:szCs w:val="24"/>
          <w:highlight w:val="none"/>
        </w:rPr>
        <w:t>“</w:t>
      </w:r>
      <w:r>
        <w:rPr>
          <w:rFonts w:ascii="宋体" w:hAnsi="宋体"/>
          <w:color w:val="auto"/>
          <w:sz w:val="24"/>
          <w:szCs w:val="24"/>
          <w:highlight w:val="none"/>
        </w:rPr>
        <w:t>2.4</w:t>
      </w:r>
      <w:r>
        <w:rPr>
          <w:rFonts w:hint="eastAsia" w:ascii="宋体" w:hAnsi="宋体"/>
          <w:color w:val="auto"/>
          <w:sz w:val="24"/>
          <w:szCs w:val="24"/>
          <w:highlight w:val="none"/>
        </w:rPr>
        <w:t>具体服务要求及标段（包）内容（范围）</w:t>
      </w:r>
      <w:r>
        <w:rPr>
          <w:rFonts w:hint="eastAsia"/>
          <w:color w:val="auto"/>
          <w:sz w:val="24"/>
          <w:szCs w:val="24"/>
          <w:highlight w:val="none"/>
        </w:rPr>
        <w:t>”为采购</w:t>
      </w:r>
      <w:r>
        <w:rPr>
          <w:color w:val="auto"/>
          <w:sz w:val="24"/>
          <w:szCs w:val="24"/>
          <w:highlight w:val="none"/>
        </w:rPr>
        <w:t>需求的</w:t>
      </w:r>
      <w:r>
        <w:rPr>
          <w:rFonts w:hint="eastAsia"/>
          <w:color w:val="auto"/>
          <w:sz w:val="24"/>
          <w:szCs w:val="24"/>
          <w:highlight w:val="none"/>
        </w:rPr>
        <w:t>基础</w:t>
      </w:r>
      <w:r>
        <w:rPr>
          <w:color w:val="auto"/>
          <w:sz w:val="24"/>
          <w:szCs w:val="24"/>
          <w:highlight w:val="none"/>
        </w:rPr>
        <w:t>性</w:t>
      </w:r>
      <w:r>
        <w:rPr>
          <w:rFonts w:hint="eastAsia"/>
          <w:color w:val="auto"/>
          <w:sz w:val="24"/>
          <w:szCs w:val="24"/>
          <w:highlight w:val="none"/>
        </w:rPr>
        <w:t>要求，服务内容</w:t>
      </w:r>
      <w:r>
        <w:rPr>
          <w:color w:val="auto"/>
          <w:sz w:val="24"/>
          <w:szCs w:val="24"/>
          <w:highlight w:val="none"/>
        </w:rPr>
        <w:t>应当明确</w:t>
      </w:r>
      <w:r>
        <w:rPr>
          <w:rFonts w:hint="eastAsia"/>
          <w:color w:val="auto"/>
          <w:sz w:val="24"/>
          <w:szCs w:val="24"/>
          <w:highlight w:val="none"/>
        </w:rPr>
        <w:t>，服务所涉产品及技术参数应当明确并最</w:t>
      </w:r>
      <w:r>
        <w:rPr>
          <w:color w:val="auto"/>
          <w:sz w:val="24"/>
          <w:szCs w:val="24"/>
          <w:highlight w:val="none"/>
        </w:rPr>
        <w:t>终指向具体明确的产</w:t>
      </w:r>
      <w:r>
        <w:rPr>
          <w:rFonts w:hint="eastAsia"/>
          <w:color w:val="auto"/>
          <w:sz w:val="24"/>
          <w:szCs w:val="24"/>
          <w:highlight w:val="none"/>
        </w:rPr>
        <w:t>品。响应文</w:t>
      </w:r>
      <w:r>
        <w:rPr>
          <w:color w:val="auto"/>
          <w:sz w:val="24"/>
          <w:szCs w:val="24"/>
          <w:highlight w:val="none"/>
        </w:rPr>
        <w:t>件</w:t>
      </w:r>
      <w:r>
        <w:rPr>
          <w:rFonts w:hint="eastAsia"/>
          <w:color w:val="auto"/>
          <w:sz w:val="24"/>
          <w:szCs w:val="24"/>
          <w:highlight w:val="none"/>
        </w:rPr>
        <w:t>技术参数抄袭磋商文件“</w:t>
      </w:r>
      <w:r>
        <w:rPr>
          <w:rFonts w:hint="eastAsia" w:ascii="宋体" w:hAnsi="宋体"/>
          <w:color w:val="auto"/>
          <w:sz w:val="24"/>
          <w:szCs w:val="24"/>
          <w:highlight w:val="none"/>
        </w:rPr>
        <w:t>具体服务要求及标段（包）内容（范围）</w:t>
      </w:r>
      <w:r>
        <w:rPr>
          <w:rFonts w:hint="eastAsia"/>
          <w:color w:val="auto"/>
          <w:sz w:val="24"/>
          <w:szCs w:val="24"/>
          <w:highlight w:val="none"/>
        </w:rPr>
        <w:t>”，投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明确</w:t>
      </w:r>
      <w:r>
        <w:rPr>
          <w:rFonts w:hint="eastAsia"/>
          <w:color w:val="auto"/>
          <w:sz w:val="24"/>
          <w:szCs w:val="24"/>
          <w:highlight w:val="none"/>
        </w:rPr>
        <w:t>的</w:t>
      </w:r>
      <w:r>
        <w:rPr>
          <w:color w:val="auto"/>
          <w:sz w:val="24"/>
          <w:szCs w:val="24"/>
          <w:highlight w:val="none"/>
        </w:rPr>
        <w:t>、或</w:t>
      </w:r>
      <w:r>
        <w:rPr>
          <w:rFonts w:hint="eastAsia"/>
          <w:color w:val="auto"/>
          <w:sz w:val="24"/>
          <w:szCs w:val="24"/>
          <w:highlight w:val="none"/>
        </w:rPr>
        <w:t>与投</w:t>
      </w:r>
      <w:r>
        <w:rPr>
          <w:color w:val="auto"/>
          <w:sz w:val="24"/>
          <w:szCs w:val="24"/>
          <w:highlight w:val="none"/>
        </w:rPr>
        <w:t>标产品</w:t>
      </w:r>
      <w:r>
        <w:rPr>
          <w:rFonts w:hint="eastAsia"/>
          <w:color w:val="auto"/>
          <w:sz w:val="24"/>
          <w:szCs w:val="24"/>
          <w:highlight w:val="none"/>
        </w:rPr>
        <w:t>不</w:t>
      </w:r>
      <w:r>
        <w:rPr>
          <w:color w:val="auto"/>
          <w:sz w:val="24"/>
          <w:szCs w:val="24"/>
          <w:highlight w:val="none"/>
        </w:rPr>
        <w:t>一致</w:t>
      </w:r>
      <w:r>
        <w:rPr>
          <w:rFonts w:hint="eastAsia"/>
          <w:color w:val="auto"/>
          <w:sz w:val="24"/>
          <w:szCs w:val="24"/>
          <w:highlight w:val="none"/>
        </w:rPr>
        <w:t>的</w:t>
      </w:r>
      <w:r>
        <w:rPr>
          <w:color w:val="auto"/>
          <w:sz w:val="24"/>
          <w:szCs w:val="24"/>
          <w:highlight w:val="none"/>
        </w:rPr>
        <w:t>，</w:t>
      </w:r>
      <w:r>
        <w:rPr>
          <w:rFonts w:hint="eastAsia"/>
          <w:color w:val="auto"/>
          <w:sz w:val="24"/>
          <w:szCs w:val="24"/>
          <w:highlight w:val="none"/>
        </w:rPr>
        <w:t>磋商小组有权按照实质性判断原则评定其为无效投标。</w:t>
      </w:r>
    </w:p>
    <w:p w14:paraId="532F68CD">
      <w:pPr>
        <w:adjustRightInd w:val="0"/>
        <w:snapToGrid w:val="0"/>
        <w:spacing w:before="120"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7技术偏离</w:t>
      </w:r>
    </w:p>
    <w:p w14:paraId="4136CB4E">
      <w:pPr>
        <w:widowControl w:val="0"/>
        <w:adjustRightInd w:val="0"/>
        <w:snapToGrid w:val="0"/>
        <w:spacing w:before="120" w:beforeLines="50" w:line="300" w:lineRule="auto"/>
        <w:ind w:left="22" w:firstLine="555"/>
        <w:jc w:val="left"/>
        <w:rPr>
          <w:color w:val="auto"/>
          <w:sz w:val="24"/>
          <w:szCs w:val="24"/>
          <w:highlight w:val="none"/>
        </w:rPr>
      </w:pPr>
      <w:r>
        <w:rPr>
          <w:rFonts w:ascii="宋体" w:hAnsi="宋体" w:cs="宋体"/>
          <w:color w:val="auto"/>
          <w:sz w:val="24"/>
          <w:szCs w:val="24"/>
          <w:highlight w:val="none"/>
        </w:rPr>
        <w:t>2.</w:t>
      </w:r>
      <w:r>
        <w:rPr>
          <w:rFonts w:hint="eastAsia" w:ascii="宋体" w:hAnsi="宋体" w:cs="宋体"/>
          <w:color w:val="auto"/>
          <w:sz w:val="24"/>
          <w:szCs w:val="24"/>
          <w:highlight w:val="none"/>
        </w:rPr>
        <w:t>7</w:t>
      </w:r>
      <w:r>
        <w:rPr>
          <w:rFonts w:ascii="宋体" w:hAnsi="宋体" w:cs="宋体"/>
          <w:color w:val="auto"/>
          <w:sz w:val="24"/>
          <w:szCs w:val="24"/>
          <w:highlight w:val="none"/>
        </w:rPr>
        <w:t>.</w:t>
      </w:r>
      <w:r>
        <w:rPr>
          <w:rFonts w:hint="eastAsia" w:ascii="宋体" w:hAnsi="宋体" w:cs="宋体"/>
          <w:color w:val="auto"/>
          <w:sz w:val="24"/>
          <w:szCs w:val="24"/>
          <w:highlight w:val="none"/>
        </w:rPr>
        <w:t>1服务所涉货物材料设施的</w:t>
      </w:r>
      <w:r>
        <w:rPr>
          <w:rFonts w:hint="eastAsia"/>
          <w:color w:val="auto"/>
          <w:sz w:val="24"/>
          <w:szCs w:val="24"/>
          <w:highlight w:val="none"/>
        </w:rPr>
        <w:t>“技术要求”中</w:t>
      </w:r>
      <w:r>
        <w:rPr>
          <w:rFonts w:hint="eastAsia" w:ascii="宋体" w:hAnsi="宋体" w:cs="宋体"/>
          <w:color w:val="auto"/>
          <w:sz w:val="24"/>
          <w:szCs w:val="24"/>
          <w:highlight w:val="none"/>
        </w:rPr>
        <w:t>标“★”</w:t>
      </w:r>
      <w:r>
        <w:rPr>
          <w:rFonts w:hint="eastAsia"/>
          <w:color w:val="auto"/>
          <w:sz w:val="24"/>
          <w:szCs w:val="24"/>
          <w:highlight w:val="none"/>
        </w:rPr>
        <w:t>的为重要性的技术参数指标，未标注符号的为一般性的技术参数指标，如有“负偏离”的，磋商小组将按照第四章评分因素--技术项要求进行扣分。注：“负偏离”不得影响产品质量及本项目的实现目标，否则将被评定为无需投标。</w:t>
      </w:r>
    </w:p>
    <w:p w14:paraId="5595D13D">
      <w:pPr>
        <w:widowControl w:val="0"/>
        <w:adjustRightInd w:val="0"/>
        <w:snapToGrid w:val="0"/>
        <w:spacing w:before="120" w:beforeLines="50" w:line="300" w:lineRule="auto"/>
        <w:ind w:left="22" w:firstLine="555"/>
        <w:jc w:val="left"/>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2 除服务所涉货物材料设施的</w:t>
      </w:r>
      <w:r>
        <w:rPr>
          <w:rFonts w:hint="eastAsia" w:ascii="黑体" w:hAnsi="黑体" w:eastAsia="黑体"/>
          <w:b/>
          <w:color w:val="auto"/>
          <w:sz w:val="24"/>
          <w:szCs w:val="24"/>
          <w:highlight w:val="none"/>
        </w:rPr>
        <w:t>技术偏离外，其他内容不接受负偏差</w:t>
      </w:r>
    </w:p>
    <w:p w14:paraId="0432D181">
      <w:pPr>
        <w:widowControl w:val="0"/>
        <w:adjustRightInd w:val="0"/>
        <w:snapToGrid w:val="0"/>
        <w:spacing w:before="120" w:beforeLines="50" w:line="300" w:lineRule="auto"/>
        <w:ind w:left="22" w:firstLine="555"/>
        <w:rPr>
          <w:color w:val="auto"/>
          <w:sz w:val="24"/>
          <w:szCs w:val="24"/>
          <w:highlight w:val="none"/>
        </w:rPr>
      </w:pPr>
      <w:r>
        <w:rPr>
          <w:color w:val="auto"/>
          <w:sz w:val="24"/>
          <w:szCs w:val="24"/>
          <w:highlight w:val="none"/>
        </w:rPr>
        <w:t>2.</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3响应文件对技术偏差的描述要求：见第三章投标人须知</w:t>
      </w:r>
      <w:r>
        <w:rPr>
          <w:color w:val="auto"/>
          <w:sz w:val="24"/>
          <w:szCs w:val="24"/>
          <w:highlight w:val="none"/>
        </w:rPr>
        <w:t>3.7.3</w:t>
      </w:r>
      <w:r>
        <w:rPr>
          <w:rFonts w:hint="eastAsia"/>
          <w:color w:val="auto"/>
          <w:sz w:val="24"/>
          <w:szCs w:val="24"/>
          <w:highlight w:val="none"/>
        </w:rPr>
        <w:t>项。</w:t>
      </w:r>
    </w:p>
    <w:p w14:paraId="035F8538">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8</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合同履行期限后、服务项目所涉货物的售后服务</w:t>
      </w:r>
    </w:p>
    <w:p w14:paraId="2CAA3BB5">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无特殊要求，服务要求中已作要求的从其要求。</w:t>
      </w:r>
    </w:p>
    <w:p w14:paraId="41F593C3">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9保险、所涉货物包装</w:t>
      </w:r>
    </w:p>
    <w:p w14:paraId="5A41D092">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2.9.1保险（如需）：</w:t>
      </w:r>
    </w:p>
    <w:p w14:paraId="495DC91B">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投标人应遵循国家相关保险的规定，依照法规规定，根据项目属性需要，办理货物设施等的财产保险、危险作业人员的工伤和意外伤害保险、设计和工程保险、第三方责任险，相关保险费用及相应责任由成交人承担。</w:t>
      </w:r>
    </w:p>
    <w:p w14:paraId="746BEE6A">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2.9.2所涉货物包装：</w:t>
      </w:r>
    </w:p>
    <w:p w14:paraId="23B081A1">
      <w:pPr>
        <w:adjustRightInd w:val="0"/>
        <w:snapToGrid w:val="0"/>
        <w:spacing w:line="300" w:lineRule="auto"/>
        <w:ind w:firstLine="564" w:firstLineChars="235"/>
        <w:jc w:val="left"/>
        <w:rPr>
          <w:color w:val="auto"/>
          <w:sz w:val="24"/>
          <w:szCs w:val="24"/>
          <w:highlight w:val="none"/>
        </w:rPr>
      </w:pPr>
      <w:r>
        <w:rPr>
          <w:rFonts w:hint="eastAsia"/>
          <w:color w:val="auto"/>
          <w:sz w:val="24"/>
          <w:szCs w:val="24"/>
          <w:highlight w:val="none"/>
        </w:rPr>
        <w:t>成交人负责按国家相关标准进行货物包装，设备的包装均应有良好的防湿、防锈、防潮、防雨、防腐及防碰撞的措施，凡由于包装不良造成的损失和由此产生的费用均由成交人承担。</w:t>
      </w:r>
    </w:p>
    <w:p w14:paraId="494EBC53">
      <w:pPr>
        <w:adjustRightInd w:val="0"/>
        <w:snapToGrid w:val="0"/>
        <w:spacing w:line="300" w:lineRule="auto"/>
        <w:ind w:firstLine="566" w:firstLineChars="235"/>
        <w:jc w:val="left"/>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10</w:t>
      </w:r>
      <w:r>
        <w:rPr>
          <w:rFonts w:ascii="黑体" w:hAnsi="黑体" w:eastAsia="黑体"/>
          <w:b/>
          <w:color w:val="auto"/>
          <w:sz w:val="24"/>
          <w:szCs w:val="24"/>
          <w:highlight w:val="none"/>
        </w:rPr>
        <w:t xml:space="preserve"> </w:t>
      </w:r>
      <w:r>
        <w:rPr>
          <w:rFonts w:hint="eastAsia" w:ascii="黑体" w:hAnsi="黑体" w:eastAsia="黑体"/>
          <w:b/>
          <w:color w:val="auto"/>
          <w:sz w:val="24"/>
          <w:szCs w:val="24"/>
          <w:highlight w:val="none"/>
        </w:rPr>
        <w:t>采购标的的验收标准</w:t>
      </w:r>
    </w:p>
    <w:p w14:paraId="6DE66325">
      <w:pPr>
        <w:adjustRightInd w:val="0"/>
        <w:snapToGrid w:val="0"/>
        <w:spacing w:line="300" w:lineRule="auto"/>
        <w:ind w:firstLine="564" w:firstLineChars="235"/>
        <w:jc w:val="left"/>
        <w:rPr>
          <w:rFonts w:ascii="宋体" w:hAns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投标人须知”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第</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条“验收”条款。</w:t>
      </w:r>
    </w:p>
    <w:p w14:paraId="1B959513">
      <w:pPr>
        <w:adjustRightInd w:val="0"/>
        <w:snapToGrid w:val="0"/>
        <w:spacing w:before="120" w:beforeLines="50" w:line="300" w:lineRule="auto"/>
        <w:ind w:firstLine="566" w:firstLineChars="235"/>
        <w:rPr>
          <w:rFonts w:ascii="黑体" w:hAnsi="黑体" w:eastAsia="黑体"/>
          <w:b/>
          <w:color w:val="auto"/>
          <w:sz w:val="24"/>
          <w:szCs w:val="24"/>
          <w:highlight w:val="none"/>
        </w:rPr>
      </w:pPr>
      <w:r>
        <w:rPr>
          <w:rFonts w:ascii="黑体" w:hAnsi="黑体" w:eastAsia="黑体"/>
          <w:b/>
          <w:color w:val="auto"/>
          <w:sz w:val="24"/>
          <w:szCs w:val="24"/>
          <w:highlight w:val="none"/>
        </w:rPr>
        <w:t>2.</w:t>
      </w:r>
      <w:r>
        <w:rPr>
          <w:rFonts w:hint="eastAsia" w:ascii="黑体" w:hAnsi="黑体" w:eastAsia="黑体"/>
          <w:b/>
          <w:color w:val="auto"/>
          <w:sz w:val="24"/>
          <w:szCs w:val="24"/>
          <w:highlight w:val="none"/>
        </w:rPr>
        <w:t>11采购标的的其他技术、服务等要求</w:t>
      </w:r>
    </w:p>
    <w:p w14:paraId="37AE44EB">
      <w:pPr>
        <w:adjustRightInd w:val="0"/>
        <w:snapToGrid w:val="0"/>
        <w:spacing w:before="120" w:beforeLines="50" w:line="300" w:lineRule="auto"/>
        <w:rPr>
          <w:rFonts w:ascii="黑体" w:hAnsi="黑体" w:eastAsia="黑体"/>
          <w:b/>
          <w:color w:val="auto"/>
          <w:sz w:val="24"/>
          <w:szCs w:val="24"/>
          <w:highlight w:val="none"/>
        </w:rPr>
      </w:pPr>
      <w:r>
        <w:rPr>
          <w:rFonts w:hint="eastAsia" w:ascii="黑体" w:hAnsi="黑体" w:eastAsia="黑体"/>
          <w:b/>
          <w:color w:val="auto"/>
          <w:sz w:val="24"/>
          <w:szCs w:val="24"/>
          <w:highlight w:val="none"/>
        </w:rPr>
        <w:t xml:space="preserve">    </w:t>
      </w:r>
      <w:r>
        <w:rPr>
          <w:rFonts w:hint="eastAsia" w:ascii="宋体" w:hAnsi="宋体" w:cs="宋体"/>
          <w:color w:val="auto"/>
          <w:sz w:val="24"/>
          <w:szCs w:val="24"/>
          <w:highlight w:val="none"/>
        </w:rPr>
        <w:t>无</w:t>
      </w:r>
    </w:p>
    <w:p w14:paraId="02B126FE">
      <w:pPr>
        <w:adjustRightInd w:val="0"/>
        <w:snapToGrid w:val="0"/>
        <w:spacing w:before="120" w:beforeLines="50" w:line="300" w:lineRule="auto"/>
        <w:rPr>
          <w:rFonts w:ascii="黑体" w:hAnsi="黑体" w:eastAsia="黑体"/>
          <w:b/>
          <w:color w:val="auto"/>
          <w:sz w:val="24"/>
          <w:szCs w:val="24"/>
          <w:highlight w:val="none"/>
        </w:rPr>
      </w:pPr>
    </w:p>
    <w:p w14:paraId="636307CA">
      <w:pPr>
        <w:adjustRightInd w:val="0"/>
        <w:snapToGrid w:val="0"/>
        <w:spacing w:before="120" w:beforeLines="50" w:line="300" w:lineRule="auto"/>
        <w:ind w:firstLine="562" w:firstLineChars="200"/>
        <w:outlineLvl w:val="1"/>
        <w:rPr>
          <w:rFonts w:ascii="黑体" w:hAnsi="黑体" w:eastAsia="黑体"/>
          <w:b/>
          <w:color w:val="auto"/>
          <w:sz w:val="28"/>
          <w:highlight w:val="none"/>
        </w:rPr>
      </w:pPr>
      <w:bookmarkStart w:id="18" w:name="_Toc65676676"/>
      <w:bookmarkStart w:id="19" w:name="_Toc202883065"/>
      <w:r>
        <w:rPr>
          <w:rFonts w:hint="eastAsia" w:ascii="黑体" w:hAnsi="黑体" w:eastAsia="黑体"/>
          <w:b/>
          <w:color w:val="auto"/>
          <w:sz w:val="28"/>
          <w:highlight w:val="none"/>
        </w:rPr>
        <w:t>3</w:t>
      </w:r>
      <w:r>
        <w:rPr>
          <w:rFonts w:ascii="黑体" w:hAnsi="黑体" w:eastAsia="黑体"/>
          <w:b/>
          <w:color w:val="auto"/>
          <w:sz w:val="28"/>
          <w:highlight w:val="none"/>
        </w:rPr>
        <w:t xml:space="preserve">. </w:t>
      </w:r>
      <w:r>
        <w:rPr>
          <w:rFonts w:hint="eastAsia" w:ascii="黑体" w:hAnsi="黑体" w:eastAsia="黑体"/>
          <w:b/>
          <w:color w:val="auto"/>
          <w:sz w:val="28"/>
          <w:highlight w:val="none"/>
        </w:rPr>
        <w:t>项目其他要求</w:t>
      </w:r>
      <w:bookmarkEnd w:id="18"/>
      <w:bookmarkEnd w:id="19"/>
    </w:p>
    <w:p w14:paraId="7220C2E5">
      <w:pPr>
        <w:widowControl w:val="0"/>
        <w:snapToGrid w:val="0"/>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3.1防范虚假证明材料的要求</w:t>
      </w:r>
    </w:p>
    <w:p w14:paraId="1D2FB73E">
      <w:pPr>
        <w:widowControl w:val="0"/>
        <w:snapToGrid w:val="0"/>
        <w:spacing w:line="360" w:lineRule="auto"/>
        <w:ind w:firstLine="480" w:firstLineChars="200"/>
        <w:jc w:val="left"/>
        <w:rPr>
          <w:color w:val="auto"/>
          <w:sz w:val="24"/>
          <w:szCs w:val="24"/>
          <w:highlight w:val="none"/>
        </w:rPr>
      </w:pPr>
      <w:r>
        <w:rPr>
          <w:rFonts w:hint="eastAsia" w:ascii="宋体" w:hAnsi="宋体" w:cs="宋体"/>
          <w:color w:val="auto"/>
          <w:sz w:val="24"/>
          <w:szCs w:val="24"/>
          <w:highlight w:val="none"/>
        </w:rPr>
        <w:t>基于当前监督检查工作要求，为防范虚假材料，供应商（成交人）应按</w:t>
      </w:r>
      <w:r>
        <w:rPr>
          <w:rFonts w:hint="eastAsia" w:ascii="宋体" w:cs="楷体_GB2312"/>
          <w:color w:val="auto"/>
          <w:sz w:val="24"/>
          <w:highlight w:val="none"/>
          <w:lang w:val="zh-CN"/>
        </w:rPr>
        <w:t>第六章</w:t>
      </w:r>
      <w:r>
        <w:rPr>
          <w:rFonts w:hint="eastAsia" w:ascii="宋体" w:hAnsi="宋体" w:cs="宋体"/>
          <w:color w:val="auto"/>
          <w:sz w:val="24"/>
          <w:szCs w:val="24"/>
          <w:highlight w:val="none"/>
        </w:rPr>
        <w:t>14-1附件“证明材料查询核验工作的清单及要求”执行。</w:t>
      </w:r>
    </w:p>
    <w:p w14:paraId="32EFC763">
      <w:pPr>
        <w:adjustRightInd w:val="0"/>
        <w:snapToGrid w:val="0"/>
        <w:spacing w:before="120" w:beforeLines="50" w:line="300" w:lineRule="auto"/>
        <w:ind w:firstLine="482" w:firstLineChars="200"/>
        <w:rPr>
          <w:rFonts w:ascii="黑体" w:hAnsi="黑体" w:eastAsia="黑体"/>
          <w:b/>
          <w:color w:val="auto"/>
          <w:sz w:val="24"/>
          <w:szCs w:val="24"/>
          <w:highlight w:val="none"/>
        </w:rPr>
      </w:pPr>
      <w:r>
        <w:rPr>
          <w:rFonts w:ascii="黑体" w:hAnsi="黑体" w:eastAsia="黑体"/>
          <w:b/>
          <w:color w:val="auto"/>
          <w:sz w:val="24"/>
          <w:szCs w:val="24"/>
          <w:highlight w:val="none"/>
        </w:rPr>
        <w:br w:type="page"/>
      </w:r>
    </w:p>
    <w:p w14:paraId="1050151C">
      <w:pPr>
        <w:spacing w:line="360" w:lineRule="auto"/>
        <w:ind w:right="238"/>
        <w:jc w:val="center"/>
        <w:outlineLvl w:val="0"/>
        <w:rPr>
          <w:rFonts w:hint="eastAsia" w:eastAsia="黑体"/>
          <w:b/>
          <w:color w:val="auto"/>
          <w:sz w:val="36"/>
          <w:szCs w:val="36"/>
          <w:highlight w:val="none"/>
        </w:rPr>
      </w:pPr>
      <w:bookmarkStart w:id="20" w:name="_Toc202883066"/>
    </w:p>
    <w:p w14:paraId="1245ECA5">
      <w:pPr>
        <w:spacing w:line="360" w:lineRule="auto"/>
        <w:ind w:right="238"/>
        <w:jc w:val="center"/>
        <w:outlineLvl w:val="0"/>
        <w:rPr>
          <w:rFonts w:eastAsia="黑体"/>
          <w:b/>
          <w:color w:val="auto"/>
          <w:sz w:val="36"/>
          <w:szCs w:val="36"/>
          <w:highlight w:val="none"/>
        </w:rPr>
      </w:pPr>
      <w:r>
        <w:rPr>
          <w:rFonts w:hint="eastAsia" w:eastAsia="黑体"/>
          <w:b/>
          <w:color w:val="auto"/>
          <w:sz w:val="36"/>
          <w:szCs w:val="36"/>
          <w:highlight w:val="none"/>
        </w:rPr>
        <w:t>第三章</w:t>
      </w:r>
      <w:r>
        <w:rPr>
          <w:rFonts w:eastAsia="黑体"/>
          <w:b/>
          <w:color w:val="auto"/>
          <w:sz w:val="36"/>
          <w:szCs w:val="36"/>
          <w:highlight w:val="none"/>
        </w:rPr>
        <w:t xml:space="preserve">  </w:t>
      </w:r>
      <w:r>
        <w:rPr>
          <w:rFonts w:hint="eastAsia" w:eastAsia="黑体"/>
          <w:b/>
          <w:color w:val="auto"/>
          <w:sz w:val="36"/>
          <w:szCs w:val="36"/>
          <w:highlight w:val="none"/>
        </w:rPr>
        <w:t>供应商须知</w:t>
      </w:r>
      <w:bookmarkEnd w:id="20"/>
    </w:p>
    <w:p w14:paraId="3BEA5927">
      <w:pPr>
        <w:spacing w:line="360" w:lineRule="auto"/>
        <w:ind w:right="240"/>
        <w:jc w:val="center"/>
        <w:rPr>
          <w:rFonts w:eastAsia="黑体"/>
          <w:b/>
          <w:color w:val="auto"/>
          <w:spacing w:val="36"/>
          <w:sz w:val="36"/>
          <w:szCs w:val="36"/>
          <w:highlight w:val="none"/>
        </w:rPr>
      </w:pPr>
    </w:p>
    <w:p w14:paraId="28F7943C">
      <w:pPr>
        <w:spacing w:line="360" w:lineRule="auto"/>
        <w:ind w:right="238"/>
        <w:jc w:val="left"/>
        <w:outlineLvl w:val="1"/>
        <w:rPr>
          <w:rFonts w:eastAsia="黑体"/>
          <w:b/>
          <w:color w:val="auto"/>
          <w:sz w:val="28"/>
          <w:szCs w:val="28"/>
          <w:highlight w:val="none"/>
        </w:rPr>
      </w:pPr>
      <w:bookmarkStart w:id="21" w:name="_Toc65744474"/>
      <w:bookmarkStart w:id="22" w:name="_Toc202883067"/>
      <w:r>
        <w:rPr>
          <w:rFonts w:hint="eastAsia" w:eastAsia="黑体"/>
          <w:b/>
          <w:color w:val="auto"/>
          <w:sz w:val="28"/>
          <w:szCs w:val="28"/>
          <w:highlight w:val="none"/>
        </w:rPr>
        <w:t>供应商须知前附表</w:t>
      </w:r>
      <w:bookmarkEnd w:id="21"/>
      <w:bookmarkEnd w:id="22"/>
    </w:p>
    <w:tbl>
      <w:tblPr>
        <w:tblStyle w:val="9"/>
        <w:tblW w:w="9753" w:type="dxa"/>
        <w:jc w:val="center"/>
        <w:tblLayout w:type="fixed"/>
        <w:tblCellMar>
          <w:top w:w="0" w:type="dxa"/>
          <w:left w:w="108" w:type="dxa"/>
          <w:bottom w:w="0" w:type="dxa"/>
          <w:right w:w="108" w:type="dxa"/>
        </w:tblCellMar>
      </w:tblPr>
      <w:tblGrid>
        <w:gridCol w:w="508"/>
        <w:gridCol w:w="699"/>
        <w:gridCol w:w="1893"/>
        <w:gridCol w:w="6653"/>
      </w:tblGrid>
      <w:tr w14:paraId="73E1DC96">
        <w:tblPrEx>
          <w:tblCellMar>
            <w:top w:w="0" w:type="dxa"/>
            <w:left w:w="108" w:type="dxa"/>
            <w:bottom w:w="0" w:type="dxa"/>
            <w:right w:w="108" w:type="dxa"/>
          </w:tblCellMar>
        </w:tblPrEx>
        <w:trPr>
          <w:trHeight w:val="571" w:hRule="atLeast"/>
          <w:jc w:val="center"/>
        </w:trPr>
        <w:tc>
          <w:tcPr>
            <w:tcW w:w="508" w:type="dxa"/>
            <w:tcBorders>
              <w:top w:val="single" w:color="auto" w:sz="12" w:space="0"/>
              <w:left w:val="single" w:color="auto" w:sz="12" w:space="0"/>
              <w:bottom w:val="single" w:color="auto" w:sz="6" w:space="0"/>
              <w:right w:val="single" w:color="auto" w:sz="6" w:space="0"/>
            </w:tcBorders>
          </w:tcPr>
          <w:p w14:paraId="75FAE0CC">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章节</w:t>
            </w:r>
          </w:p>
        </w:tc>
        <w:tc>
          <w:tcPr>
            <w:tcW w:w="699" w:type="dxa"/>
            <w:tcBorders>
              <w:top w:val="single" w:color="auto" w:sz="12" w:space="0"/>
              <w:left w:val="single" w:color="auto" w:sz="12" w:space="0"/>
              <w:bottom w:val="single" w:color="auto" w:sz="6" w:space="0"/>
              <w:right w:val="single" w:color="auto" w:sz="6" w:space="0"/>
            </w:tcBorders>
            <w:vAlign w:val="center"/>
          </w:tcPr>
          <w:p w14:paraId="047F6E73">
            <w:pPr>
              <w:autoSpaceDE w:val="0"/>
              <w:autoSpaceDN w:val="0"/>
              <w:adjustRightInd w:val="0"/>
              <w:spacing w:line="240" w:lineRule="auto"/>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条款号</w:t>
            </w:r>
          </w:p>
        </w:tc>
        <w:tc>
          <w:tcPr>
            <w:tcW w:w="1893" w:type="dxa"/>
            <w:tcBorders>
              <w:top w:val="single" w:color="auto" w:sz="12" w:space="0"/>
              <w:left w:val="single" w:color="auto" w:sz="6" w:space="0"/>
              <w:bottom w:val="single" w:color="auto" w:sz="6" w:space="0"/>
              <w:right w:val="single" w:color="auto" w:sz="6" w:space="0"/>
            </w:tcBorders>
            <w:vAlign w:val="center"/>
          </w:tcPr>
          <w:p w14:paraId="5A7036E7">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条款名称</w:t>
            </w:r>
          </w:p>
        </w:tc>
        <w:tc>
          <w:tcPr>
            <w:tcW w:w="6653" w:type="dxa"/>
            <w:tcBorders>
              <w:top w:val="single" w:color="auto" w:sz="12" w:space="0"/>
              <w:left w:val="single" w:color="auto" w:sz="6" w:space="0"/>
              <w:bottom w:val="single" w:color="auto" w:sz="6" w:space="0"/>
              <w:right w:val="single" w:color="auto" w:sz="12" w:space="0"/>
            </w:tcBorders>
            <w:vAlign w:val="center"/>
          </w:tcPr>
          <w:p w14:paraId="3C7874AE">
            <w:pPr>
              <w:autoSpaceDE w:val="0"/>
              <w:autoSpaceDN w:val="0"/>
              <w:adjustRightIn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编列内容</w:t>
            </w:r>
          </w:p>
        </w:tc>
      </w:tr>
      <w:tr w14:paraId="04884D00">
        <w:tblPrEx>
          <w:tblCellMar>
            <w:top w:w="0" w:type="dxa"/>
            <w:left w:w="108" w:type="dxa"/>
            <w:bottom w:w="0" w:type="dxa"/>
            <w:right w:w="108" w:type="dxa"/>
          </w:tblCellMar>
        </w:tblPrEx>
        <w:trPr>
          <w:trHeight w:val="422" w:hRule="atLeast"/>
          <w:jc w:val="center"/>
        </w:trPr>
        <w:tc>
          <w:tcPr>
            <w:tcW w:w="508" w:type="dxa"/>
            <w:vMerge w:val="restart"/>
            <w:tcBorders>
              <w:top w:val="single" w:color="auto" w:sz="6" w:space="0"/>
              <w:left w:val="single" w:color="auto" w:sz="12" w:space="0"/>
              <w:right w:val="single" w:color="auto" w:sz="6" w:space="0"/>
            </w:tcBorders>
            <w:vAlign w:val="center"/>
          </w:tcPr>
          <w:p w14:paraId="669FAD6F">
            <w:pPr>
              <w:autoSpaceDE w:val="0"/>
              <w:autoSpaceDN w:val="0"/>
              <w:adjustRightInd w:val="0"/>
              <w:snapToGrid w:val="0"/>
              <w:spacing w:line="240" w:lineRule="auto"/>
              <w:rPr>
                <w:rFonts w:ascii="宋体" w:cs="楷体_GB2312"/>
                <w:b/>
                <w:bCs/>
                <w:color w:val="auto"/>
                <w:sz w:val="24"/>
                <w:highlight w:val="none"/>
              </w:rPr>
            </w:pPr>
            <w:r>
              <w:rPr>
                <w:rFonts w:hint="eastAsia" w:ascii="宋体" w:hAnsi="宋体" w:cs="楷体_GB2312"/>
                <w:b/>
                <w:bCs/>
                <w:color w:val="auto"/>
                <w:sz w:val="24"/>
                <w:highlight w:val="none"/>
              </w:rPr>
              <w:t>第一章</w:t>
            </w:r>
          </w:p>
        </w:tc>
        <w:tc>
          <w:tcPr>
            <w:tcW w:w="699" w:type="dxa"/>
            <w:tcBorders>
              <w:top w:val="single" w:color="auto" w:sz="6" w:space="0"/>
              <w:left w:val="single" w:color="auto" w:sz="12" w:space="0"/>
              <w:bottom w:val="single" w:color="auto" w:sz="6" w:space="0"/>
              <w:right w:val="single" w:color="auto" w:sz="6" w:space="0"/>
            </w:tcBorders>
            <w:vAlign w:val="center"/>
          </w:tcPr>
          <w:p w14:paraId="72B1FC8B">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2</w:t>
            </w:r>
          </w:p>
        </w:tc>
        <w:tc>
          <w:tcPr>
            <w:tcW w:w="1893" w:type="dxa"/>
            <w:tcBorders>
              <w:top w:val="single" w:color="auto" w:sz="6" w:space="0"/>
              <w:left w:val="single" w:color="auto" w:sz="6" w:space="0"/>
              <w:bottom w:val="single" w:color="auto" w:sz="6" w:space="0"/>
              <w:right w:val="single" w:color="auto" w:sz="6" w:space="0"/>
            </w:tcBorders>
            <w:vAlign w:val="center"/>
          </w:tcPr>
          <w:p w14:paraId="489E8490">
            <w:pPr>
              <w:autoSpaceDE w:val="0"/>
              <w:autoSpaceDN w:val="0"/>
              <w:adjustRightInd w:val="0"/>
              <w:snapToGrid w:val="0"/>
              <w:spacing w:line="240" w:lineRule="auto"/>
              <w:jc w:val="center"/>
              <w:rPr>
                <w:rFonts w:ascii="宋体" w:cs="楷体_GB2312"/>
                <w:color w:val="auto"/>
                <w:sz w:val="24"/>
                <w:highlight w:val="none"/>
                <w:lang w:val="zh-CN"/>
              </w:rPr>
            </w:pPr>
            <w:r>
              <w:rPr>
                <w:rFonts w:hint="eastAsia" w:ascii="宋体" w:hAnsi="宋体" w:cs="楷体_GB2312"/>
                <w:b/>
                <w:bCs/>
                <w:color w:val="auto"/>
                <w:sz w:val="24"/>
                <w:highlight w:val="none"/>
              </w:rPr>
              <w:t>采购项目名称</w:t>
            </w:r>
          </w:p>
        </w:tc>
        <w:tc>
          <w:tcPr>
            <w:tcW w:w="6653" w:type="dxa"/>
            <w:tcBorders>
              <w:top w:val="single" w:color="auto" w:sz="6" w:space="0"/>
              <w:left w:val="single" w:color="auto" w:sz="6" w:space="0"/>
              <w:bottom w:val="single" w:color="auto" w:sz="6" w:space="0"/>
              <w:right w:val="single" w:color="auto" w:sz="12" w:space="0"/>
            </w:tcBorders>
            <w:vAlign w:val="center"/>
          </w:tcPr>
          <w:p w14:paraId="5EDEAC5B">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见“第一章竞争性磋商公告”相应条款</w:t>
            </w:r>
          </w:p>
        </w:tc>
      </w:tr>
      <w:tr w14:paraId="7280077A">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6443DEBE">
            <w:pPr>
              <w:autoSpaceDE w:val="0"/>
              <w:autoSpaceDN w:val="0"/>
              <w:adjustRightInd w:val="0"/>
              <w:snapToGrid w:val="0"/>
              <w:spacing w:line="24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3DC7C01B">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w:t>
            </w:r>
          </w:p>
        </w:tc>
        <w:tc>
          <w:tcPr>
            <w:tcW w:w="1893" w:type="dxa"/>
            <w:tcBorders>
              <w:top w:val="single" w:color="auto" w:sz="6" w:space="0"/>
              <w:left w:val="single" w:color="auto" w:sz="6" w:space="0"/>
              <w:bottom w:val="single" w:color="auto" w:sz="6" w:space="0"/>
              <w:right w:val="single" w:color="auto" w:sz="6" w:space="0"/>
            </w:tcBorders>
            <w:vAlign w:val="center"/>
          </w:tcPr>
          <w:p w14:paraId="5EC6D88C">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项目编号</w:t>
            </w:r>
          </w:p>
        </w:tc>
        <w:tc>
          <w:tcPr>
            <w:tcW w:w="6653" w:type="dxa"/>
            <w:tcBorders>
              <w:top w:val="single" w:color="auto" w:sz="6" w:space="0"/>
              <w:left w:val="single" w:color="auto" w:sz="6" w:space="0"/>
              <w:bottom w:val="single" w:color="auto" w:sz="6" w:space="0"/>
              <w:right w:val="single" w:color="auto" w:sz="12" w:space="0"/>
            </w:tcBorders>
            <w:vAlign w:val="center"/>
          </w:tcPr>
          <w:p w14:paraId="44B56A95">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42783BBB">
        <w:tblPrEx>
          <w:tblCellMar>
            <w:top w:w="0" w:type="dxa"/>
            <w:left w:w="108" w:type="dxa"/>
            <w:bottom w:w="0" w:type="dxa"/>
            <w:right w:w="108" w:type="dxa"/>
          </w:tblCellMar>
        </w:tblPrEx>
        <w:trPr>
          <w:trHeight w:val="422" w:hRule="atLeast"/>
          <w:jc w:val="center"/>
        </w:trPr>
        <w:tc>
          <w:tcPr>
            <w:tcW w:w="508" w:type="dxa"/>
            <w:vMerge w:val="continue"/>
            <w:tcBorders>
              <w:top w:val="single" w:color="auto" w:sz="6" w:space="0"/>
              <w:left w:val="single" w:color="auto" w:sz="12" w:space="0"/>
              <w:right w:val="single" w:color="auto" w:sz="6" w:space="0"/>
            </w:tcBorders>
            <w:vAlign w:val="center"/>
          </w:tcPr>
          <w:p w14:paraId="14E3035C">
            <w:pPr>
              <w:autoSpaceDE w:val="0"/>
              <w:autoSpaceDN w:val="0"/>
              <w:adjustRightInd w:val="0"/>
              <w:snapToGrid w:val="0"/>
              <w:spacing w:line="24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7FFE92F0">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1.3</w:t>
            </w:r>
          </w:p>
        </w:tc>
        <w:tc>
          <w:tcPr>
            <w:tcW w:w="1893" w:type="dxa"/>
            <w:tcBorders>
              <w:top w:val="single" w:color="auto" w:sz="6" w:space="0"/>
              <w:left w:val="single" w:color="auto" w:sz="6" w:space="0"/>
              <w:bottom w:val="single" w:color="auto" w:sz="6" w:space="0"/>
              <w:right w:val="single" w:color="auto" w:sz="6" w:space="0"/>
            </w:tcBorders>
            <w:vAlign w:val="center"/>
          </w:tcPr>
          <w:p w14:paraId="16A37F1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采购方式</w:t>
            </w:r>
          </w:p>
        </w:tc>
        <w:tc>
          <w:tcPr>
            <w:tcW w:w="6653" w:type="dxa"/>
            <w:tcBorders>
              <w:top w:val="single" w:color="auto" w:sz="6" w:space="0"/>
              <w:left w:val="single" w:color="auto" w:sz="6" w:space="0"/>
              <w:bottom w:val="single" w:color="auto" w:sz="6" w:space="0"/>
              <w:right w:val="single" w:color="auto" w:sz="12" w:space="0"/>
            </w:tcBorders>
            <w:vAlign w:val="center"/>
          </w:tcPr>
          <w:p w14:paraId="4595EB4C">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竞争性磋商</w:t>
            </w:r>
          </w:p>
        </w:tc>
      </w:tr>
      <w:tr w14:paraId="66ABC3CE">
        <w:tblPrEx>
          <w:tblCellMar>
            <w:top w:w="0" w:type="dxa"/>
            <w:left w:w="108" w:type="dxa"/>
            <w:bottom w:w="0" w:type="dxa"/>
            <w:right w:w="108" w:type="dxa"/>
          </w:tblCellMar>
        </w:tblPrEx>
        <w:trPr>
          <w:trHeight w:val="370" w:hRule="atLeast"/>
          <w:jc w:val="center"/>
        </w:trPr>
        <w:tc>
          <w:tcPr>
            <w:tcW w:w="508" w:type="dxa"/>
            <w:vMerge w:val="continue"/>
            <w:tcBorders>
              <w:left w:val="single" w:color="auto" w:sz="12" w:space="0"/>
              <w:right w:val="single" w:color="auto" w:sz="6" w:space="0"/>
            </w:tcBorders>
          </w:tcPr>
          <w:p w14:paraId="14CD132F">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17B2B2A">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w:t>
            </w:r>
            <w:r>
              <w:rPr>
                <w:rFonts w:hint="eastAsia" w:ascii="宋体" w:hAnsi="宋体" w:cs="楷体_GB2312"/>
                <w:b/>
                <w:bCs/>
                <w:color w:val="auto"/>
                <w:szCs w:val="21"/>
                <w:highlight w:val="none"/>
                <w:lang w:val="zh-CN"/>
              </w:rPr>
              <w:t>4</w:t>
            </w:r>
          </w:p>
        </w:tc>
        <w:tc>
          <w:tcPr>
            <w:tcW w:w="1893" w:type="dxa"/>
            <w:tcBorders>
              <w:top w:val="single" w:color="auto" w:sz="6" w:space="0"/>
              <w:left w:val="single" w:color="auto" w:sz="6" w:space="0"/>
              <w:bottom w:val="single" w:color="auto" w:sz="6" w:space="0"/>
              <w:right w:val="single" w:color="auto" w:sz="6" w:space="0"/>
            </w:tcBorders>
            <w:vAlign w:val="center"/>
          </w:tcPr>
          <w:p w14:paraId="22874F12">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预算金额</w:t>
            </w:r>
          </w:p>
        </w:tc>
        <w:tc>
          <w:tcPr>
            <w:tcW w:w="6653" w:type="dxa"/>
            <w:tcBorders>
              <w:top w:val="single" w:color="auto" w:sz="6" w:space="0"/>
              <w:left w:val="single" w:color="auto" w:sz="6" w:space="0"/>
              <w:bottom w:val="single" w:color="auto" w:sz="6" w:space="0"/>
              <w:right w:val="single" w:color="auto" w:sz="12" w:space="0"/>
            </w:tcBorders>
            <w:vAlign w:val="center"/>
          </w:tcPr>
          <w:p w14:paraId="1880EF28">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见“第一章竞争性磋商公告”相应条款。</w:t>
            </w:r>
            <w:r>
              <w:rPr>
                <w:rFonts w:hint="eastAsia" w:ascii="宋体" w:hAnsi="宋体" w:cs="楷体_GB2312"/>
                <w:b/>
                <w:color w:val="auto"/>
                <w:sz w:val="24"/>
                <w:highlight w:val="none"/>
                <w:lang w:val="zh-CN"/>
              </w:rPr>
              <w:t>注：供应商的磋商报价未超过</w:t>
            </w:r>
            <w:r>
              <w:rPr>
                <w:rFonts w:hint="eastAsia" w:ascii="宋体" w:hAnsi="宋体" w:cs="楷体_GB2312"/>
                <w:b/>
                <w:bCs/>
                <w:color w:val="auto"/>
                <w:sz w:val="24"/>
                <w:highlight w:val="none"/>
                <w:lang w:val="zh-CN"/>
              </w:rPr>
              <w:t>预算金额</w:t>
            </w:r>
            <w:r>
              <w:rPr>
                <w:rFonts w:hint="eastAsia" w:ascii="宋体" w:hAnsi="宋体" w:cs="楷体_GB2312"/>
                <w:b/>
                <w:color w:val="auto"/>
                <w:sz w:val="24"/>
                <w:highlight w:val="none"/>
                <w:lang w:val="zh-CN"/>
              </w:rPr>
              <w:t>的不足三家时，该项目（标段&lt;包&gt;）终止。</w:t>
            </w:r>
          </w:p>
        </w:tc>
      </w:tr>
      <w:tr w14:paraId="5EADDDF0">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62E80997">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EB483AB">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5526BB6A">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申请人的资格要求及相关证明材料要求</w:t>
            </w:r>
          </w:p>
        </w:tc>
        <w:tc>
          <w:tcPr>
            <w:tcW w:w="6653" w:type="dxa"/>
            <w:tcBorders>
              <w:top w:val="single" w:color="auto" w:sz="6" w:space="0"/>
              <w:left w:val="single" w:color="auto" w:sz="6" w:space="0"/>
              <w:bottom w:val="single" w:color="auto" w:sz="6" w:space="0"/>
              <w:right w:val="single" w:color="auto" w:sz="12" w:space="0"/>
            </w:tcBorders>
            <w:vAlign w:val="center"/>
          </w:tcPr>
          <w:p w14:paraId="23427207">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5675C166">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2445ECB7">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2F47D64">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8.1</w:t>
            </w:r>
          </w:p>
        </w:tc>
        <w:tc>
          <w:tcPr>
            <w:tcW w:w="1893" w:type="dxa"/>
            <w:tcBorders>
              <w:top w:val="single" w:color="auto" w:sz="6" w:space="0"/>
              <w:left w:val="single" w:color="auto" w:sz="6" w:space="0"/>
              <w:bottom w:val="single" w:color="auto" w:sz="6" w:space="0"/>
              <w:right w:val="single" w:color="auto" w:sz="6" w:space="0"/>
            </w:tcBorders>
            <w:vAlign w:val="center"/>
          </w:tcPr>
          <w:p w14:paraId="39696824">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采购人</w:t>
            </w:r>
          </w:p>
        </w:tc>
        <w:tc>
          <w:tcPr>
            <w:tcW w:w="6653" w:type="dxa"/>
            <w:tcBorders>
              <w:top w:val="single" w:color="auto" w:sz="6" w:space="0"/>
              <w:left w:val="single" w:color="auto" w:sz="6" w:space="0"/>
              <w:bottom w:val="single" w:color="auto" w:sz="6" w:space="0"/>
              <w:right w:val="single" w:color="auto" w:sz="12" w:space="0"/>
            </w:tcBorders>
            <w:vAlign w:val="center"/>
          </w:tcPr>
          <w:p w14:paraId="327CEA8B">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7B5777BD">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bottom w:val="single" w:color="auto" w:sz="6" w:space="0"/>
              <w:right w:val="single" w:color="auto" w:sz="6" w:space="0"/>
            </w:tcBorders>
          </w:tcPr>
          <w:p w14:paraId="20A88F21">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DD94513">
            <w:pPr>
              <w:autoSpaceDE w:val="0"/>
              <w:autoSpaceDN w:val="0"/>
              <w:adjustRightInd w:val="0"/>
              <w:snapToGrid w:val="0"/>
              <w:spacing w:line="240" w:lineRule="auto"/>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8.2</w:t>
            </w:r>
          </w:p>
        </w:tc>
        <w:tc>
          <w:tcPr>
            <w:tcW w:w="1893" w:type="dxa"/>
            <w:tcBorders>
              <w:top w:val="single" w:color="auto" w:sz="6" w:space="0"/>
              <w:left w:val="single" w:color="auto" w:sz="6" w:space="0"/>
              <w:bottom w:val="single" w:color="auto" w:sz="6" w:space="0"/>
              <w:right w:val="single" w:color="auto" w:sz="6" w:space="0"/>
            </w:tcBorders>
            <w:vAlign w:val="center"/>
          </w:tcPr>
          <w:p w14:paraId="6071DF15">
            <w:pPr>
              <w:autoSpaceDE w:val="0"/>
              <w:autoSpaceDN w:val="0"/>
              <w:adjustRightInd w:val="0"/>
              <w:snapToGrid w:val="0"/>
              <w:spacing w:line="240" w:lineRule="auto"/>
              <w:ind w:right="-73" w:rightChars="-35"/>
              <w:jc w:val="center"/>
              <w:rPr>
                <w:rFonts w:ascii="宋体"/>
                <w:b/>
                <w:color w:val="auto"/>
                <w:sz w:val="24"/>
                <w:szCs w:val="24"/>
                <w:highlight w:val="none"/>
              </w:rPr>
            </w:pPr>
            <w:r>
              <w:rPr>
                <w:rFonts w:hint="eastAsia" w:ascii="宋体" w:hAnsi="宋体"/>
                <w:b/>
                <w:color w:val="auto"/>
                <w:sz w:val="24"/>
                <w:szCs w:val="24"/>
                <w:highlight w:val="none"/>
              </w:rPr>
              <w:t>采购代理机构</w:t>
            </w:r>
          </w:p>
        </w:tc>
        <w:tc>
          <w:tcPr>
            <w:tcW w:w="6653" w:type="dxa"/>
            <w:tcBorders>
              <w:top w:val="single" w:color="auto" w:sz="6" w:space="0"/>
              <w:left w:val="single" w:color="auto" w:sz="6" w:space="0"/>
              <w:bottom w:val="single" w:color="auto" w:sz="6" w:space="0"/>
              <w:right w:val="single" w:color="auto" w:sz="12" w:space="0"/>
            </w:tcBorders>
            <w:vAlign w:val="center"/>
          </w:tcPr>
          <w:p w14:paraId="239A1904">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见“第一章竞争性磋商公告”相应条款</w:t>
            </w:r>
          </w:p>
        </w:tc>
      </w:tr>
      <w:tr w14:paraId="6D318CAB">
        <w:tblPrEx>
          <w:tblCellMar>
            <w:top w:w="0" w:type="dxa"/>
            <w:left w:w="108" w:type="dxa"/>
            <w:bottom w:w="0" w:type="dxa"/>
            <w:right w:w="108" w:type="dxa"/>
          </w:tblCellMar>
        </w:tblPrEx>
        <w:trPr>
          <w:trHeight w:val="90" w:hRule="atLeast"/>
          <w:jc w:val="center"/>
        </w:trPr>
        <w:tc>
          <w:tcPr>
            <w:tcW w:w="508" w:type="dxa"/>
            <w:vMerge w:val="restart"/>
            <w:tcBorders>
              <w:top w:val="single" w:color="auto" w:sz="6" w:space="0"/>
              <w:left w:val="single" w:color="auto" w:sz="12" w:space="0"/>
              <w:right w:val="single" w:color="auto" w:sz="6" w:space="0"/>
            </w:tcBorders>
            <w:vAlign w:val="center"/>
          </w:tcPr>
          <w:p w14:paraId="2012B79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第二章</w:t>
            </w:r>
          </w:p>
        </w:tc>
        <w:tc>
          <w:tcPr>
            <w:tcW w:w="699" w:type="dxa"/>
            <w:tcBorders>
              <w:top w:val="single" w:color="auto" w:sz="6" w:space="0"/>
              <w:left w:val="single" w:color="auto" w:sz="12" w:space="0"/>
              <w:bottom w:val="single" w:color="auto" w:sz="6" w:space="0"/>
              <w:right w:val="single" w:color="auto" w:sz="6" w:space="0"/>
            </w:tcBorders>
            <w:vAlign w:val="center"/>
          </w:tcPr>
          <w:p w14:paraId="063FE706">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5FEC209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b/>
                <w:color w:val="auto"/>
                <w:sz w:val="24"/>
                <w:szCs w:val="24"/>
                <w:highlight w:val="none"/>
              </w:rPr>
              <w:t>标段（包）划分</w:t>
            </w:r>
          </w:p>
        </w:tc>
        <w:tc>
          <w:tcPr>
            <w:tcW w:w="6653" w:type="dxa"/>
            <w:tcBorders>
              <w:top w:val="single" w:color="auto" w:sz="6" w:space="0"/>
              <w:left w:val="single" w:color="auto" w:sz="6" w:space="0"/>
              <w:bottom w:val="single" w:color="auto" w:sz="6" w:space="0"/>
              <w:right w:val="single" w:color="auto" w:sz="12" w:space="0"/>
            </w:tcBorders>
            <w:vAlign w:val="center"/>
          </w:tcPr>
          <w:p w14:paraId="4F6E1BC9">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color w:val="auto"/>
                <w:sz w:val="24"/>
                <w:szCs w:val="24"/>
                <w:highlight w:val="none"/>
              </w:rPr>
              <w:t>见“第二章采购项目及服务要求”相应条款</w:t>
            </w:r>
          </w:p>
        </w:tc>
      </w:tr>
      <w:tr w14:paraId="3C92A60D">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79BAEBC0">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3D7D643F">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59936D9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rPr>
              <w:t>服务期</w:t>
            </w:r>
          </w:p>
        </w:tc>
        <w:tc>
          <w:tcPr>
            <w:tcW w:w="6653" w:type="dxa"/>
            <w:tcBorders>
              <w:top w:val="single" w:color="auto" w:sz="6" w:space="0"/>
              <w:left w:val="single" w:color="auto" w:sz="6" w:space="0"/>
              <w:bottom w:val="single" w:color="auto" w:sz="6" w:space="0"/>
              <w:right w:val="single" w:color="auto" w:sz="12" w:space="0"/>
            </w:tcBorders>
            <w:vAlign w:val="center"/>
          </w:tcPr>
          <w:p w14:paraId="0360F5BE">
            <w:pPr>
              <w:autoSpaceDE w:val="0"/>
              <w:autoSpaceDN w:val="0"/>
              <w:adjustRightInd w:val="0"/>
              <w:snapToGrid w:val="0"/>
              <w:spacing w:before="120" w:beforeLines="50" w:line="240" w:lineRule="auto"/>
              <w:rPr>
                <w:rFonts w:ascii="宋体" w:cs="楷体_GB2312"/>
                <w:bCs/>
                <w:color w:val="auto"/>
                <w:sz w:val="24"/>
                <w:highlight w:val="none"/>
                <w:lang w:val="zh-CN"/>
              </w:rPr>
            </w:pPr>
            <w:r>
              <w:rPr>
                <w:rFonts w:hint="eastAsia" w:ascii="宋体" w:hAnsi="宋体"/>
                <w:color w:val="auto"/>
                <w:sz w:val="24"/>
                <w:highlight w:val="none"/>
              </w:rPr>
              <w:t>见“第二部分采购项目及服务要求”</w:t>
            </w:r>
            <w:r>
              <w:rPr>
                <w:rFonts w:hint="eastAsia"/>
                <w:color w:val="auto"/>
                <w:sz w:val="24"/>
                <w:szCs w:val="24"/>
                <w:highlight w:val="none"/>
              </w:rPr>
              <w:t>相应条款</w:t>
            </w:r>
          </w:p>
        </w:tc>
      </w:tr>
      <w:tr w14:paraId="516B7261">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100D3385">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694B751">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1.2</w:t>
            </w:r>
          </w:p>
        </w:tc>
        <w:tc>
          <w:tcPr>
            <w:tcW w:w="1893" w:type="dxa"/>
            <w:tcBorders>
              <w:top w:val="single" w:color="auto" w:sz="6" w:space="0"/>
              <w:left w:val="single" w:color="auto" w:sz="6" w:space="0"/>
              <w:bottom w:val="single" w:color="auto" w:sz="6" w:space="0"/>
              <w:right w:val="single" w:color="auto" w:sz="6" w:space="0"/>
            </w:tcBorders>
            <w:vAlign w:val="center"/>
          </w:tcPr>
          <w:p w14:paraId="73CD712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服务地</w:t>
            </w:r>
          </w:p>
        </w:tc>
        <w:tc>
          <w:tcPr>
            <w:tcW w:w="6653" w:type="dxa"/>
            <w:tcBorders>
              <w:top w:val="single" w:color="auto" w:sz="6" w:space="0"/>
              <w:left w:val="single" w:color="auto" w:sz="6" w:space="0"/>
              <w:bottom w:val="single" w:color="auto" w:sz="6" w:space="0"/>
              <w:right w:val="single" w:color="auto" w:sz="12" w:space="0"/>
            </w:tcBorders>
            <w:vAlign w:val="center"/>
          </w:tcPr>
          <w:p w14:paraId="3CED6F6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452D32AF">
        <w:tblPrEx>
          <w:tblCellMar>
            <w:top w:w="0" w:type="dxa"/>
            <w:left w:w="108" w:type="dxa"/>
            <w:bottom w:w="0" w:type="dxa"/>
            <w:right w:w="108" w:type="dxa"/>
          </w:tblCellMar>
        </w:tblPrEx>
        <w:trPr>
          <w:trHeight w:val="90" w:hRule="atLeast"/>
          <w:jc w:val="center"/>
        </w:trPr>
        <w:tc>
          <w:tcPr>
            <w:tcW w:w="508" w:type="dxa"/>
            <w:vMerge w:val="continue"/>
            <w:tcBorders>
              <w:left w:val="single" w:color="auto" w:sz="12" w:space="0"/>
              <w:right w:val="single" w:color="auto" w:sz="6" w:space="0"/>
            </w:tcBorders>
          </w:tcPr>
          <w:p w14:paraId="3720AD98">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7B709797">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1.3</w:t>
            </w:r>
          </w:p>
        </w:tc>
        <w:tc>
          <w:tcPr>
            <w:tcW w:w="1893" w:type="dxa"/>
            <w:tcBorders>
              <w:top w:val="single" w:color="auto" w:sz="6" w:space="0"/>
              <w:left w:val="single" w:color="auto" w:sz="6" w:space="0"/>
              <w:bottom w:val="single" w:color="auto" w:sz="6" w:space="0"/>
              <w:right w:val="single" w:color="auto" w:sz="6" w:space="0"/>
            </w:tcBorders>
            <w:vAlign w:val="center"/>
          </w:tcPr>
          <w:p w14:paraId="62AED936">
            <w:pPr>
              <w:autoSpaceDE w:val="0"/>
              <w:autoSpaceDN w:val="0"/>
              <w:adjustRightInd w:val="0"/>
              <w:snapToGrid w:val="0"/>
              <w:spacing w:line="240" w:lineRule="auto"/>
              <w:jc w:val="center"/>
              <w:rPr>
                <w:rFonts w:ascii="宋体"/>
                <w:b/>
                <w:color w:val="auto"/>
                <w:sz w:val="24"/>
                <w:szCs w:val="24"/>
                <w:highlight w:val="none"/>
              </w:rPr>
            </w:pPr>
            <w:r>
              <w:rPr>
                <w:rFonts w:hint="eastAsia" w:ascii="宋体" w:hAnsi="宋体"/>
                <w:b/>
                <w:color w:val="auto"/>
                <w:sz w:val="24"/>
                <w:szCs w:val="24"/>
                <w:highlight w:val="none"/>
              </w:rPr>
              <w:t>磋商报价</w:t>
            </w:r>
          </w:p>
        </w:tc>
        <w:tc>
          <w:tcPr>
            <w:tcW w:w="6653" w:type="dxa"/>
            <w:tcBorders>
              <w:top w:val="single" w:color="auto" w:sz="6" w:space="0"/>
              <w:left w:val="single" w:color="auto" w:sz="6" w:space="0"/>
              <w:bottom w:val="single" w:color="auto" w:sz="6" w:space="0"/>
              <w:right w:val="single" w:color="auto" w:sz="12" w:space="0"/>
            </w:tcBorders>
            <w:vAlign w:val="center"/>
          </w:tcPr>
          <w:p w14:paraId="1683C933">
            <w:pPr>
              <w:autoSpaceDE w:val="0"/>
              <w:autoSpaceDN w:val="0"/>
              <w:adjustRightInd w:val="0"/>
              <w:snapToGrid w:val="0"/>
              <w:spacing w:before="120" w:beforeLines="50" w:line="240" w:lineRule="auto"/>
              <w:rPr>
                <w:color w:val="auto"/>
                <w:sz w:val="24"/>
                <w:szCs w:val="24"/>
                <w:highlight w:val="none"/>
              </w:rPr>
            </w:pPr>
            <w:r>
              <w:rPr>
                <w:rFonts w:hint="eastAsia"/>
                <w:color w:val="auto"/>
                <w:sz w:val="24"/>
                <w:szCs w:val="24"/>
                <w:highlight w:val="none"/>
              </w:rPr>
              <w:t>见“第二章采购项目及服务要求”相应条款</w:t>
            </w:r>
          </w:p>
        </w:tc>
      </w:tr>
      <w:tr w14:paraId="7B4C716C">
        <w:tblPrEx>
          <w:tblCellMar>
            <w:top w:w="0" w:type="dxa"/>
            <w:left w:w="108" w:type="dxa"/>
            <w:bottom w:w="0" w:type="dxa"/>
            <w:right w:w="108" w:type="dxa"/>
          </w:tblCellMar>
        </w:tblPrEx>
        <w:trPr>
          <w:trHeight w:val="321" w:hRule="atLeast"/>
          <w:jc w:val="center"/>
        </w:trPr>
        <w:tc>
          <w:tcPr>
            <w:tcW w:w="508" w:type="dxa"/>
            <w:vMerge w:val="continue"/>
            <w:tcBorders>
              <w:left w:val="single" w:color="auto" w:sz="12" w:space="0"/>
              <w:right w:val="single" w:color="auto" w:sz="6" w:space="0"/>
            </w:tcBorders>
          </w:tcPr>
          <w:p w14:paraId="5C98AE2F">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13091F75">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2</w:t>
            </w:r>
          </w:p>
        </w:tc>
        <w:tc>
          <w:tcPr>
            <w:tcW w:w="1893" w:type="dxa"/>
            <w:tcBorders>
              <w:top w:val="single" w:color="auto" w:sz="6" w:space="0"/>
              <w:left w:val="single" w:color="auto" w:sz="6" w:space="0"/>
              <w:bottom w:val="single" w:color="auto" w:sz="6" w:space="0"/>
              <w:right w:val="single" w:color="auto" w:sz="6" w:space="0"/>
            </w:tcBorders>
            <w:vAlign w:val="center"/>
          </w:tcPr>
          <w:p w14:paraId="267D806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标段（包）内容（范围）及服务要求</w:t>
            </w:r>
          </w:p>
        </w:tc>
        <w:tc>
          <w:tcPr>
            <w:tcW w:w="6653" w:type="dxa"/>
            <w:tcBorders>
              <w:top w:val="single" w:color="auto" w:sz="6" w:space="0"/>
              <w:left w:val="single" w:color="auto" w:sz="6" w:space="0"/>
              <w:bottom w:val="single" w:color="auto" w:sz="6" w:space="0"/>
              <w:right w:val="single" w:color="auto" w:sz="12" w:space="0"/>
            </w:tcBorders>
            <w:vAlign w:val="center"/>
          </w:tcPr>
          <w:p w14:paraId="79E57707">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见“第二</w:t>
            </w:r>
            <w:r>
              <w:rPr>
                <w:rFonts w:hint="eastAsia"/>
                <w:color w:val="auto"/>
                <w:sz w:val="24"/>
                <w:szCs w:val="24"/>
                <w:highlight w:val="none"/>
              </w:rPr>
              <w:t>章</w:t>
            </w:r>
            <w:r>
              <w:rPr>
                <w:rFonts w:hint="eastAsia" w:ascii="宋体" w:hAnsi="宋体" w:cs="楷体_GB2312"/>
                <w:color w:val="auto"/>
                <w:sz w:val="24"/>
                <w:highlight w:val="none"/>
                <w:lang w:val="zh-CN"/>
              </w:rPr>
              <w:t>采购项目及服务要求”</w:t>
            </w:r>
            <w:r>
              <w:rPr>
                <w:rFonts w:hint="eastAsia"/>
                <w:color w:val="auto"/>
                <w:sz w:val="24"/>
                <w:szCs w:val="24"/>
                <w:highlight w:val="none"/>
              </w:rPr>
              <w:t>相应条款</w:t>
            </w:r>
          </w:p>
        </w:tc>
      </w:tr>
      <w:tr w14:paraId="3619686A">
        <w:tblPrEx>
          <w:tblCellMar>
            <w:top w:w="0" w:type="dxa"/>
            <w:left w:w="108" w:type="dxa"/>
            <w:bottom w:w="0" w:type="dxa"/>
            <w:right w:w="108" w:type="dxa"/>
          </w:tblCellMar>
        </w:tblPrEx>
        <w:trPr>
          <w:trHeight w:val="366" w:hRule="atLeast"/>
          <w:jc w:val="center"/>
        </w:trPr>
        <w:tc>
          <w:tcPr>
            <w:tcW w:w="508" w:type="dxa"/>
            <w:vMerge w:val="restart"/>
            <w:tcBorders>
              <w:top w:val="single" w:color="auto" w:sz="6" w:space="0"/>
              <w:left w:val="single" w:color="auto" w:sz="12" w:space="0"/>
              <w:right w:val="single" w:color="auto" w:sz="6" w:space="0"/>
            </w:tcBorders>
          </w:tcPr>
          <w:p w14:paraId="3E2EA02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1BC39E16">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1.4</w:t>
            </w:r>
          </w:p>
        </w:tc>
        <w:tc>
          <w:tcPr>
            <w:tcW w:w="1893" w:type="dxa"/>
            <w:tcBorders>
              <w:top w:val="single" w:color="auto" w:sz="6" w:space="0"/>
              <w:left w:val="single" w:color="auto" w:sz="6" w:space="0"/>
              <w:bottom w:val="single" w:color="auto" w:sz="6" w:space="0"/>
              <w:right w:val="single" w:color="auto" w:sz="6" w:space="0"/>
            </w:tcBorders>
            <w:vAlign w:val="center"/>
          </w:tcPr>
          <w:p w14:paraId="7ADAFE97">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联合体投标</w:t>
            </w:r>
          </w:p>
        </w:tc>
        <w:tc>
          <w:tcPr>
            <w:tcW w:w="6653" w:type="dxa"/>
            <w:tcBorders>
              <w:top w:val="single" w:color="auto" w:sz="6" w:space="0"/>
              <w:left w:val="single" w:color="auto" w:sz="6" w:space="0"/>
              <w:bottom w:val="single" w:color="auto" w:sz="6" w:space="0"/>
              <w:right w:val="single" w:color="auto" w:sz="12" w:space="0"/>
            </w:tcBorders>
            <w:vAlign w:val="center"/>
          </w:tcPr>
          <w:p w14:paraId="51D72310">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不接受   </w:t>
            </w:r>
          </w:p>
        </w:tc>
      </w:tr>
      <w:tr w14:paraId="5792A3C7">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4AA729C3">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2AC058B">
            <w:pPr>
              <w:autoSpaceDE w:val="0"/>
              <w:autoSpaceDN w:val="0"/>
              <w:adjustRightInd w:val="0"/>
              <w:snapToGrid w:val="0"/>
              <w:spacing w:line="240" w:lineRule="auto"/>
              <w:jc w:val="center"/>
              <w:rPr>
                <w:rFonts w:ascii="宋体" w:cs="楷体_GB2312"/>
                <w:b/>
                <w:bCs/>
                <w:color w:val="auto"/>
                <w:szCs w:val="21"/>
                <w:highlight w:val="none"/>
              </w:rPr>
            </w:pPr>
            <w:r>
              <w:rPr>
                <w:rFonts w:ascii="宋体" w:hAnsi="宋体" w:cs="楷体_GB2312"/>
                <w:b/>
                <w:bCs/>
                <w:color w:val="auto"/>
                <w:szCs w:val="21"/>
                <w:highlight w:val="none"/>
              </w:rPr>
              <w:t>1.</w:t>
            </w:r>
            <w:r>
              <w:rPr>
                <w:rFonts w:hint="eastAsia" w:ascii="宋体" w:hAnsi="宋体" w:cs="楷体_GB2312"/>
                <w:b/>
                <w:bCs/>
                <w:color w:val="auto"/>
                <w:szCs w:val="21"/>
                <w:highlight w:val="none"/>
              </w:rPr>
              <w:t>10</w:t>
            </w:r>
          </w:p>
        </w:tc>
        <w:tc>
          <w:tcPr>
            <w:tcW w:w="1893" w:type="dxa"/>
            <w:tcBorders>
              <w:top w:val="single" w:color="auto" w:sz="6" w:space="0"/>
              <w:left w:val="single" w:color="auto" w:sz="6" w:space="0"/>
              <w:bottom w:val="single" w:color="auto" w:sz="6" w:space="0"/>
              <w:right w:val="single" w:color="auto" w:sz="6" w:space="0"/>
            </w:tcBorders>
            <w:vAlign w:val="center"/>
          </w:tcPr>
          <w:p w14:paraId="2849BA6F">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踏勘现场</w:t>
            </w:r>
          </w:p>
        </w:tc>
        <w:tc>
          <w:tcPr>
            <w:tcW w:w="6653" w:type="dxa"/>
            <w:tcBorders>
              <w:top w:val="single" w:color="auto" w:sz="6" w:space="0"/>
              <w:left w:val="single" w:color="auto" w:sz="6" w:space="0"/>
              <w:bottom w:val="single" w:color="auto" w:sz="6" w:space="0"/>
              <w:right w:val="single" w:color="auto" w:sz="12" w:space="0"/>
            </w:tcBorders>
            <w:vAlign w:val="center"/>
          </w:tcPr>
          <w:p w14:paraId="7C0F94D2">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不组织</w:t>
            </w:r>
          </w:p>
        </w:tc>
      </w:tr>
      <w:tr w14:paraId="3892655C">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17B4BB16">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3EC855D8">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1</w:t>
            </w:r>
          </w:p>
        </w:tc>
        <w:tc>
          <w:tcPr>
            <w:tcW w:w="1893" w:type="dxa"/>
            <w:tcBorders>
              <w:top w:val="single" w:color="auto" w:sz="6" w:space="0"/>
              <w:left w:val="single" w:color="auto" w:sz="6" w:space="0"/>
              <w:bottom w:val="single" w:color="auto" w:sz="6" w:space="0"/>
              <w:right w:val="single" w:color="auto" w:sz="6" w:space="0"/>
            </w:tcBorders>
            <w:vAlign w:val="center"/>
          </w:tcPr>
          <w:p w14:paraId="78EC567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投标预备会</w:t>
            </w:r>
          </w:p>
        </w:tc>
        <w:tc>
          <w:tcPr>
            <w:tcW w:w="6653" w:type="dxa"/>
            <w:tcBorders>
              <w:top w:val="single" w:color="auto" w:sz="6" w:space="0"/>
              <w:left w:val="single" w:color="auto" w:sz="6" w:space="0"/>
              <w:bottom w:val="single" w:color="auto" w:sz="6" w:space="0"/>
              <w:right w:val="single" w:color="auto" w:sz="12" w:space="0"/>
            </w:tcBorders>
            <w:vAlign w:val="center"/>
          </w:tcPr>
          <w:p w14:paraId="5E5B21C0">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不召开</w:t>
            </w:r>
          </w:p>
        </w:tc>
      </w:tr>
      <w:tr w14:paraId="61C1069F">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6146453E">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7B879B1F">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1.1</w:t>
            </w:r>
            <w:r>
              <w:rPr>
                <w:rFonts w:hint="eastAsia" w:ascii="宋体" w:hAnsi="宋体" w:cs="楷体_GB2312"/>
                <w:b/>
                <w:bCs/>
                <w:color w:val="auto"/>
                <w:szCs w:val="21"/>
                <w:highlight w:val="none"/>
              </w:rPr>
              <w:t>2</w:t>
            </w:r>
          </w:p>
        </w:tc>
        <w:tc>
          <w:tcPr>
            <w:tcW w:w="1893" w:type="dxa"/>
            <w:tcBorders>
              <w:top w:val="single" w:color="auto" w:sz="6" w:space="0"/>
              <w:left w:val="single" w:color="auto" w:sz="6" w:space="0"/>
              <w:bottom w:val="single" w:color="auto" w:sz="6" w:space="0"/>
              <w:right w:val="single" w:color="auto" w:sz="6" w:space="0"/>
            </w:tcBorders>
            <w:vAlign w:val="center"/>
          </w:tcPr>
          <w:p w14:paraId="3947C56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分包</w:t>
            </w:r>
          </w:p>
        </w:tc>
        <w:tc>
          <w:tcPr>
            <w:tcW w:w="6653" w:type="dxa"/>
            <w:tcBorders>
              <w:top w:val="single" w:color="auto" w:sz="6" w:space="0"/>
              <w:left w:val="single" w:color="auto" w:sz="6" w:space="0"/>
              <w:bottom w:val="single" w:color="auto" w:sz="6" w:space="0"/>
              <w:right w:val="single" w:color="auto" w:sz="12" w:space="0"/>
            </w:tcBorders>
            <w:vAlign w:val="center"/>
          </w:tcPr>
          <w:p w14:paraId="4C1BDC84">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 xml:space="preserve">不允许  </w:t>
            </w:r>
          </w:p>
        </w:tc>
      </w:tr>
      <w:tr w14:paraId="347FB0C2">
        <w:tblPrEx>
          <w:tblCellMar>
            <w:top w:w="0" w:type="dxa"/>
            <w:left w:w="108" w:type="dxa"/>
            <w:bottom w:w="0" w:type="dxa"/>
            <w:right w:w="108" w:type="dxa"/>
          </w:tblCellMar>
        </w:tblPrEx>
        <w:trPr>
          <w:trHeight w:val="447" w:hRule="atLeast"/>
          <w:jc w:val="center"/>
        </w:trPr>
        <w:tc>
          <w:tcPr>
            <w:tcW w:w="508" w:type="dxa"/>
            <w:vMerge w:val="continue"/>
            <w:tcBorders>
              <w:left w:val="single" w:color="auto" w:sz="12" w:space="0"/>
              <w:right w:val="single" w:color="auto" w:sz="6" w:space="0"/>
            </w:tcBorders>
          </w:tcPr>
          <w:p w14:paraId="28AFCF5C">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3552EB66">
            <w:pPr>
              <w:autoSpaceDE w:val="0"/>
              <w:autoSpaceDN w:val="0"/>
              <w:adjustRightInd w:val="0"/>
              <w:snapToGrid w:val="0"/>
              <w:spacing w:line="240" w:lineRule="auto"/>
              <w:ind w:right="-88" w:rightChars="-42"/>
              <w:jc w:val="center"/>
              <w:rPr>
                <w:rFonts w:ascii="宋体" w:cs="楷体_GB2312"/>
                <w:b/>
                <w:bCs/>
                <w:color w:val="auto"/>
                <w:szCs w:val="21"/>
                <w:highlight w:val="none"/>
              </w:rPr>
            </w:pPr>
            <w:r>
              <w:rPr>
                <w:rFonts w:ascii="宋体" w:hAnsi="宋体" w:cs="楷体_GB2312"/>
                <w:b/>
                <w:bCs/>
                <w:color w:val="auto"/>
                <w:szCs w:val="21"/>
                <w:highlight w:val="none"/>
              </w:rPr>
              <w:t>2.1</w:t>
            </w:r>
          </w:p>
        </w:tc>
        <w:tc>
          <w:tcPr>
            <w:tcW w:w="1893" w:type="dxa"/>
            <w:tcBorders>
              <w:top w:val="single" w:color="auto" w:sz="6" w:space="0"/>
              <w:left w:val="single" w:color="auto" w:sz="6" w:space="0"/>
              <w:bottom w:val="single" w:color="auto" w:sz="6" w:space="0"/>
              <w:right w:val="single" w:color="auto" w:sz="6" w:space="0"/>
            </w:tcBorders>
            <w:vAlign w:val="center"/>
          </w:tcPr>
          <w:p w14:paraId="1BA6A7E3">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lang w:val="zh-CN"/>
              </w:rPr>
              <w:t>构成《磋商文件》的其他材料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0E641BC3">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06134F53">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19330A93">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1E211E4F">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2.2.1</w:t>
            </w:r>
            <w:r>
              <w:rPr>
                <w:rFonts w:hint="eastAsia" w:ascii="宋体" w:hAnsi="宋体" w:cs="楷体_GB2312"/>
                <w:b/>
                <w:bCs/>
                <w:color w:val="auto"/>
                <w:szCs w:val="21"/>
                <w:highlight w:val="none"/>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694F5478">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供应商提出问题的截止时间</w:t>
            </w:r>
          </w:p>
        </w:tc>
        <w:tc>
          <w:tcPr>
            <w:tcW w:w="6653" w:type="dxa"/>
            <w:tcBorders>
              <w:top w:val="single" w:color="auto" w:sz="6" w:space="0"/>
              <w:left w:val="single" w:color="auto" w:sz="6" w:space="0"/>
              <w:bottom w:val="single" w:color="auto" w:sz="6" w:space="0"/>
              <w:right w:val="single" w:color="auto" w:sz="12" w:space="0"/>
            </w:tcBorders>
            <w:vAlign w:val="center"/>
          </w:tcPr>
          <w:p w14:paraId="64A66930">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 xml:space="preserve">日前  </w:t>
            </w:r>
          </w:p>
        </w:tc>
      </w:tr>
      <w:tr w14:paraId="45ED8FFB">
        <w:tblPrEx>
          <w:tblCellMar>
            <w:top w:w="0" w:type="dxa"/>
            <w:left w:w="108" w:type="dxa"/>
            <w:bottom w:w="0" w:type="dxa"/>
            <w:right w:w="108" w:type="dxa"/>
          </w:tblCellMar>
        </w:tblPrEx>
        <w:trPr>
          <w:trHeight w:val="604" w:hRule="atLeast"/>
          <w:jc w:val="center"/>
        </w:trPr>
        <w:tc>
          <w:tcPr>
            <w:tcW w:w="508" w:type="dxa"/>
            <w:vMerge w:val="continue"/>
            <w:tcBorders>
              <w:left w:val="single" w:color="auto" w:sz="12" w:space="0"/>
              <w:right w:val="single" w:color="auto" w:sz="6" w:space="0"/>
            </w:tcBorders>
          </w:tcPr>
          <w:p w14:paraId="07316861">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0A361F07">
            <w:pPr>
              <w:autoSpaceDE w:val="0"/>
              <w:autoSpaceDN w:val="0"/>
              <w:adjustRightInd w:val="0"/>
              <w:snapToGrid w:val="0"/>
              <w:spacing w:line="240" w:lineRule="auto"/>
              <w:ind w:right="-88" w:rightChars="-42"/>
              <w:rPr>
                <w:rFonts w:ascii="宋体" w:cs="楷体_GB2312"/>
                <w:b/>
                <w:bCs/>
                <w:color w:val="auto"/>
                <w:szCs w:val="21"/>
                <w:highlight w:val="none"/>
                <w:lang w:val="zh-CN"/>
              </w:rPr>
            </w:pPr>
            <w:r>
              <w:rPr>
                <w:rFonts w:ascii="宋体" w:hAnsi="宋体" w:cs="楷体_GB2312"/>
                <w:b/>
                <w:bCs/>
                <w:color w:val="auto"/>
                <w:szCs w:val="21"/>
                <w:highlight w:val="none"/>
                <w:lang w:val="zh-CN"/>
              </w:rPr>
              <w:t>2.3</w:t>
            </w:r>
            <w:r>
              <w:rPr>
                <w:rFonts w:hint="eastAsia" w:ascii="宋体" w:hAnsi="宋体" w:cs="楷体_GB2312"/>
                <w:b/>
                <w:bCs/>
                <w:color w:val="auto"/>
                <w:szCs w:val="21"/>
                <w:highlight w:val="none"/>
                <w:lang w:val="zh-CN"/>
              </w:rPr>
              <w:t xml:space="preserve">   </w:t>
            </w:r>
          </w:p>
        </w:tc>
        <w:tc>
          <w:tcPr>
            <w:tcW w:w="1893" w:type="dxa"/>
            <w:tcBorders>
              <w:top w:val="single" w:color="auto" w:sz="6" w:space="0"/>
              <w:left w:val="single" w:color="auto" w:sz="6" w:space="0"/>
              <w:bottom w:val="single" w:color="auto" w:sz="6" w:space="0"/>
              <w:right w:val="single" w:color="auto" w:sz="6" w:space="0"/>
            </w:tcBorders>
            <w:vAlign w:val="center"/>
          </w:tcPr>
          <w:p w14:paraId="33275817">
            <w:pPr>
              <w:autoSpaceDE w:val="0"/>
              <w:autoSpaceDN w:val="0"/>
              <w:adjustRightInd w:val="0"/>
              <w:snapToGrid w:val="0"/>
              <w:spacing w:line="240" w:lineRule="auto"/>
              <w:ind w:right="-178" w:rightChars="-85"/>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《磋商文件》澄清修改补充时间</w:t>
            </w:r>
          </w:p>
        </w:tc>
        <w:tc>
          <w:tcPr>
            <w:tcW w:w="6653" w:type="dxa"/>
            <w:tcBorders>
              <w:top w:val="single" w:color="auto" w:sz="6" w:space="0"/>
              <w:left w:val="single" w:color="auto" w:sz="6" w:space="0"/>
              <w:bottom w:val="single" w:color="auto" w:sz="6" w:space="0"/>
              <w:right w:val="single" w:color="auto" w:sz="12" w:space="0"/>
            </w:tcBorders>
            <w:vAlign w:val="center"/>
          </w:tcPr>
          <w:p w14:paraId="25E3C691">
            <w:pPr>
              <w:autoSpaceDE w:val="0"/>
              <w:autoSpaceDN w:val="0"/>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投标截止时间</w:t>
            </w:r>
            <w:r>
              <w:rPr>
                <w:rFonts w:ascii="宋体" w:hAnsi="宋体" w:cs="楷体_GB2312"/>
                <w:color w:val="auto"/>
                <w:sz w:val="24"/>
                <w:highlight w:val="none"/>
              </w:rPr>
              <w:t>5</w:t>
            </w:r>
            <w:r>
              <w:rPr>
                <w:rFonts w:hint="eastAsia" w:ascii="宋体" w:hAnsi="宋体" w:cs="楷体_GB2312"/>
                <w:color w:val="auto"/>
                <w:sz w:val="24"/>
                <w:highlight w:val="none"/>
                <w:lang w:val="zh-CN"/>
              </w:rPr>
              <w:t>日前。</w:t>
            </w:r>
          </w:p>
        </w:tc>
      </w:tr>
      <w:tr w14:paraId="7BE85B2A">
        <w:tblPrEx>
          <w:tblCellMar>
            <w:top w:w="0" w:type="dxa"/>
            <w:left w:w="108" w:type="dxa"/>
            <w:bottom w:w="0" w:type="dxa"/>
            <w:right w:w="108" w:type="dxa"/>
          </w:tblCellMar>
        </w:tblPrEx>
        <w:trPr>
          <w:trHeight w:val="300" w:hRule="atLeast"/>
          <w:jc w:val="center"/>
        </w:trPr>
        <w:tc>
          <w:tcPr>
            <w:tcW w:w="508" w:type="dxa"/>
            <w:vMerge w:val="continue"/>
            <w:tcBorders>
              <w:left w:val="single" w:color="auto" w:sz="12" w:space="0"/>
              <w:right w:val="single" w:color="auto" w:sz="6" w:space="0"/>
            </w:tcBorders>
          </w:tcPr>
          <w:p w14:paraId="48DD9411">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66D2B5F2">
            <w:pPr>
              <w:autoSpaceDE w:val="0"/>
              <w:autoSpaceDN w:val="0"/>
              <w:adjustRightInd w:val="0"/>
              <w:snapToGrid w:val="0"/>
              <w:spacing w:line="240" w:lineRule="auto"/>
              <w:ind w:right="-88" w:rightChars="-42"/>
              <w:rPr>
                <w:rFonts w:ascii="宋体" w:cs="楷体_GB2312"/>
                <w:b/>
                <w:bCs/>
                <w:color w:val="auto"/>
                <w:szCs w:val="21"/>
                <w:highlight w:val="none"/>
              </w:rPr>
            </w:pPr>
            <w:r>
              <w:rPr>
                <w:rFonts w:ascii="宋体" w:hAnsi="宋体" w:cs="楷体_GB2312"/>
                <w:b/>
                <w:bCs/>
                <w:color w:val="auto"/>
                <w:szCs w:val="21"/>
                <w:highlight w:val="none"/>
                <w:lang w:val="zh-CN"/>
              </w:rPr>
              <w:t>2.</w:t>
            </w:r>
            <w:r>
              <w:rPr>
                <w:rFonts w:hint="eastAsia" w:ascii="宋体" w:hAnsi="宋体" w:cs="楷体_GB2312"/>
                <w:b/>
                <w:bCs/>
                <w:color w:val="auto"/>
                <w:szCs w:val="21"/>
                <w:highlight w:val="none"/>
                <w:lang w:val="zh-CN"/>
              </w:rPr>
              <w:t xml:space="preserve">4   </w:t>
            </w:r>
          </w:p>
        </w:tc>
        <w:tc>
          <w:tcPr>
            <w:tcW w:w="1893" w:type="dxa"/>
            <w:tcBorders>
              <w:top w:val="single" w:color="auto" w:sz="6" w:space="0"/>
              <w:left w:val="single" w:color="auto" w:sz="6" w:space="0"/>
              <w:bottom w:val="single" w:color="auto" w:sz="6" w:space="0"/>
              <w:right w:val="single" w:color="auto" w:sz="6" w:space="0"/>
            </w:tcBorders>
            <w:vAlign w:val="center"/>
          </w:tcPr>
          <w:p w14:paraId="3E84DA1B">
            <w:pPr>
              <w:autoSpaceDE w:val="0"/>
              <w:autoSpaceDN w:val="0"/>
              <w:adjustRightInd w:val="0"/>
              <w:snapToGrid w:val="0"/>
              <w:spacing w:line="240" w:lineRule="auto"/>
              <w:ind w:left="-126" w:leftChars="-60" w:right="-36" w:rightChars="-17"/>
              <w:jc w:val="center"/>
              <w:rPr>
                <w:rFonts w:ascii="宋体" w:cs="楷体_GB2312"/>
                <w:b/>
                <w:bCs/>
                <w:color w:val="auto"/>
                <w:szCs w:val="21"/>
                <w:highlight w:val="none"/>
                <w:lang w:val="zh-CN"/>
              </w:rPr>
            </w:pPr>
            <w:r>
              <w:rPr>
                <w:rFonts w:hint="eastAsia" w:ascii="宋体" w:hAnsi="宋体" w:cs="楷体_GB2312"/>
                <w:b/>
                <w:bCs/>
                <w:color w:val="auto"/>
                <w:szCs w:val="21"/>
                <w:highlight w:val="none"/>
                <w:lang w:val="zh-CN"/>
              </w:rPr>
              <w:t>《磋商文件》的澄清修改补充告知方式</w:t>
            </w:r>
          </w:p>
        </w:tc>
        <w:tc>
          <w:tcPr>
            <w:tcW w:w="6653" w:type="dxa"/>
            <w:tcBorders>
              <w:top w:val="single" w:color="auto" w:sz="6" w:space="0"/>
              <w:left w:val="single" w:color="auto" w:sz="6" w:space="0"/>
              <w:bottom w:val="single" w:color="auto" w:sz="6" w:space="0"/>
              <w:right w:val="single" w:color="auto" w:sz="12" w:space="0"/>
            </w:tcBorders>
            <w:vAlign w:val="center"/>
          </w:tcPr>
          <w:p w14:paraId="180953B3">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5242CF9B">
        <w:tblPrEx>
          <w:tblCellMar>
            <w:top w:w="0" w:type="dxa"/>
            <w:left w:w="108" w:type="dxa"/>
            <w:bottom w:w="0" w:type="dxa"/>
            <w:right w:w="108" w:type="dxa"/>
          </w:tblCellMar>
        </w:tblPrEx>
        <w:trPr>
          <w:trHeight w:val="535" w:hRule="atLeast"/>
          <w:jc w:val="center"/>
        </w:trPr>
        <w:tc>
          <w:tcPr>
            <w:tcW w:w="508" w:type="dxa"/>
            <w:vMerge w:val="continue"/>
            <w:tcBorders>
              <w:left w:val="single" w:color="auto" w:sz="12" w:space="0"/>
              <w:bottom w:val="single" w:color="auto" w:sz="6" w:space="0"/>
              <w:right w:val="single" w:color="auto" w:sz="6" w:space="0"/>
            </w:tcBorders>
          </w:tcPr>
          <w:p w14:paraId="009D6366">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5F7C5CF3">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3.2</w:t>
            </w:r>
          </w:p>
        </w:tc>
        <w:tc>
          <w:tcPr>
            <w:tcW w:w="1893" w:type="dxa"/>
            <w:tcBorders>
              <w:top w:val="single" w:color="auto" w:sz="6" w:space="0"/>
              <w:left w:val="single" w:color="auto" w:sz="6" w:space="0"/>
              <w:bottom w:val="single" w:color="auto" w:sz="6" w:space="0"/>
              <w:right w:val="single" w:color="auto" w:sz="6" w:space="0"/>
            </w:tcBorders>
            <w:vAlign w:val="center"/>
          </w:tcPr>
          <w:p w14:paraId="2571E02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构成《响应文件》的其他材料</w:t>
            </w:r>
          </w:p>
        </w:tc>
        <w:tc>
          <w:tcPr>
            <w:tcW w:w="6653" w:type="dxa"/>
            <w:tcBorders>
              <w:top w:val="single" w:color="auto" w:sz="6" w:space="0"/>
              <w:left w:val="single" w:color="auto" w:sz="6" w:space="0"/>
              <w:bottom w:val="single" w:color="auto" w:sz="6" w:space="0"/>
              <w:right w:val="single" w:color="auto" w:sz="12" w:space="0"/>
            </w:tcBorders>
            <w:vAlign w:val="center"/>
          </w:tcPr>
          <w:p w14:paraId="09A3209D">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71431698">
        <w:tblPrEx>
          <w:tblCellMar>
            <w:top w:w="0" w:type="dxa"/>
            <w:left w:w="108" w:type="dxa"/>
            <w:bottom w:w="0" w:type="dxa"/>
            <w:right w:w="108" w:type="dxa"/>
          </w:tblCellMar>
        </w:tblPrEx>
        <w:trPr>
          <w:trHeight w:val="535" w:hRule="atLeast"/>
          <w:jc w:val="center"/>
        </w:trPr>
        <w:tc>
          <w:tcPr>
            <w:tcW w:w="508" w:type="dxa"/>
            <w:vMerge w:val="restart"/>
            <w:tcBorders>
              <w:top w:val="single" w:color="auto" w:sz="6" w:space="0"/>
              <w:left w:val="single" w:color="auto" w:sz="12" w:space="0"/>
              <w:right w:val="single" w:color="auto" w:sz="6" w:space="0"/>
            </w:tcBorders>
          </w:tcPr>
          <w:p w14:paraId="2A579B75">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1E31FCDB">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3.4.1</w:t>
            </w:r>
          </w:p>
        </w:tc>
        <w:tc>
          <w:tcPr>
            <w:tcW w:w="1893" w:type="dxa"/>
            <w:tcBorders>
              <w:top w:val="single" w:color="auto" w:sz="6" w:space="0"/>
              <w:left w:val="single" w:color="auto" w:sz="6" w:space="0"/>
              <w:bottom w:val="single" w:color="auto" w:sz="6" w:space="0"/>
              <w:right w:val="single" w:color="auto" w:sz="6" w:space="0"/>
            </w:tcBorders>
            <w:vAlign w:val="center"/>
          </w:tcPr>
          <w:p w14:paraId="062C55B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响应有效期</w:t>
            </w:r>
          </w:p>
        </w:tc>
        <w:tc>
          <w:tcPr>
            <w:tcW w:w="6653" w:type="dxa"/>
            <w:tcBorders>
              <w:top w:val="single" w:color="auto" w:sz="6" w:space="0"/>
              <w:left w:val="single" w:color="auto" w:sz="6" w:space="0"/>
              <w:bottom w:val="single" w:color="auto" w:sz="6" w:space="0"/>
              <w:right w:val="single" w:color="auto" w:sz="12" w:space="0"/>
            </w:tcBorders>
            <w:vAlign w:val="center"/>
          </w:tcPr>
          <w:p w14:paraId="1C1451F3">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从《响应文件》开启之日起，响应有效期为</w:t>
            </w:r>
            <w:r>
              <w:rPr>
                <w:rFonts w:ascii="宋体" w:hAnsi="宋体" w:cs="楷体_GB2312"/>
                <w:color w:val="auto"/>
                <w:sz w:val="24"/>
                <w:highlight w:val="none"/>
                <w:lang w:val="zh-CN"/>
              </w:rPr>
              <w:t>90</w:t>
            </w:r>
            <w:r>
              <w:rPr>
                <w:rFonts w:hint="eastAsia" w:ascii="宋体" w:hAnsi="宋体" w:cs="楷体_GB2312"/>
                <w:color w:val="auto"/>
                <w:sz w:val="24"/>
                <w:highlight w:val="none"/>
                <w:lang w:val="zh-CN"/>
              </w:rPr>
              <w:t>日历天</w:t>
            </w:r>
          </w:p>
        </w:tc>
      </w:tr>
      <w:tr w14:paraId="47BCF308">
        <w:tblPrEx>
          <w:tblCellMar>
            <w:top w:w="0" w:type="dxa"/>
            <w:left w:w="108" w:type="dxa"/>
            <w:bottom w:w="0" w:type="dxa"/>
            <w:right w:w="108" w:type="dxa"/>
          </w:tblCellMar>
        </w:tblPrEx>
        <w:trPr>
          <w:trHeight w:val="694" w:hRule="atLeast"/>
          <w:jc w:val="center"/>
        </w:trPr>
        <w:tc>
          <w:tcPr>
            <w:tcW w:w="508" w:type="dxa"/>
            <w:vMerge w:val="continue"/>
            <w:tcBorders>
              <w:left w:val="single" w:color="auto" w:sz="12" w:space="0"/>
              <w:right w:val="single" w:color="auto" w:sz="6" w:space="0"/>
            </w:tcBorders>
          </w:tcPr>
          <w:p w14:paraId="5E177E32">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right w:val="single" w:color="auto" w:sz="6" w:space="0"/>
            </w:tcBorders>
            <w:vAlign w:val="center"/>
          </w:tcPr>
          <w:p w14:paraId="21F4FE87">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3.5</w:t>
            </w:r>
          </w:p>
        </w:tc>
        <w:tc>
          <w:tcPr>
            <w:tcW w:w="1893" w:type="dxa"/>
            <w:tcBorders>
              <w:top w:val="single" w:color="auto" w:sz="6" w:space="0"/>
              <w:left w:val="single" w:color="auto" w:sz="6" w:space="0"/>
              <w:right w:val="single" w:color="auto" w:sz="6" w:space="0"/>
            </w:tcBorders>
            <w:vAlign w:val="center"/>
          </w:tcPr>
          <w:p w14:paraId="1E448C50">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投标承诺函</w:t>
            </w:r>
          </w:p>
          <w:p w14:paraId="0258D5F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cs="楷体_GB2312"/>
                <w:b/>
                <w:bCs/>
                <w:color w:val="auto"/>
                <w:sz w:val="24"/>
                <w:highlight w:val="none"/>
                <w:lang w:val="zh-CN"/>
              </w:rPr>
              <w:t>（替代投标保证金）</w:t>
            </w:r>
          </w:p>
        </w:tc>
        <w:tc>
          <w:tcPr>
            <w:tcW w:w="6653" w:type="dxa"/>
            <w:tcBorders>
              <w:top w:val="single" w:color="auto" w:sz="6" w:space="0"/>
              <w:left w:val="single" w:color="auto" w:sz="6" w:space="0"/>
              <w:right w:val="single" w:color="auto" w:sz="12" w:space="0"/>
            </w:tcBorders>
            <w:vAlign w:val="center"/>
          </w:tcPr>
          <w:p w14:paraId="217128BE">
            <w:pPr>
              <w:widowControl w:val="0"/>
              <w:snapToGrid w:val="0"/>
              <w:spacing w:before="120" w:beforeLines="50" w:line="240" w:lineRule="auto"/>
              <w:rPr>
                <w:color w:val="auto"/>
                <w:sz w:val="24"/>
                <w:szCs w:val="24"/>
                <w:highlight w:val="none"/>
              </w:rPr>
            </w:pPr>
            <w:r>
              <w:rPr>
                <w:rFonts w:hint="eastAsia"/>
                <w:color w:val="auto"/>
                <w:sz w:val="24"/>
                <w:szCs w:val="24"/>
                <w:highlight w:val="none"/>
              </w:rPr>
              <w:t>以投标承诺函形式替代投标保证金。</w:t>
            </w:r>
          </w:p>
          <w:p w14:paraId="2CB4CAC0">
            <w:pPr>
              <w:widowControl w:val="0"/>
              <w:snapToGrid w:val="0"/>
              <w:spacing w:before="120" w:beforeLines="50" w:line="240" w:lineRule="auto"/>
              <w:rPr>
                <w:color w:val="auto"/>
                <w:sz w:val="24"/>
                <w:szCs w:val="24"/>
                <w:highlight w:val="none"/>
              </w:rPr>
            </w:pPr>
            <w:r>
              <w:rPr>
                <w:rFonts w:hint="eastAsia"/>
                <w:color w:val="auto"/>
                <w:sz w:val="24"/>
                <w:szCs w:val="24"/>
                <w:highlight w:val="none"/>
              </w:rPr>
              <w:t>供应商应按附件格式进行投标承诺、违背承诺的责任追究。</w:t>
            </w:r>
          </w:p>
        </w:tc>
      </w:tr>
      <w:tr w14:paraId="59CD28D6">
        <w:tblPrEx>
          <w:tblCellMar>
            <w:top w:w="0" w:type="dxa"/>
            <w:left w:w="108" w:type="dxa"/>
            <w:bottom w:w="0" w:type="dxa"/>
            <w:right w:w="108" w:type="dxa"/>
          </w:tblCellMar>
        </w:tblPrEx>
        <w:trPr>
          <w:trHeight w:val="577" w:hRule="atLeast"/>
          <w:jc w:val="center"/>
        </w:trPr>
        <w:tc>
          <w:tcPr>
            <w:tcW w:w="508" w:type="dxa"/>
            <w:vMerge w:val="continue"/>
            <w:tcBorders>
              <w:left w:val="single" w:color="auto" w:sz="12" w:space="0"/>
              <w:right w:val="single" w:color="auto" w:sz="6" w:space="0"/>
            </w:tcBorders>
          </w:tcPr>
          <w:p w14:paraId="2ABE0625">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4" w:space="0"/>
              <w:left w:val="single" w:color="auto" w:sz="12" w:space="0"/>
              <w:bottom w:val="single" w:color="auto" w:sz="6" w:space="0"/>
              <w:right w:val="single" w:color="auto" w:sz="6" w:space="0"/>
            </w:tcBorders>
            <w:vAlign w:val="center"/>
          </w:tcPr>
          <w:p w14:paraId="108AEFEE">
            <w:pPr>
              <w:autoSpaceDE w:val="0"/>
              <w:autoSpaceDN w:val="0"/>
              <w:adjustRightInd w:val="0"/>
              <w:snapToGrid w:val="0"/>
              <w:spacing w:line="240" w:lineRule="auto"/>
              <w:ind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lang w:val="zh-CN"/>
              </w:rPr>
              <w:t>3.7.3</w:t>
            </w:r>
          </w:p>
        </w:tc>
        <w:tc>
          <w:tcPr>
            <w:tcW w:w="1893" w:type="dxa"/>
            <w:tcBorders>
              <w:top w:val="single" w:color="auto" w:sz="4" w:space="0"/>
              <w:left w:val="single" w:color="auto" w:sz="6" w:space="0"/>
              <w:bottom w:val="single" w:color="auto" w:sz="6" w:space="0"/>
              <w:right w:val="single" w:color="auto" w:sz="6" w:space="0"/>
            </w:tcBorders>
            <w:vAlign w:val="center"/>
          </w:tcPr>
          <w:p w14:paraId="035E69FE">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偏差描述</w:t>
            </w:r>
          </w:p>
        </w:tc>
        <w:tc>
          <w:tcPr>
            <w:tcW w:w="6653" w:type="dxa"/>
            <w:tcBorders>
              <w:top w:val="single" w:color="auto" w:sz="4" w:space="0"/>
              <w:left w:val="single" w:color="auto" w:sz="6" w:space="0"/>
              <w:bottom w:val="single" w:color="auto" w:sz="6" w:space="0"/>
              <w:right w:val="single" w:color="auto" w:sz="12" w:space="0"/>
            </w:tcBorders>
            <w:vAlign w:val="center"/>
          </w:tcPr>
          <w:p w14:paraId="0422A67D">
            <w:pPr>
              <w:widowControl w:val="0"/>
              <w:snapToGrid w:val="0"/>
              <w:spacing w:before="120" w:beforeLines="50" w:line="240" w:lineRule="auto"/>
              <w:rPr>
                <w:b/>
                <w:color w:val="auto"/>
                <w:sz w:val="24"/>
                <w:szCs w:val="24"/>
                <w:highlight w:val="none"/>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0A9CA476">
        <w:tblPrEx>
          <w:tblCellMar>
            <w:top w:w="0" w:type="dxa"/>
            <w:left w:w="108" w:type="dxa"/>
            <w:bottom w:w="0" w:type="dxa"/>
            <w:right w:w="108" w:type="dxa"/>
          </w:tblCellMar>
        </w:tblPrEx>
        <w:trPr>
          <w:trHeight w:val="65" w:hRule="atLeast"/>
          <w:jc w:val="center"/>
        </w:trPr>
        <w:tc>
          <w:tcPr>
            <w:tcW w:w="508" w:type="dxa"/>
            <w:vMerge w:val="continue"/>
            <w:tcBorders>
              <w:left w:val="single" w:color="auto" w:sz="12" w:space="0"/>
              <w:right w:val="single" w:color="auto" w:sz="6" w:space="0"/>
            </w:tcBorders>
          </w:tcPr>
          <w:p w14:paraId="02CD1883">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77D22050">
            <w:pPr>
              <w:autoSpaceDE w:val="0"/>
              <w:autoSpaceDN w:val="0"/>
              <w:adjustRightInd w:val="0"/>
              <w:snapToGrid w:val="0"/>
              <w:spacing w:line="240" w:lineRule="auto"/>
              <w:ind w:right="-88" w:rightChars="-42"/>
              <w:rPr>
                <w:rFonts w:ascii="宋体" w:cs="楷体_GB2312"/>
                <w:b/>
                <w:bCs/>
                <w:color w:val="auto"/>
                <w:szCs w:val="21"/>
                <w:highlight w:val="none"/>
                <w:lang w:val="zh-CN"/>
              </w:rPr>
            </w:pPr>
            <w:r>
              <w:rPr>
                <w:rFonts w:ascii="宋体" w:hAnsi="宋体" w:cs="楷体_GB2312"/>
                <w:b/>
                <w:bCs/>
                <w:color w:val="auto"/>
                <w:szCs w:val="21"/>
                <w:highlight w:val="none"/>
              </w:rPr>
              <w:t>3.7.4</w:t>
            </w:r>
          </w:p>
        </w:tc>
        <w:tc>
          <w:tcPr>
            <w:tcW w:w="1893" w:type="dxa"/>
            <w:tcBorders>
              <w:top w:val="single" w:color="auto" w:sz="6" w:space="0"/>
              <w:left w:val="single" w:color="auto" w:sz="6" w:space="0"/>
              <w:bottom w:val="single" w:color="auto" w:sz="6" w:space="0"/>
              <w:right w:val="single" w:color="auto" w:sz="6" w:space="0"/>
            </w:tcBorders>
            <w:vAlign w:val="center"/>
          </w:tcPr>
          <w:p w14:paraId="08EAB0CB">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签字或盖章要求</w:t>
            </w:r>
          </w:p>
        </w:tc>
        <w:tc>
          <w:tcPr>
            <w:tcW w:w="6653" w:type="dxa"/>
            <w:tcBorders>
              <w:top w:val="single" w:color="auto" w:sz="6" w:space="0"/>
              <w:left w:val="single" w:color="auto" w:sz="6" w:space="0"/>
              <w:bottom w:val="single" w:color="auto" w:sz="6" w:space="0"/>
              <w:right w:val="single" w:color="auto" w:sz="12" w:space="0"/>
            </w:tcBorders>
            <w:vAlign w:val="center"/>
          </w:tcPr>
          <w:p w14:paraId="395D3789">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44A3B79A">
        <w:tblPrEx>
          <w:tblCellMar>
            <w:top w:w="0" w:type="dxa"/>
            <w:left w:w="108" w:type="dxa"/>
            <w:bottom w:w="0" w:type="dxa"/>
            <w:right w:w="108" w:type="dxa"/>
          </w:tblCellMar>
        </w:tblPrEx>
        <w:trPr>
          <w:trHeight w:val="343" w:hRule="atLeast"/>
          <w:jc w:val="center"/>
        </w:trPr>
        <w:tc>
          <w:tcPr>
            <w:tcW w:w="508" w:type="dxa"/>
            <w:vMerge w:val="continue"/>
            <w:tcBorders>
              <w:left w:val="single" w:color="auto" w:sz="12" w:space="0"/>
              <w:right w:val="single" w:color="auto" w:sz="6" w:space="0"/>
            </w:tcBorders>
          </w:tcPr>
          <w:p w14:paraId="20CE908D">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0C8C2F76">
            <w:pPr>
              <w:autoSpaceDE w:val="0"/>
              <w:autoSpaceDN w:val="0"/>
              <w:adjustRightInd w:val="0"/>
              <w:snapToGrid w:val="0"/>
              <w:spacing w:line="240" w:lineRule="auto"/>
              <w:ind w:right="-88" w:rightChars="-42"/>
              <w:rPr>
                <w:rFonts w:ascii="宋体" w:cs="楷体_GB2312"/>
                <w:b/>
                <w:bCs/>
                <w:color w:val="auto"/>
                <w:szCs w:val="21"/>
                <w:highlight w:val="none"/>
                <w:lang w:val="zh-CN"/>
              </w:rPr>
            </w:pPr>
            <w:r>
              <w:rPr>
                <w:rFonts w:ascii="宋体" w:hAnsi="宋体" w:cs="楷体_GB2312"/>
                <w:b/>
                <w:bCs/>
                <w:color w:val="auto"/>
                <w:szCs w:val="21"/>
                <w:highlight w:val="none"/>
              </w:rPr>
              <w:t>4.2.4</w:t>
            </w:r>
          </w:p>
        </w:tc>
        <w:tc>
          <w:tcPr>
            <w:tcW w:w="1893" w:type="dxa"/>
            <w:tcBorders>
              <w:top w:val="single" w:color="auto" w:sz="6" w:space="0"/>
              <w:left w:val="single" w:color="auto" w:sz="6" w:space="0"/>
              <w:bottom w:val="single" w:color="auto" w:sz="6" w:space="0"/>
              <w:right w:val="single" w:color="auto" w:sz="6" w:space="0"/>
            </w:tcBorders>
            <w:vAlign w:val="center"/>
          </w:tcPr>
          <w:p w14:paraId="630DC4B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是否退还《响应文件》</w:t>
            </w:r>
          </w:p>
        </w:tc>
        <w:tc>
          <w:tcPr>
            <w:tcW w:w="6653" w:type="dxa"/>
            <w:tcBorders>
              <w:top w:val="single" w:color="auto" w:sz="6" w:space="0"/>
              <w:left w:val="single" w:color="auto" w:sz="6" w:space="0"/>
              <w:bottom w:val="single" w:color="auto" w:sz="6" w:space="0"/>
              <w:right w:val="single" w:color="auto" w:sz="12" w:space="0"/>
            </w:tcBorders>
            <w:vAlign w:val="center"/>
          </w:tcPr>
          <w:p w14:paraId="1158B44C">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否</w:t>
            </w:r>
          </w:p>
        </w:tc>
      </w:tr>
      <w:tr w14:paraId="5792B707">
        <w:tblPrEx>
          <w:tblCellMar>
            <w:top w:w="0" w:type="dxa"/>
            <w:left w:w="108" w:type="dxa"/>
            <w:bottom w:w="0" w:type="dxa"/>
            <w:right w:w="108" w:type="dxa"/>
          </w:tblCellMar>
        </w:tblPrEx>
        <w:trPr>
          <w:trHeight w:val="507" w:hRule="atLeast"/>
          <w:jc w:val="center"/>
        </w:trPr>
        <w:tc>
          <w:tcPr>
            <w:tcW w:w="508" w:type="dxa"/>
            <w:vMerge w:val="continue"/>
            <w:tcBorders>
              <w:left w:val="single" w:color="auto" w:sz="12" w:space="0"/>
              <w:bottom w:val="single" w:color="auto" w:sz="6" w:space="0"/>
              <w:right w:val="single" w:color="auto" w:sz="6" w:space="0"/>
            </w:tcBorders>
          </w:tcPr>
          <w:p w14:paraId="586FE6B1">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2F880A3A">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lang w:val="zh-CN"/>
              </w:rPr>
            </w:pPr>
            <w:r>
              <w:rPr>
                <w:rFonts w:ascii="宋体" w:hAnsi="宋体" w:cs="楷体_GB2312"/>
                <w:b/>
                <w:bCs/>
                <w:color w:val="auto"/>
                <w:szCs w:val="21"/>
                <w:highlight w:val="none"/>
              </w:rPr>
              <w:t>6.1</w:t>
            </w:r>
          </w:p>
        </w:tc>
        <w:tc>
          <w:tcPr>
            <w:tcW w:w="1893" w:type="dxa"/>
            <w:tcBorders>
              <w:top w:val="single" w:color="auto" w:sz="6" w:space="0"/>
              <w:left w:val="single" w:color="auto" w:sz="6" w:space="0"/>
              <w:bottom w:val="single" w:color="auto" w:sz="6" w:space="0"/>
              <w:right w:val="single" w:color="auto" w:sz="6" w:space="0"/>
            </w:tcBorders>
            <w:vAlign w:val="center"/>
          </w:tcPr>
          <w:p w14:paraId="583429BA">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磋商小组的组建</w:t>
            </w:r>
          </w:p>
        </w:tc>
        <w:tc>
          <w:tcPr>
            <w:tcW w:w="6653" w:type="dxa"/>
            <w:tcBorders>
              <w:top w:val="single" w:color="auto" w:sz="6" w:space="0"/>
              <w:left w:val="single" w:color="auto" w:sz="6" w:space="0"/>
              <w:bottom w:val="single" w:color="auto" w:sz="6" w:space="0"/>
              <w:right w:val="single" w:color="auto" w:sz="12" w:space="0"/>
            </w:tcBorders>
            <w:vAlign w:val="center"/>
          </w:tcPr>
          <w:p w14:paraId="3564A3E7">
            <w:pPr>
              <w:autoSpaceDE w:val="0"/>
              <w:autoSpaceDN w:val="0"/>
              <w:adjustRightInd w:val="0"/>
              <w:snapToGrid w:val="0"/>
              <w:spacing w:before="120" w:beforeLines="50" w:line="240" w:lineRule="auto"/>
              <w:rPr>
                <w:rFonts w:ascii="宋体" w:cs="楷体_GB2312"/>
                <w:color w:val="auto"/>
                <w:sz w:val="24"/>
                <w:highlight w:val="none"/>
                <w:lang w:val="zh-CN"/>
              </w:rPr>
            </w:pPr>
            <w:r>
              <w:rPr>
                <w:rFonts w:hint="eastAsia" w:ascii="宋体" w:hAnsi="宋体" w:cs="楷体_GB2312"/>
                <w:color w:val="auto"/>
                <w:sz w:val="24"/>
                <w:highlight w:val="none"/>
                <w:lang w:val="zh-CN"/>
              </w:rPr>
              <w:t>见“第三章</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供应商须知”</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相应条款</w:t>
            </w:r>
          </w:p>
        </w:tc>
      </w:tr>
      <w:tr w14:paraId="7C138AD5">
        <w:tblPrEx>
          <w:tblCellMar>
            <w:top w:w="0" w:type="dxa"/>
            <w:left w:w="108" w:type="dxa"/>
            <w:bottom w:w="0" w:type="dxa"/>
            <w:right w:w="108" w:type="dxa"/>
          </w:tblCellMar>
        </w:tblPrEx>
        <w:trPr>
          <w:trHeight w:val="543" w:hRule="atLeast"/>
          <w:jc w:val="center"/>
        </w:trPr>
        <w:tc>
          <w:tcPr>
            <w:tcW w:w="508" w:type="dxa"/>
            <w:vMerge w:val="restart"/>
            <w:tcBorders>
              <w:left w:val="single" w:color="auto" w:sz="12" w:space="0"/>
              <w:right w:val="single" w:color="auto" w:sz="6" w:space="0"/>
            </w:tcBorders>
          </w:tcPr>
          <w:p w14:paraId="6C2D4516">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4E9AF727">
            <w:pPr>
              <w:autoSpaceDE w:val="0"/>
              <w:autoSpaceDN w:val="0"/>
              <w:adjustRightInd w:val="0"/>
              <w:snapToGrid w:val="0"/>
              <w:spacing w:line="240" w:lineRule="auto"/>
              <w:ind w:left="-134" w:leftChars="-64" w:right="-88" w:rightChars="-42"/>
              <w:jc w:val="center"/>
              <w:rPr>
                <w:rFonts w:ascii="宋体" w:cs="楷体_GB2312"/>
                <w:b/>
                <w:bCs/>
                <w:color w:val="auto"/>
                <w:szCs w:val="21"/>
                <w:highlight w:val="none"/>
              </w:rPr>
            </w:pPr>
            <w:r>
              <w:rPr>
                <w:rFonts w:ascii="宋体" w:hAnsi="宋体" w:cs="楷体_GB2312"/>
                <w:b/>
                <w:bCs/>
                <w:color w:val="auto"/>
                <w:szCs w:val="21"/>
                <w:highlight w:val="none"/>
              </w:rPr>
              <w:t>7.1</w:t>
            </w:r>
          </w:p>
        </w:tc>
        <w:tc>
          <w:tcPr>
            <w:tcW w:w="1893" w:type="dxa"/>
            <w:tcBorders>
              <w:top w:val="single" w:color="auto" w:sz="6" w:space="0"/>
              <w:left w:val="single" w:color="auto" w:sz="6" w:space="0"/>
              <w:bottom w:val="single" w:color="auto" w:sz="6" w:space="0"/>
              <w:right w:val="single" w:color="auto" w:sz="6" w:space="0"/>
            </w:tcBorders>
            <w:vAlign w:val="center"/>
          </w:tcPr>
          <w:p w14:paraId="75CF563C">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是否授权磋商小组确定成交供应商</w:t>
            </w:r>
          </w:p>
        </w:tc>
        <w:tc>
          <w:tcPr>
            <w:tcW w:w="6653" w:type="dxa"/>
            <w:tcBorders>
              <w:top w:val="single" w:color="auto" w:sz="6" w:space="0"/>
              <w:left w:val="single" w:color="auto" w:sz="6" w:space="0"/>
              <w:bottom w:val="single" w:color="auto" w:sz="6" w:space="0"/>
              <w:right w:val="single" w:color="auto" w:sz="12" w:space="0"/>
            </w:tcBorders>
            <w:vAlign w:val="center"/>
          </w:tcPr>
          <w:p w14:paraId="13E51DD3">
            <w:pPr>
              <w:adjustRightInd w:val="0"/>
              <w:snapToGrid w:val="0"/>
              <w:spacing w:before="120" w:beforeLines="50" w:line="240" w:lineRule="auto"/>
              <w:rPr>
                <w:rFonts w:ascii="宋体"/>
                <w:color w:val="auto"/>
                <w:sz w:val="24"/>
                <w:highlight w:val="none"/>
              </w:rPr>
            </w:pPr>
            <w:r>
              <w:rPr>
                <w:rFonts w:hint="eastAsia" w:ascii="宋体" w:hAnsi="宋体"/>
                <w:color w:val="auto"/>
                <w:sz w:val="24"/>
                <w:highlight w:val="none"/>
              </w:rPr>
              <w:t>是。按照评审得分由高到低顺序推荐</w:t>
            </w:r>
            <w:r>
              <w:rPr>
                <w:rFonts w:ascii="宋体" w:hAnsi="宋体"/>
                <w:color w:val="auto"/>
                <w:sz w:val="24"/>
                <w:highlight w:val="none"/>
              </w:rPr>
              <w:t>3</w:t>
            </w:r>
            <w:r>
              <w:rPr>
                <w:rFonts w:hint="eastAsia" w:ascii="宋体" w:hAnsi="宋体"/>
                <w:color w:val="auto"/>
                <w:sz w:val="24"/>
                <w:highlight w:val="none"/>
              </w:rPr>
              <w:t>名以上成交候选供应商，并确定排名第一的成交候选人为成交供应商。</w:t>
            </w:r>
          </w:p>
        </w:tc>
      </w:tr>
      <w:tr w14:paraId="532E04C2">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196123E3">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28925250">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7.2</w:t>
            </w:r>
          </w:p>
        </w:tc>
        <w:tc>
          <w:tcPr>
            <w:tcW w:w="1893" w:type="dxa"/>
            <w:tcBorders>
              <w:top w:val="single" w:color="auto" w:sz="6" w:space="0"/>
              <w:left w:val="single" w:color="auto" w:sz="6" w:space="0"/>
              <w:bottom w:val="single" w:color="auto" w:sz="6" w:space="0"/>
              <w:right w:val="single" w:color="auto" w:sz="6" w:space="0"/>
            </w:tcBorders>
            <w:vAlign w:val="center"/>
          </w:tcPr>
          <w:p w14:paraId="5FA9FD9D">
            <w:pPr>
              <w:autoSpaceDE w:val="0"/>
              <w:autoSpaceDN w:val="0"/>
              <w:adjustRightInd w:val="0"/>
              <w:snapToGrid w:val="0"/>
              <w:spacing w:line="240" w:lineRule="auto"/>
              <w:jc w:val="center"/>
              <w:rPr>
                <w:rFonts w:ascii="宋体"/>
                <w:b/>
                <w:color w:val="auto"/>
                <w:sz w:val="24"/>
                <w:highlight w:val="none"/>
              </w:rPr>
            </w:pPr>
            <w:r>
              <w:rPr>
                <w:rFonts w:hint="eastAsia" w:ascii="宋体" w:hAnsi="宋体"/>
                <w:b/>
                <w:color w:val="auto"/>
                <w:sz w:val="24"/>
                <w:highlight w:val="none"/>
              </w:rPr>
              <w:t>成交结果公告</w:t>
            </w:r>
          </w:p>
        </w:tc>
        <w:tc>
          <w:tcPr>
            <w:tcW w:w="6653" w:type="dxa"/>
            <w:tcBorders>
              <w:top w:val="single" w:color="auto" w:sz="6" w:space="0"/>
              <w:left w:val="single" w:color="auto" w:sz="6" w:space="0"/>
              <w:bottom w:val="single" w:color="auto" w:sz="6" w:space="0"/>
              <w:right w:val="single" w:color="auto" w:sz="12" w:space="0"/>
            </w:tcBorders>
            <w:vAlign w:val="center"/>
          </w:tcPr>
          <w:p w14:paraId="4C41BA91">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本次竞争性磋商的成交结果将在成交供应商确定当天在竞争性磋商公告所述媒介公告</w:t>
            </w:r>
            <w:r>
              <w:rPr>
                <w:rFonts w:ascii="宋体" w:hAnsi="宋体"/>
                <w:color w:val="auto"/>
                <w:sz w:val="24"/>
                <w:highlight w:val="none"/>
              </w:rPr>
              <w:t>1</w:t>
            </w:r>
            <w:r>
              <w:rPr>
                <w:rFonts w:hint="eastAsia" w:ascii="宋体" w:hAnsi="宋体"/>
                <w:color w:val="auto"/>
                <w:sz w:val="24"/>
                <w:highlight w:val="none"/>
              </w:rPr>
              <w:t>个工作日。</w:t>
            </w:r>
          </w:p>
        </w:tc>
      </w:tr>
      <w:tr w14:paraId="2BFB96E9">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6638FFD8">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35F020EC">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7.3</w:t>
            </w:r>
          </w:p>
        </w:tc>
        <w:tc>
          <w:tcPr>
            <w:tcW w:w="1893" w:type="dxa"/>
            <w:tcBorders>
              <w:top w:val="single" w:color="auto" w:sz="6" w:space="0"/>
              <w:left w:val="single" w:color="auto" w:sz="6" w:space="0"/>
              <w:bottom w:val="single" w:color="auto" w:sz="6" w:space="0"/>
              <w:right w:val="single" w:color="auto" w:sz="6" w:space="0"/>
            </w:tcBorders>
            <w:vAlign w:val="center"/>
          </w:tcPr>
          <w:p w14:paraId="3455AF05">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质疑</w:t>
            </w:r>
          </w:p>
        </w:tc>
        <w:tc>
          <w:tcPr>
            <w:tcW w:w="6653" w:type="dxa"/>
            <w:tcBorders>
              <w:top w:val="single" w:color="auto" w:sz="6" w:space="0"/>
              <w:left w:val="single" w:color="auto" w:sz="6" w:space="0"/>
              <w:bottom w:val="single" w:color="auto" w:sz="6" w:space="0"/>
              <w:right w:val="single" w:color="auto" w:sz="12" w:space="0"/>
            </w:tcBorders>
            <w:vAlign w:val="center"/>
          </w:tcPr>
          <w:p w14:paraId="2ACB7E47">
            <w:pPr>
              <w:rPr>
                <w:rFonts w:ascii="宋体" w:hAnsi="宋体"/>
                <w:color w:val="auto"/>
                <w:sz w:val="24"/>
                <w:highlight w:val="none"/>
              </w:rPr>
            </w:pPr>
            <w:r>
              <w:rPr>
                <w:rFonts w:hint="eastAsia" w:ascii="宋体" w:hAnsi="宋体"/>
                <w:color w:val="auto"/>
                <w:sz w:val="24"/>
                <w:highlight w:val="none"/>
              </w:rPr>
              <w:t>参与本次采购活动的供应商如有异议，可在各环节法定质疑期内向采购代理机构一次性提出针对该采购程序环节的书面质疑函，书面原件送达至磋商文件列示的采购代理机构及采购单位联系人处；依据法规规定，质疑函应当有明确的请求和必要的证明材料，应当包括下列内容：1、供应商的姓名或者名称、地址、邮编、联系人及联系电话；2、质疑项目的名称、编号；3、具体、明确的质疑事项和与质疑事项相关的请求；4、事实依据；5、必要的法律依据；6、提出质</w:t>
            </w:r>
            <w:r>
              <w:rPr>
                <w:rFonts w:hint="eastAsia" w:ascii="宋体" w:hAnsi="宋体"/>
                <w:bCs/>
                <w:color w:val="auto"/>
                <w:sz w:val="24"/>
                <w:szCs w:val="24"/>
                <w:highlight w:val="none"/>
              </w:rPr>
              <w:t>疑的日期。供应商为自然人的，应当由本人签字；供应商为法人或者其他组织的，应当由法定代表人、主要负责人，或者其授权代表签字或者盖章，并加盖公章。</w:t>
            </w:r>
            <w:r>
              <w:rPr>
                <w:rFonts w:hint="eastAsia" w:ascii="宋体" w:hAnsi="宋体"/>
                <w:color w:val="auto"/>
                <w:sz w:val="24"/>
                <w:highlight w:val="none"/>
              </w:rPr>
              <w:t>如对采购代理机构的答复仍有异议的，可向同级财政局政府采购监督管理办公室提出书面投诉。（具体程序按照《政府采购质疑和投诉办法》执行）。</w:t>
            </w:r>
          </w:p>
        </w:tc>
      </w:tr>
      <w:tr w14:paraId="722EF93E">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291F84BB">
            <w:pPr>
              <w:autoSpaceDE w:val="0"/>
              <w:autoSpaceDN w:val="0"/>
              <w:adjustRightInd w:val="0"/>
              <w:snapToGrid w:val="0"/>
              <w:spacing w:line="240" w:lineRule="auto"/>
              <w:jc w:val="center"/>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0A998DBB">
            <w:pPr>
              <w:autoSpaceDE w:val="0"/>
              <w:autoSpaceDN w:val="0"/>
              <w:adjustRightInd w:val="0"/>
              <w:snapToGrid w:val="0"/>
              <w:spacing w:line="240" w:lineRule="auto"/>
              <w:jc w:val="center"/>
              <w:rPr>
                <w:rFonts w:ascii="宋体" w:cs="楷体_GB2312"/>
                <w:b/>
                <w:bCs/>
                <w:color w:val="auto"/>
                <w:sz w:val="24"/>
                <w:highlight w:val="none"/>
              </w:rPr>
            </w:pPr>
            <w:r>
              <w:rPr>
                <w:rFonts w:ascii="宋体" w:hAnsi="宋体" w:cs="楷体_GB2312"/>
                <w:b/>
                <w:bCs/>
                <w:color w:val="auto"/>
                <w:sz w:val="24"/>
                <w:highlight w:val="none"/>
              </w:rPr>
              <w:t>7.4</w:t>
            </w:r>
          </w:p>
        </w:tc>
        <w:tc>
          <w:tcPr>
            <w:tcW w:w="1893" w:type="dxa"/>
            <w:tcBorders>
              <w:top w:val="single" w:color="auto" w:sz="6" w:space="0"/>
              <w:left w:val="single" w:color="auto" w:sz="6" w:space="0"/>
              <w:bottom w:val="single" w:color="auto" w:sz="6" w:space="0"/>
              <w:right w:val="single" w:color="auto" w:sz="6" w:space="0"/>
            </w:tcBorders>
            <w:vAlign w:val="center"/>
          </w:tcPr>
          <w:p w14:paraId="52274D5E">
            <w:pPr>
              <w:autoSpaceDE w:val="0"/>
              <w:autoSpaceDN w:val="0"/>
              <w:adjustRightInd w:val="0"/>
              <w:snapToGrid w:val="0"/>
              <w:spacing w:line="240" w:lineRule="auto"/>
              <w:jc w:val="center"/>
              <w:rPr>
                <w:rFonts w:ascii="宋体" w:cs="楷体_GB2312"/>
                <w:b/>
                <w:bCs/>
                <w:color w:val="auto"/>
                <w:sz w:val="24"/>
                <w:highlight w:val="none"/>
              </w:rPr>
            </w:pPr>
            <w:r>
              <w:rPr>
                <w:rFonts w:hint="eastAsia" w:ascii="宋体" w:hAnsi="宋体" w:cs="楷体_GB2312"/>
                <w:b/>
                <w:bCs/>
                <w:color w:val="auto"/>
                <w:sz w:val="24"/>
                <w:highlight w:val="none"/>
              </w:rPr>
              <w:t>成交通知书</w:t>
            </w:r>
          </w:p>
        </w:tc>
        <w:tc>
          <w:tcPr>
            <w:tcW w:w="6653" w:type="dxa"/>
            <w:tcBorders>
              <w:top w:val="single" w:color="auto" w:sz="6" w:space="0"/>
              <w:left w:val="single" w:color="auto" w:sz="6" w:space="0"/>
              <w:bottom w:val="single" w:color="auto" w:sz="6" w:space="0"/>
              <w:right w:val="single" w:color="auto" w:sz="12" w:space="0"/>
            </w:tcBorders>
            <w:vAlign w:val="center"/>
          </w:tcPr>
          <w:p w14:paraId="2A004BFD">
            <w:pPr>
              <w:adjustRightInd w:val="0"/>
              <w:snapToGrid w:val="0"/>
              <w:spacing w:before="120" w:beforeLines="50" w:line="240" w:lineRule="auto"/>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采购代理机构在成交供应商确定当天向成交供应商发出成交通知书。成交供应商应凭缴费凭证及时领取成交通知书。</w:t>
            </w:r>
          </w:p>
        </w:tc>
      </w:tr>
      <w:tr w14:paraId="4E8B85B5">
        <w:tblPrEx>
          <w:tblCellMar>
            <w:top w:w="0" w:type="dxa"/>
            <w:left w:w="108" w:type="dxa"/>
            <w:bottom w:w="0" w:type="dxa"/>
            <w:right w:w="108" w:type="dxa"/>
          </w:tblCellMar>
        </w:tblPrEx>
        <w:trPr>
          <w:trHeight w:val="453" w:hRule="atLeast"/>
          <w:jc w:val="center"/>
        </w:trPr>
        <w:tc>
          <w:tcPr>
            <w:tcW w:w="508" w:type="dxa"/>
            <w:vMerge w:val="restart"/>
            <w:tcBorders>
              <w:left w:val="single" w:color="auto" w:sz="12" w:space="0"/>
              <w:right w:val="single" w:color="auto" w:sz="6" w:space="0"/>
            </w:tcBorders>
          </w:tcPr>
          <w:p w14:paraId="72D00791">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第三章</w:t>
            </w:r>
          </w:p>
        </w:tc>
        <w:tc>
          <w:tcPr>
            <w:tcW w:w="699" w:type="dxa"/>
            <w:tcBorders>
              <w:top w:val="single" w:color="auto" w:sz="6" w:space="0"/>
              <w:left w:val="single" w:color="auto" w:sz="12" w:space="0"/>
              <w:bottom w:val="single" w:color="auto" w:sz="6" w:space="0"/>
              <w:right w:val="single" w:color="auto" w:sz="6" w:space="0"/>
            </w:tcBorders>
            <w:vAlign w:val="center"/>
          </w:tcPr>
          <w:p w14:paraId="4F0690FD">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7.5</w:t>
            </w:r>
          </w:p>
        </w:tc>
        <w:tc>
          <w:tcPr>
            <w:tcW w:w="1893" w:type="dxa"/>
            <w:tcBorders>
              <w:top w:val="single" w:color="auto" w:sz="6" w:space="0"/>
              <w:left w:val="single" w:color="auto" w:sz="6" w:space="0"/>
              <w:bottom w:val="single" w:color="auto" w:sz="6" w:space="0"/>
              <w:right w:val="single" w:color="auto" w:sz="6" w:space="0"/>
            </w:tcBorders>
            <w:vAlign w:val="center"/>
          </w:tcPr>
          <w:p w14:paraId="3C785F29">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653" w:type="dxa"/>
            <w:tcBorders>
              <w:top w:val="single" w:color="auto" w:sz="6" w:space="0"/>
              <w:left w:val="single" w:color="auto" w:sz="6" w:space="0"/>
              <w:bottom w:val="single" w:color="auto" w:sz="6" w:space="0"/>
              <w:right w:val="single" w:color="auto" w:sz="12" w:space="0"/>
            </w:tcBorders>
            <w:vAlign w:val="center"/>
          </w:tcPr>
          <w:p w14:paraId="1AD0A50F">
            <w:pPr>
              <w:widowControl w:val="0"/>
              <w:snapToGrid w:val="0"/>
              <w:spacing w:before="120" w:beforeLines="50" w:line="240" w:lineRule="auto"/>
              <w:rPr>
                <w:color w:val="auto"/>
                <w:sz w:val="24"/>
                <w:szCs w:val="24"/>
                <w:highlight w:val="none"/>
              </w:rPr>
            </w:pPr>
            <w:r>
              <w:rPr>
                <w:rFonts w:hint="eastAsia"/>
                <w:color w:val="auto"/>
                <w:sz w:val="24"/>
                <w:szCs w:val="24"/>
                <w:highlight w:val="none"/>
              </w:rPr>
              <w:t>不需缴纳</w:t>
            </w:r>
          </w:p>
        </w:tc>
      </w:tr>
      <w:tr w14:paraId="36A83C5D">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7CD60D27">
            <w:pPr>
              <w:autoSpaceDE w:val="0"/>
              <w:autoSpaceDN w:val="0"/>
              <w:adjustRightInd w:val="0"/>
              <w:snapToGrid w:val="0"/>
              <w:spacing w:line="240" w:lineRule="auto"/>
              <w:jc w:val="center"/>
              <w:rPr>
                <w:rFonts w:ascii="宋体" w:cs="楷体_GB2312"/>
                <w:b/>
                <w:bCs/>
                <w:color w:val="auto"/>
                <w:sz w:val="24"/>
                <w:highlight w:val="none"/>
                <w:lang w:val="zh-CN"/>
              </w:rPr>
            </w:pPr>
          </w:p>
        </w:tc>
        <w:tc>
          <w:tcPr>
            <w:tcW w:w="699" w:type="dxa"/>
            <w:tcBorders>
              <w:top w:val="single" w:color="auto" w:sz="6" w:space="0"/>
              <w:left w:val="single" w:color="auto" w:sz="12" w:space="0"/>
              <w:bottom w:val="single" w:color="auto" w:sz="6" w:space="0"/>
              <w:right w:val="single" w:color="auto" w:sz="6" w:space="0"/>
            </w:tcBorders>
            <w:vAlign w:val="center"/>
          </w:tcPr>
          <w:p w14:paraId="67CBC301">
            <w:pPr>
              <w:autoSpaceDE w:val="0"/>
              <w:autoSpaceDN w:val="0"/>
              <w:adjustRightInd w:val="0"/>
              <w:snapToGrid w:val="0"/>
              <w:spacing w:line="240" w:lineRule="auto"/>
              <w:jc w:val="center"/>
              <w:rPr>
                <w:rFonts w:ascii="宋体" w:cs="楷体_GB2312"/>
                <w:b/>
                <w:bCs/>
                <w:color w:val="auto"/>
                <w:sz w:val="24"/>
                <w:highlight w:val="none"/>
                <w:lang w:val="zh-CN"/>
              </w:rPr>
            </w:pPr>
            <w:r>
              <w:rPr>
                <w:rFonts w:ascii="宋体" w:hAnsi="宋体" w:cs="楷体_GB2312"/>
                <w:b/>
                <w:bCs/>
                <w:color w:val="auto"/>
                <w:sz w:val="24"/>
                <w:highlight w:val="none"/>
                <w:lang w:val="zh-CN"/>
              </w:rPr>
              <w:t>8</w:t>
            </w:r>
          </w:p>
        </w:tc>
        <w:tc>
          <w:tcPr>
            <w:tcW w:w="1893" w:type="dxa"/>
            <w:tcBorders>
              <w:top w:val="single" w:color="auto" w:sz="6" w:space="0"/>
              <w:left w:val="single" w:color="auto" w:sz="6" w:space="0"/>
              <w:bottom w:val="single" w:color="auto" w:sz="6" w:space="0"/>
              <w:right w:val="single" w:color="auto" w:sz="6" w:space="0"/>
            </w:tcBorders>
            <w:vAlign w:val="center"/>
          </w:tcPr>
          <w:p w14:paraId="1FC6DF0D">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验收</w:t>
            </w:r>
          </w:p>
        </w:tc>
        <w:tc>
          <w:tcPr>
            <w:tcW w:w="6653" w:type="dxa"/>
            <w:tcBorders>
              <w:top w:val="single" w:color="auto" w:sz="6" w:space="0"/>
              <w:left w:val="single" w:color="auto" w:sz="6" w:space="0"/>
              <w:bottom w:val="single" w:color="auto" w:sz="6" w:space="0"/>
              <w:right w:val="single" w:color="auto" w:sz="12" w:space="0"/>
            </w:tcBorders>
            <w:vAlign w:val="center"/>
          </w:tcPr>
          <w:p w14:paraId="0F227AC2">
            <w:pPr>
              <w:widowControl w:val="0"/>
              <w:snapToGrid w:val="0"/>
              <w:spacing w:before="120" w:beforeLines="50" w:line="240" w:lineRule="auto"/>
              <w:rPr>
                <w:color w:val="auto"/>
                <w:sz w:val="24"/>
                <w:szCs w:val="24"/>
                <w:highlight w:val="none"/>
              </w:rPr>
            </w:pPr>
            <w:r>
              <w:rPr>
                <w:rFonts w:hint="eastAsia"/>
                <w:color w:val="auto"/>
                <w:sz w:val="24"/>
                <w:szCs w:val="24"/>
                <w:highlight w:val="none"/>
              </w:rPr>
              <w:t>见“第三章供应商须知”相应条款</w:t>
            </w:r>
          </w:p>
        </w:tc>
      </w:tr>
      <w:tr w14:paraId="35DA5E11">
        <w:tblPrEx>
          <w:tblCellMar>
            <w:top w:w="0" w:type="dxa"/>
            <w:left w:w="108" w:type="dxa"/>
            <w:bottom w:w="0" w:type="dxa"/>
            <w:right w:w="108" w:type="dxa"/>
          </w:tblCellMar>
        </w:tblPrEx>
        <w:trPr>
          <w:trHeight w:val="453" w:hRule="atLeast"/>
          <w:jc w:val="center"/>
        </w:trPr>
        <w:tc>
          <w:tcPr>
            <w:tcW w:w="508" w:type="dxa"/>
            <w:vMerge w:val="continue"/>
            <w:tcBorders>
              <w:left w:val="single" w:color="auto" w:sz="12" w:space="0"/>
              <w:right w:val="single" w:color="auto" w:sz="6" w:space="0"/>
            </w:tcBorders>
          </w:tcPr>
          <w:p w14:paraId="7B0F8415">
            <w:pPr>
              <w:autoSpaceDE w:val="0"/>
              <w:autoSpaceDN w:val="0"/>
              <w:adjustRightInd w:val="0"/>
              <w:spacing w:line="36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4BD14B1E">
            <w:pPr>
              <w:autoSpaceDE w:val="0"/>
              <w:autoSpaceDN w:val="0"/>
              <w:adjustRightInd w:val="0"/>
              <w:spacing w:line="360" w:lineRule="auto"/>
              <w:jc w:val="center"/>
              <w:rPr>
                <w:rFonts w:ascii="宋体" w:cs="楷体_GB2312"/>
                <w:b/>
                <w:bCs/>
                <w:color w:val="auto"/>
                <w:sz w:val="24"/>
                <w:highlight w:val="none"/>
              </w:rPr>
            </w:pPr>
            <w:r>
              <w:rPr>
                <w:rFonts w:ascii="宋体" w:hAnsi="宋体" w:cs="楷体_GB2312"/>
                <w:b/>
                <w:bCs/>
                <w:color w:val="auto"/>
                <w:sz w:val="24"/>
                <w:highlight w:val="none"/>
              </w:rPr>
              <w:t>9</w:t>
            </w:r>
          </w:p>
        </w:tc>
        <w:tc>
          <w:tcPr>
            <w:tcW w:w="1893" w:type="dxa"/>
            <w:tcBorders>
              <w:top w:val="single" w:color="auto" w:sz="6" w:space="0"/>
              <w:left w:val="single" w:color="auto" w:sz="6" w:space="0"/>
              <w:bottom w:val="single" w:color="auto" w:sz="6" w:space="0"/>
              <w:right w:val="single" w:color="auto" w:sz="6" w:space="0"/>
            </w:tcBorders>
            <w:vAlign w:val="center"/>
          </w:tcPr>
          <w:p w14:paraId="0ECEC11C">
            <w:pPr>
              <w:autoSpaceDE w:val="0"/>
              <w:autoSpaceDN w:val="0"/>
              <w:adjustRightInd w:val="0"/>
              <w:snapToGrid w:val="0"/>
              <w:spacing w:line="240" w:lineRule="auto"/>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653" w:type="dxa"/>
            <w:tcBorders>
              <w:top w:val="single" w:color="auto" w:sz="6" w:space="0"/>
              <w:left w:val="single" w:color="auto" w:sz="6" w:space="0"/>
              <w:bottom w:val="single" w:color="auto" w:sz="6" w:space="0"/>
              <w:right w:val="single" w:color="auto" w:sz="12" w:space="0"/>
            </w:tcBorders>
            <w:vAlign w:val="center"/>
          </w:tcPr>
          <w:p w14:paraId="3F2F1513">
            <w:pPr>
              <w:snapToGrid w:val="0"/>
              <w:spacing w:before="120" w:beforeLines="50" w:line="240" w:lineRule="auto"/>
              <w:ind w:firstLine="480" w:firstLineChars="200"/>
              <w:rPr>
                <w:color w:val="auto"/>
                <w:sz w:val="24"/>
                <w:szCs w:val="24"/>
                <w:highlight w:val="none"/>
              </w:rPr>
            </w:pPr>
            <w:bookmarkStart w:id="23" w:name="OLE_LINK11"/>
            <w:r>
              <w:rPr>
                <w:rFonts w:hint="eastAsia"/>
                <w:color w:val="auto"/>
                <w:sz w:val="24"/>
                <w:szCs w:val="24"/>
                <w:highlight w:val="none"/>
              </w:rPr>
              <w:t>为优化政府采购营商环境，根据安财购﹝2019﹞8号文件落实政府采购预付款的规定，采购人可在政府采购合同履约前向成交供应商预付</w:t>
            </w:r>
            <w:r>
              <w:rPr>
                <w:color w:val="auto"/>
                <w:sz w:val="24"/>
                <w:szCs w:val="24"/>
                <w:highlight w:val="none"/>
                <w:u w:val="single"/>
              </w:rPr>
              <w:t>30%</w:t>
            </w:r>
            <w:r>
              <w:rPr>
                <w:rFonts w:hint="eastAsia"/>
                <w:color w:val="auto"/>
                <w:sz w:val="24"/>
                <w:szCs w:val="24"/>
                <w:highlight w:val="none"/>
              </w:rPr>
              <w:t>的合同资金，成交供应商应向采购人提交预付款保函，未提供保函的，视同其放弃项目预付款的支付。</w:t>
            </w:r>
          </w:p>
          <w:p w14:paraId="28328570">
            <w:pPr>
              <w:snapToGrid w:val="0"/>
              <w:spacing w:before="120" w:beforeLines="50" w:line="240" w:lineRule="auto"/>
              <w:ind w:firstLine="480" w:firstLineChars="200"/>
              <w:rPr>
                <w:color w:val="auto"/>
                <w:sz w:val="24"/>
                <w:szCs w:val="24"/>
                <w:highlight w:val="none"/>
              </w:rPr>
            </w:pPr>
            <w:r>
              <w:rPr>
                <w:rFonts w:hint="eastAsia"/>
                <w:color w:val="auto"/>
                <w:sz w:val="24"/>
                <w:szCs w:val="24"/>
                <w:highlight w:val="none"/>
              </w:rPr>
              <w:t>为进一步优化营商环境，根据安财购﹝2022﹞8号文件落实政府采购中小企业预付款的规定，采购人可在政府采购合同签订后，向成交供应商原则上预付不低于合同金额50%的预付款，成交供应商应向采购人提交预付款保函，未提供保函的，视同其放弃项目预付款的支付。</w:t>
            </w:r>
          </w:p>
          <w:p w14:paraId="5F31B002">
            <w:pPr>
              <w:widowControl w:val="0"/>
              <w:adjustRightInd w:val="0"/>
              <w:snapToGrid w:val="0"/>
              <w:spacing w:before="120" w:beforeLines="50" w:line="300" w:lineRule="auto"/>
              <w:ind w:firstLine="561"/>
              <w:rPr>
                <w:color w:val="auto"/>
                <w:sz w:val="24"/>
                <w:szCs w:val="24"/>
                <w:highlight w:val="none"/>
              </w:rPr>
            </w:pPr>
            <w:r>
              <w:rPr>
                <w:rFonts w:hint="eastAsia"/>
                <w:color w:val="auto"/>
                <w:sz w:val="24"/>
                <w:szCs w:val="24"/>
                <w:highlight w:val="none"/>
              </w:rPr>
              <w:t>每年服务结算支付一次，采购人需持从“</w:t>
            </w:r>
            <w:r>
              <w:rPr>
                <w:rFonts w:hint="eastAsia"/>
                <w:color w:val="auto"/>
                <w:sz w:val="24"/>
                <w:szCs w:val="24"/>
                <w:highlight w:val="none"/>
                <w:lang w:val="en-US" w:eastAsia="zh-CN"/>
              </w:rPr>
              <w:t>安阳</w:t>
            </w:r>
            <w:r>
              <w:rPr>
                <w:rFonts w:hint="eastAsia"/>
                <w:color w:val="auto"/>
                <w:sz w:val="24"/>
                <w:szCs w:val="24"/>
                <w:highlight w:val="none"/>
              </w:rPr>
              <w:t>市政府采购网”登录系统下载本项目带水印的《</w:t>
            </w:r>
            <w:r>
              <w:rPr>
                <w:rFonts w:hint="eastAsia"/>
                <w:color w:val="auto"/>
                <w:sz w:val="24"/>
                <w:szCs w:val="24"/>
                <w:highlight w:val="none"/>
                <w:lang w:val="en-US" w:eastAsia="zh-CN"/>
              </w:rPr>
              <w:t>安阳</w:t>
            </w:r>
            <w:r>
              <w:rPr>
                <w:rFonts w:hint="eastAsia"/>
                <w:color w:val="auto"/>
                <w:sz w:val="24"/>
                <w:szCs w:val="24"/>
                <w:highlight w:val="none"/>
              </w:rPr>
              <w:t>市市直政府采购资金申请表》和《</w:t>
            </w:r>
            <w:r>
              <w:rPr>
                <w:rFonts w:hint="eastAsia"/>
                <w:color w:val="auto"/>
                <w:sz w:val="24"/>
                <w:szCs w:val="24"/>
                <w:highlight w:val="none"/>
                <w:lang w:val="en-US" w:eastAsia="zh-CN"/>
              </w:rPr>
              <w:t>安阳</w:t>
            </w:r>
            <w:r>
              <w:rPr>
                <w:rFonts w:hint="eastAsia"/>
                <w:color w:val="auto"/>
                <w:sz w:val="24"/>
                <w:szCs w:val="24"/>
                <w:highlight w:val="none"/>
              </w:rPr>
              <w:t>市市直政府采购申报表》，以及《政府采购验收报告》和发票等，作为付款依据，报</w:t>
            </w:r>
            <w:r>
              <w:rPr>
                <w:rFonts w:hint="eastAsia"/>
                <w:color w:val="auto"/>
                <w:sz w:val="24"/>
                <w:szCs w:val="24"/>
                <w:highlight w:val="none"/>
                <w:lang w:val="en-US" w:eastAsia="zh-CN"/>
              </w:rPr>
              <w:t>安阳</w:t>
            </w:r>
            <w:r>
              <w:rPr>
                <w:rFonts w:hint="eastAsia"/>
                <w:color w:val="auto"/>
                <w:sz w:val="24"/>
                <w:szCs w:val="24"/>
                <w:highlight w:val="none"/>
              </w:rPr>
              <w:t>市财政国库支付中心审核确认后</w:t>
            </w:r>
            <w:bookmarkEnd w:id="23"/>
            <w:r>
              <w:rPr>
                <w:rFonts w:hint="eastAsia"/>
                <w:color w:val="auto"/>
                <w:sz w:val="24"/>
                <w:szCs w:val="24"/>
                <w:highlight w:val="none"/>
              </w:rPr>
              <w:t>，根据监管平台统计设备在线率进行考核后按标准付款。</w:t>
            </w:r>
          </w:p>
        </w:tc>
      </w:tr>
      <w:tr w14:paraId="2CFBD922">
        <w:tblPrEx>
          <w:tblCellMar>
            <w:top w:w="0" w:type="dxa"/>
            <w:left w:w="108" w:type="dxa"/>
            <w:bottom w:w="0" w:type="dxa"/>
            <w:right w:w="108" w:type="dxa"/>
          </w:tblCellMar>
        </w:tblPrEx>
        <w:trPr>
          <w:trHeight w:val="453" w:hRule="atLeast"/>
          <w:jc w:val="center"/>
        </w:trPr>
        <w:tc>
          <w:tcPr>
            <w:tcW w:w="508" w:type="dxa"/>
            <w:tcBorders>
              <w:left w:val="single" w:color="auto" w:sz="12" w:space="0"/>
              <w:bottom w:val="single" w:color="auto" w:sz="6" w:space="0"/>
              <w:right w:val="single" w:color="auto" w:sz="6" w:space="0"/>
            </w:tcBorders>
          </w:tcPr>
          <w:p w14:paraId="471CAB90">
            <w:pPr>
              <w:autoSpaceDE w:val="0"/>
              <w:autoSpaceDN w:val="0"/>
              <w:adjustRightInd w:val="0"/>
              <w:spacing w:line="360" w:lineRule="auto"/>
              <w:rPr>
                <w:rFonts w:ascii="宋体" w:cs="楷体_GB2312"/>
                <w:b/>
                <w:bCs/>
                <w:color w:val="auto"/>
                <w:sz w:val="24"/>
                <w:highlight w:val="none"/>
              </w:rPr>
            </w:pPr>
          </w:p>
        </w:tc>
        <w:tc>
          <w:tcPr>
            <w:tcW w:w="699" w:type="dxa"/>
            <w:tcBorders>
              <w:top w:val="single" w:color="auto" w:sz="6" w:space="0"/>
              <w:left w:val="single" w:color="auto" w:sz="12" w:space="0"/>
              <w:bottom w:val="single" w:color="auto" w:sz="6" w:space="0"/>
              <w:right w:val="single" w:color="auto" w:sz="6" w:space="0"/>
            </w:tcBorders>
            <w:vAlign w:val="center"/>
          </w:tcPr>
          <w:p w14:paraId="639FA9CF">
            <w:pPr>
              <w:autoSpaceDE w:val="0"/>
              <w:autoSpaceDN w:val="0"/>
              <w:adjustRightInd w:val="0"/>
              <w:spacing w:line="360" w:lineRule="auto"/>
              <w:jc w:val="center"/>
              <w:rPr>
                <w:rFonts w:ascii="宋体" w:hAnsi="宋体" w:cs="楷体_GB2312"/>
                <w:b/>
                <w:bCs/>
                <w:color w:val="auto"/>
                <w:sz w:val="24"/>
                <w:highlight w:val="none"/>
              </w:rPr>
            </w:pPr>
            <w:r>
              <w:rPr>
                <w:rFonts w:ascii="宋体" w:hAnsi="宋体" w:cs="楷体_GB2312"/>
                <w:b/>
                <w:bCs/>
                <w:color w:val="auto"/>
                <w:sz w:val="24"/>
                <w:highlight w:val="none"/>
              </w:rPr>
              <w:t>10.1</w:t>
            </w:r>
          </w:p>
        </w:tc>
        <w:tc>
          <w:tcPr>
            <w:tcW w:w="1893" w:type="dxa"/>
            <w:tcBorders>
              <w:top w:val="single" w:color="auto" w:sz="6" w:space="0"/>
              <w:left w:val="single" w:color="auto" w:sz="6" w:space="0"/>
              <w:bottom w:val="single" w:color="auto" w:sz="6" w:space="0"/>
              <w:right w:val="single" w:color="auto" w:sz="6" w:space="0"/>
            </w:tcBorders>
            <w:vAlign w:val="center"/>
          </w:tcPr>
          <w:p w14:paraId="6CBC6D52">
            <w:pPr>
              <w:autoSpaceDE w:val="0"/>
              <w:autoSpaceDN w:val="0"/>
              <w:adjustRightInd w:val="0"/>
              <w:snapToGrid w:val="0"/>
              <w:spacing w:line="240" w:lineRule="auto"/>
              <w:jc w:val="center"/>
              <w:rPr>
                <w:rFonts w:ascii="宋体" w:hAnsi="宋体"/>
                <w:b/>
                <w:color w:val="auto"/>
                <w:sz w:val="24"/>
                <w:highlight w:val="none"/>
              </w:rPr>
            </w:pPr>
            <w:r>
              <w:rPr>
                <w:rFonts w:hint="eastAsia" w:ascii="宋体" w:hAnsi="宋体"/>
                <w:b/>
                <w:color w:val="auto"/>
                <w:sz w:val="24"/>
                <w:highlight w:val="none"/>
              </w:rPr>
              <w:t>代理服务费</w:t>
            </w:r>
          </w:p>
        </w:tc>
        <w:tc>
          <w:tcPr>
            <w:tcW w:w="6653" w:type="dxa"/>
            <w:tcBorders>
              <w:top w:val="single" w:color="auto" w:sz="6" w:space="0"/>
              <w:left w:val="single" w:color="auto" w:sz="6" w:space="0"/>
              <w:bottom w:val="single" w:color="auto" w:sz="6" w:space="0"/>
              <w:right w:val="single" w:color="auto" w:sz="12" w:space="0"/>
            </w:tcBorders>
            <w:vAlign w:val="center"/>
          </w:tcPr>
          <w:p w14:paraId="5E206B97">
            <w:pPr>
              <w:adjustRightInd w:val="0"/>
              <w:snapToGrid w:val="0"/>
              <w:spacing w:before="120" w:beforeLines="50" w:line="240" w:lineRule="auto"/>
              <w:rPr>
                <w:rFonts w:ascii="宋体" w:hAnsi="宋体"/>
                <w:color w:val="auto"/>
                <w:sz w:val="24"/>
                <w:highlight w:val="none"/>
              </w:rPr>
            </w:pPr>
            <w:r>
              <w:rPr>
                <w:rFonts w:hint="eastAsia" w:ascii="宋体" w:hAnsi="宋体"/>
                <w:color w:val="auto"/>
                <w:sz w:val="24"/>
                <w:highlight w:val="none"/>
              </w:rPr>
              <w:t>参照国家计委《招标代理服务收费管理暂行办法》（计价格【</w:t>
            </w:r>
            <w:r>
              <w:rPr>
                <w:rFonts w:ascii="宋体" w:hAnsi="宋体"/>
                <w:color w:val="auto"/>
                <w:sz w:val="24"/>
                <w:highlight w:val="none"/>
              </w:rPr>
              <w:t>2002</w:t>
            </w:r>
            <w:r>
              <w:rPr>
                <w:rFonts w:hint="eastAsia" w:ascii="宋体" w:hAnsi="宋体"/>
                <w:color w:val="auto"/>
                <w:sz w:val="24"/>
                <w:highlight w:val="none"/>
              </w:rPr>
              <w:t>】</w:t>
            </w:r>
            <w:r>
              <w:rPr>
                <w:rFonts w:ascii="宋体" w:hAnsi="宋体"/>
                <w:color w:val="auto"/>
                <w:sz w:val="24"/>
                <w:highlight w:val="none"/>
              </w:rPr>
              <w:t>1980</w:t>
            </w:r>
            <w:r>
              <w:rPr>
                <w:rFonts w:hint="eastAsia" w:ascii="宋体" w:hAnsi="宋体"/>
                <w:color w:val="auto"/>
                <w:sz w:val="24"/>
                <w:highlight w:val="none"/>
              </w:rPr>
              <w:t>号）、《国家发展和改革委员会办公厅关于招标代理服务费有关问题的通知》（发改办价格【</w:t>
            </w:r>
            <w:r>
              <w:rPr>
                <w:rFonts w:ascii="宋体" w:hAnsi="宋体"/>
                <w:color w:val="auto"/>
                <w:sz w:val="24"/>
                <w:highlight w:val="none"/>
              </w:rPr>
              <w:t>2003</w:t>
            </w:r>
            <w:r>
              <w:rPr>
                <w:rFonts w:hint="eastAsia" w:ascii="宋体" w:hAnsi="宋体"/>
                <w:color w:val="auto"/>
                <w:sz w:val="24"/>
                <w:highlight w:val="none"/>
              </w:rPr>
              <w:t>】</w:t>
            </w:r>
            <w:r>
              <w:rPr>
                <w:rFonts w:ascii="宋体" w:hAnsi="宋体"/>
                <w:color w:val="auto"/>
                <w:sz w:val="24"/>
                <w:highlight w:val="none"/>
              </w:rPr>
              <w:t>857</w:t>
            </w:r>
            <w:r>
              <w:rPr>
                <w:rFonts w:hint="eastAsia" w:ascii="宋体" w:hAnsi="宋体"/>
                <w:color w:val="auto"/>
                <w:sz w:val="24"/>
                <w:highlight w:val="none"/>
              </w:rPr>
              <w:t>号）及发改价格【</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534</w:t>
            </w:r>
            <w:r>
              <w:rPr>
                <w:rFonts w:hint="eastAsia" w:ascii="宋体" w:hAnsi="宋体"/>
                <w:color w:val="auto"/>
                <w:sz w:val="24"/>
                <w:highlight w:val="none"/>
              </w:rPr>
              <w:t>号文件的规定，招标代理服务费由中标（成交）供应商支付。</w:t>
            </w:r>
          </w:p>
        </w:tc>
      </w:tr>
    </w:tbl>
    <w:p w14:paraId="50652DB8">
      <w:pPr>
        <w:autoSpaceDE w:val="0"/>
        <w:autoSpaceDN w:val="0"/>
        <w:adjustRightInd w:val="0"/>
        <w:spacing w:line="360" w:lineRule="auto"/>
        <w:ind w:firstLine="539"/>
        <w:rPr>
          <w:rFonts w:hint="eastAsia"/>
          <w:color w:val="auto"/>
          <w:highlight w:val="none"/>
        </w:rPr>
      </w:pPr>
      <w:r>
        <w:rPr>
          <w:color w:val="auto"/>
          <w:highlight w:val="none"/>
        </w:rPr>
        <w:br w:type="page"/>
      </w:r>
    </w:p>
    <w:p w14:paraId="102009F9">
      <w:pPr>
        <w:autoSpaceDE w:val="0"/>
        <w:autoSpaceDN w:val="0"/>
        <w:adjustRightInd w:val="0"/>
        <w:spacing w:line="360" w:lineRule="auto"/>
        <w:ind w:firstLine="539"/>
        <w:rPr>
          <w:rFonts w:ascii="黑体" w:hAnsi="黑体" w:eastAsia="黑体"/>
          <w:color w:val="auto"/>
          <w:sz w:val="28"/>
          <w:szCs w:val="28"/>
          <w:highlight w:val="none"/>
          <w:lang w:val="zh-CN"/>
        </w:rPr>
      </w:pPr>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总则</w:t>
      </w:r>
    </w:p>
    <w:p w14:paraId="3050E610">
      <w:pPr>
        <w:autoSpaceDE w:val="0"/>
        <w:autoSpaceDN w:val="0"/>
        <w:adjustRightInd w:val="0"/>
        <w:snapToGrid w:val="0"/>
        <w:spacing w:before="120" w:beforeLines="50" w:line="300" w:lineRule="auto"/>
        <w:ind w:firstLine="539"/>
        <w:rPr>
          <w:rFonts w:ascii="宋体"/>
          <w:color w:val="auto"/>
          <w:sz w:val="24"/>
          <w:szCs w:val="24"/>
          <w:highlight w:val="none"/>
        </w:rPr>
      </w:pPr>
      <w:r>
        <w:rPr>
          <w:rFonts w:ascii="黑体" w:hAnsi="黑体" w:eastAsia="黑体" w:cs="楷体_GB2312"/>
          <w:b/>
          <w:color w:val="auto"/>
          <w:sz w:val="24"/>
          <w:highlight w:val="none"/>
          <w:lang w:val="zh-CN"/>
        </w:rPr>
        <w:t xml:space="preserve">1.1  </w:t>
      </w:r>
      <w:r>
        <w:rPr>
          <w:rFonts w:hint="eastAsia" w:ascii="宋体" w:hAnsi="宋体"/>
          <w:color w:val="auto"/>
          <w:sz w:val="24"/>
          <w:szCs w:val="24"/>
          <w:highlight w:val="none"/>
        </w:rPr>
        <w:t>根据《中华人民共和国政府采购法》、《中华人民共和国政府采购法实施条例》、《政府采购竞争性磋商采购方式管理暂行办法》及相关政府采购法律法规等制定本文件。</w:t>
      </w:r>
    </w:p>
    <w:p w14:paraId="04421A1E">
      <w:pPr>
        <w:adjustRightInd w:val="0"/>
        <w:snapToGrid w:val="0"/>
        <w:spacing w:before="120" w:beforeLines="50" w:line="300" w:lineRule="auto"/>
        <w:ind w:right="240" w:firstLine="482" w:firstLineChars="200"/>
        <w:rPr>
          <w:rFonts w:ascii="黑体" w:hAnsi="黑体" w:eastAsia="黑体" w:cs="楷体_GB2312"/>
          <w:b/>
          <w:color w:val="auto"/>
          <w:sz w:val="24"/>
          <w:highlight w:val="none"/>
        </w:rPr>
      </w:pPr>
      <w:r>
        <w:rPr>
          <w:rFonts w:ascii="黑体" w:hAnsi="黑体" w:eastAsia="黑体" w:cs="楷体_GB2312"/>
          <w:b/>
          <w:color w:val="auto"/>
          <w:sz w:val="24"/>
          <w:highlight w:val="none"/>
        </w:rPr>
        <w:t xml:space="preserve">1.2  </w:t>
      </w:r>
      <w:r>
        <w:rPr>
          <w:rFonts w:hint="eastAsia" w:ascii="黑体" w:hAnsi="黑体" w:eastAsia="黑体" w:cs="楷体_GB2312"/>
          <w:b/>
          <w:color w:val="auto"/>
          <w:sz w:val="24"/>
          <w:highlight w:val="none"/>
          <w:lang w:val="zh-CN"/>
        </w:rPr>
        <w:t>《磋商文件》的法律适用及法律效力</w:t>
      </w:r>
    </w:p>
    <w:p w14:paraId="747522BC">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1.2.1</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所述内容，仅适用于本次项目采购。</w:t>
      </w:r>
    </w:p>
    <w:p w14:paraId="02D0D849">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1.2.2 </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的修改性文件、补充文件、澄清文件或说明具有同等法律效力。</w:t>
      </w:r>
    </w:p>
    <w:p w14:paraId="6A6457A1">
      <w:pPr>
        <w:adjustRightInd w:val="0"/>
        <w:snapToGrid w:val="0"/>
        <w:spacing w:before="120" w:beforeLines="50" w:line="300" w:lineRule="auto"/>
        <w:ind w:right="240" w:firstLine="547" w:firstLineChars="228"/>
        <w:rPr>
          <w:rFonts w:ascii="宋体"/>
          <w:color w:val="auto"/>
          <w:sz w:val="24"/>
          <w:szCs w:val="24"/>
          <w:highlight w:val="none"/>
        </w:rPr>
      </w:pPr>
      <w:r>
        <w:rPr>
          <w:rFonts w:ascii="宋体" w:hAnsi="宋体"/>
          <w:color w:val="auto"/>
          <w:sz w:val="24"/>
          <w:szCs w:val="24"/>
          <w:highlight w:val="none"/>
        </w:rPr>
        <w:t xml:space="preserve">1.2.3 </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适用于并执行《政府采购法》和其它相关的法律、法规。</w:t>
      </w:r>
    </w:p>
    <w:p w14:paraId="1F7EAB45">
      <w:pPr>
        <w:adjustRightInd w:val="0"/>
        <w:snapToGrid w:val="0"/>
        <w:spacing w:before="120" w:beforeLines="50" w:line="300" w:lineRule="auto"/>
        <w:ind w:right="240" w:firstLine="600" w:firstLineChars="250"/>
        <w:rPr>
          <w:rFonts w:ascii="宋体"/>
          <w:color w:val="auto"/>
          <w:sz w:val="24"/>
          <w:szCs w:val="24"/>
          <w:highlight w:val="none"/>
        </w:rPr>
      </w:pPr>
      <w:r>
        <w:rPr>
          <w:rFonts w:ascii="宋体" w:hAnsi="宋体"/>
          <w:color w:val="auto"/>
          <w:sz w:val="24"/>
          <w:szCs w:val="24"/>
          <w:highlight w:val="none"/>
        </w:rPr>
        <w:t xml:space="preserve">1.2.4 </w:t>
      </w:r>
      <w:r>
        <w:rPr>
          <w:rFonts w:hint="eastAsia" w:ascii="宋体" w:hAnsi="宋体"/>
          <w:color w:val="auto"/>
          <w:sz w:val="24"/>
          <w:szCs w:val="24"/>
          <w:highlight w:val="none"/>
        </w:rPr>
        <w:t>本</w:t>
      </w:r>
      <w:r>
        <w:rPr>
          <w:rFonts w:hint="eastAsia" w:ascii="宋体" w:hAnsi="宋体" w:cs="宋体"/>
          <w:color w:val="auto"/>
          <w:sz w:val="24"/>
          <w:szCs w:val="24"/>
          <w:highlight w:val="none"/>
        </w:rPr>
        <w:t>《磋商文件》</w:t>
      </w:r>
      <w:r>
        <w:rPr>
          <w:rFonts w:hint="eastAsia" w:ascii="宋体" w:hAnsi="宋体"/>
          <w:color w:val="auto"/>
          <w:sz w:val="24"/>
          <w:szCs w:val="24"/>
          <w:highlight w:val="none"/>
        </w:rPr>
        <w:t>的解释权属采购人及代理机构。</w:t>
      </w:r>
    </w:p>
    <w:p w14:paraId="2311CE7F">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1.3  </w:t>
      </w:r>
      <w:r>
        <w:rPr>
          <w:rFonts w:hint="eastAsia" w:ascii="黑体" w:hAnsi="黑体" w:eastAsia="黑体" w:cs="楷体_GB2312"/>
          <w:b/>
          <w:color w:val="auto"/>
          <w:sz w:val="24"/>
          <w:highlight w:val="none"/>
          <w:lang w:val="zh-CN"/>
        </w:rPr>
        <w:t>合格的供应商</w:t>
      </w:r>
    </w:p>
    <w:p w14:paraId="19CFF6A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1.3.1 </w:t>
      </w:r>
      <w:r>
        <w:rPr>
          <w:rFonts w:hint="eastAsia" w:ascii="宋体" w:hAnsi="宋体" w:cs="楷体_GB2312"/>
          <w:color w:val="auto"/>
          <w:sz w:val="24"/>
          <w:highlight w:val="none"/>
          <w:lang w:val="zh-CN"/>
        </w:rPr>
        <w:t>凡符合《磋商文件》规定，承认本《磋商文件》所有内容的供应商为合格的供应商。</w:t>
      </w:r>
    </w:p>
    <w:p w14:paraId="7509941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1.3.2 </w:t>
      </w:r>
      <w:r>
        <w:rPr>
          <w:rFonts w:hint="eastAsia" w:ascii="宋体" w:hAnsi="宋体" w:cs="楷体_GB2312"/>
          <w:color w:val="auto"/>
          <w:sz w:val="24"/>
          <w:highlight w:val="none"/>
          <w:lang w:val="zh-CN"/>
        </w:rPr>
        <w:t>单位负责人为同一人或者存在直接控股、管理关系的不同供应商，不得参加同一合同项下的政府采购活动。</w:t>
      </w:r>
    </w:p>
    <w:p w14:paraId="14A19A7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1.3.3 </w:t>
      </w:r>
      <w:r>
        <w:rPr>
          <w:rFonts w:hint="eastAsia" w:ascii="宋体" w:hAnsi="宋体" w:cs="楷体_GB2312"/>
          <w:color w:val="auto"/>
          <w:sz w:val="24"/>
          <w:highlight w:val="none"/>
          <w:lang w:val="zh-CN"/>
        </w:rPr>
        <w:t>为采购项目提供整体设计、规范编制或者项目管理、监理、检测等服务的供应商，不得再参加该采购项目的其他采购活动。</w:t>
      </w:r>
    </w:p>
    <w:p w14:paraId="6A76B30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1.3.4 </w:t>
      </w:r>
      <w:r>
        <w:rPr>
          <w:rFonts w:hint="eastAsia" w:ascii="宋体" w:hAnsi="宋体" w:cs="楷体_GB2312"/>
          <w:color w:val="auto"/>
          <w:sz w:val="24"/>
          <w:highlight w:val="none"/>
          <w:lang w:val="zh-CN"/>
        </w:rPr>
        <w:t>供应商应遵守国家法律、法规和《磋商文件》的规定。</w:t>
      </w:r>
    </w:p>
    <w:p w14:paraId="07CC524E">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1.4</w:t>
      </w:r>
      <w:r>
        <w:rPr>
          <w:rFonts w:hint="eastAsia" w:ascii="黑体" w:hAnsi="黑体" w:eastAsia="黑体" w:cs="楷体_GB2312"/>
          <w:b/>
          <w:color w:val="auto"/>
          <w:sz w:val="24"/>
          <w:highlight w:val="none"/>
          <w:lang w:val="zh-CN"/>
        </w:rPr>
        <w:t>　联合体</w:t>
      </w:r>
    </w:p>
    <w:p w14:paraId="09DA39C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如供应商须知前附表规定接受联合体投标的，应遵守以下规定：</w:t>
      </w:r>
    </w:p>
    <w:p w14:paraId="1513458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w:t>
      </w:r>
      <w:r>
        <w:rPr>
          <w:rFonts w:ascii="宋体" w:cs="楷体_GB2312"/>
          <w:color w:val="auto"/>
          <w:sz w:val="24"/>
          <w:highlight w:val="none"/>
          <w:lang w:val="zh-CN"/>
        </w:rPr>
        <w:t>1</w:t>
      </w:r>
      <w:r>
        <w:rPr>
          <w:rFonts w:hint="eastAsia" w:ascii="宋体" w:cs="楷体_GB2312"/>
          <w:color w:val="auto"/>
          <w:sz w:val="24"/>
          <w:highlight w:val="none"/>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14:paraId="06C4C11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）两个以上供应商可以组成一个投标联合体，以一个供应商的身份投标，但必须确定其中一个单位为投标的全权代表参加投标活动，并承担投标及履约中应承担的全部责任和义务。</w:t>
      </w:r>
    </w:p>
    <w:p w14:paraId="1803682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以联合体形式参加投标的，应符供应商须知前附表的要求，联合体各方均应当符合政府采购法第二十二条第一款规定的条件，联合体各方均应当具备承担采购项目（标段&lt;包&gt;）的相应能力、具备规定的相应资格条件。</w:t>
      </w:r>
    </w:p>
    <w:p w14:paraId="0B56DBF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）联合体中有同类资质的供应商按照联合体分工承担相同工作的，应当按照资质等级较低的供应商确定资质等级。</w:t>
      </w:r>
    </w:p>
    <w:p w14:paraId="3554528E">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）联合体各方之间应当签订联合投标协议，明确约定联合体各方承担的工作和相应的责任，并将联合投标协议连同《响应文件》一并提交采购代理机构。</w:t>
      </w:r>
    </w:p>
    <w:p w14:paraId="5C440C2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）联合体各方签订联合投标协议后，不得再以自己名义单独在同一项目中投标，也不得组成新的联合体参加同一项目投标。</w:t>
      </w:r>
    </w:p>
    <w:p w14:paraId="29FAEE76">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）联合体中标（成交）的，联合体各方应当共同与采购人签订合同，就中标（成交）项目（标段&lt;包&gt;）向采购人承担连带责任。</w:t>
      </w:r>
    </w:p>
    <w:p w14:paraId="3141A2B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（8）预留中小企业份额项目中，</w:t>
      </w:r>
      <w:r>
        <w:rPr>
          <w:rFonts w:hint="eastAsia" w:ascii="宋体" w:hAnsi="宋体"/>
          <w:color w:val="auto"/>
          <w:sz w:val="24"/>
          <w:szCs w:val="24"/>
          <w:highlight w:val="none"/>
        </w:rPr>
        <w:t>组成联合体的中小企业与联合体内其他企业不得存在直接控股、管理关系。</w:t>
      </w:r>
    </w:p>
    <w:p w14:paraId="7FCE620C">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hint="eastAsia" w:ascii="黑体" w:hAnsi="黑体" w:eastAsia="黑体" w:cs="楷体_GB2312"/>
          <w:b/>
          <w:color w:val="auto"/>
          <w:sz w:val="24"/>
          <w:highlight w:val="none"/>
          <w:lang w:val="zh-CN"/>
        </w:rPr>
        <w:t>1.5  知识产权</w:t>
      </w:r>
    </w:p>
    <w:p w14:paraId="164929A4">
      <w:pPr>
        <w:ind w:firstLine="480" w:firstLineChars="200"/>
        <w:rPr>
          <w:rFonts w:ascii="宋体" w:hAnsi="宋体"/>
          <w:color w:val="auto"/>
          <w:sz w:val="24"/>
          <w:highlight w:val="none"/>
        </w:rPr>
      </w:pPr>
      <w:r>
        <w:rPr>
          <w:rFonts w:hint="eastAsia" w:ascii="宋体" w:hAnsi="宋体" w:cs="楷体_GB2312"/>
          <w:color w:val="auto"/>
          <w:sz w:val="24"/>
          <w:highlight w:val="none"/>
          <w:lang w:val="zh-CN"/>
        </w:rPr>
        <w:t>1.5.1 供应商须保证采购人使用投标货物、资料、技术、服务或其任何一部分时，享有不受限制的无偿使用权，不会产生因第三方提出侵犯其专利权、商标权或其它知识产权而引起的法律或经济纠纷。</w:t>
      </w:r>
      <w:r>
        <w:rPr>
          <w:rFonts w:hint="eastAsia" w:ascii="宋体" w:hAnsi="宋体"/>
          <w:color w:val="auto"/>
          <w:sz w:val="24"/>
          <w:highlight w:val="none"/>
        </w:rPr>
        <w:t>如因专利权、商标权或其它知识产权而引起法律和经济纠纷，由供应商承担所有相关责任。</w:t>
      </w:r>
    </w:p>
    <w:p w14:paraId="651B8B70">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如供应商不拥有相应的知识产权，则在投标报价中必须包括合法获取该知识产权的一切相关费用。如因此导致采购人损失的，供应商须承担全部赔偿责任。</w:t>
      </w:r>
    </w:p>
    <w:p w14:paraId="1EBA337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1.5.2供应商将在采购项目实施过程中采用自有或者第三方知识成果的，应当在投标文件中载明，并提供相关知识产权证明文件。使用该知识成果后，供应商需提供开发接口和开发手册等技术资料，并承诺提供无限期支持，采购人享有使用权（含采购人委托第三方在该项目后续开发的使用权）。</w:t>
      </w:r>
    </w:p>
    <w:p w14:paraId="51FCEB9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1.5.3 除非磋商文件特别规定，采购人享有本项目实施过程中产生的知识成果及知识产权。</w:t>
      </w:r>
    </w:p>
    <w:p w14:paraId="2A1D4A0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6</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费用</w:t>
      </w:r>
    </w:p>
    <w:p w14:paraId="22239CA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无论磋商过程中的做法和结果如何，无论何种原因的磋商失败或终止，供应商应自行承担所有与准备和参加磋商有关的全部费用（类比商业采购中的客户洽谈费用），采购代理机构在任何情况下均无义务和责任承担供应商的任何费用。</w:t>
      </w:r>
    </w:p>
    <w:p w14:paraId="0144AAB4">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7</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保密</w:t>
      </w:r>
    </w:p>
    <w:p w14:paraId="29C1319E">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参与竞争性磋商活动的各方应对《磋商文件》和《响应文件》中的商业和技术等秘密保密，供应商应在《响应文件》中对需保密事项予以书面声明，否则视为非保密事项。</w:t>
      </w:r>
    </w:p>
    <w:p w14:paraId="2211A91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7</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依据政府采购成交结果及合同公告规定，成交（合同）标的名称、规格型号、单价及成交（合同）金额等内容不得作为商业秘密。</w:t>
      </w:r>
    </w:p>
    <w:p w14:paraId="4D9388C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8</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语言文字</w:t>
      </w:r>
    </w:p>
    <w:p w14:paraId="56C63F0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专用术语外，与竞争性磋商有关的语言均使用中文。必要时专用术语应附有中文注释。如果《响应文件》或与投标有关的其它文件、信件及来往函电以其它语言书写，供应商应将其译成中文，并对中文译稿的真实、准确、完整承担责任。</w:t>
      </w:r>
    </w:p>
    <w:p w14:paraId="148EF044">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9</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计量单位</w:t>
      </w:r>
    </w:p>
    <w:p w14:paraId="2723F93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所有计量均采用中华人民共和国法定计量单位。</w:t>
      </w:r>
    </w:p>
    <w:p w14:paraId="25641D65">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w:t>
      </w:r>
      <w:r>
        <w:rPr>
          <w:rFonts w:hint="eastAsia" w:ascii="黑体" w:hAnsi="黑体" w:eastAsia="黑体" w:cs="楷体_GB2312"/>
          <w:b/>
          <w:color w:val="auto"/>
          <w:sz w:val="24"/>
          <w:highlight w:val="none"/>
          <w:lang w:val="zh-CN"/>
        </w:rPr>
        <w:t>10</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踏勘现场</w:t>
      </w:r>
    </w:p>
    <w:p w14:paraId="3CF3E54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供应商踏勘现场发生的费用自理，供应商自行负责在踏勘现场中所发生的人员伤亡和财产损失。</w:t>
      </w:r>
    </w:p>
    <w:p w14:paraId="33354DD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供应商须知前附表规定组织踏勘现场的，采购人及代理机构按供应商须知前附表规定的时间、地点组织供应商踏勘项目现场。采购人及代理机构在踏勘现场中介绍的交验安装条件和相关的周边环境情况，供应商在编制《响应文件》时参考，采购人及代理机构不对供应商据此作出的判断和决策负责。</w:t>
      </w:r>
    </w:p>
    <w:p w14:paraId="4C10FF7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10</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供应商须知前附表规定不组织踏勘现场的，《磋商文件》不单独提供交验地自然环境、气候条件、交验安装条件等情况说明，供应商被视为熟悉前述与履行合同有关的一切情况，供应商可自行踏勘现场并自行了解相关情况。</w:t>
      </w:r>
    </w:p>
    <w:p w14:paraId="2703D399">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1</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投标预备会</w:t>
      </w:r>
    </w:p>
    <w:p w14:paraId="2E9A1C7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供应商须知前附表规定召开投标预备会的，采购人及代理机构按供应商须知前附表规定的时间和地点召开投标预备会，澄清供应商提出的问题。</w:t>
      </w:r>
    </w:p>
    <w:p w14:paraId="400CFB32">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供应商应在供应商须知前附表规定的时间前，以书面形式将提出的问题送达采购人及代理机构，以便采购人及代理机构在会议期间澄清。</w:t>
      </w:r>
    </w:p>
    <w:p w14:paraId="61F810C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w:t>
      </w:r>
      <w:r>
        <w:rPr>
          <w:rFonts w:ascii="宋体" w:hAnsi="宋体" w:cs="楷体_GB2312"/>
          <w:color w:val="auto"/>
          <w:sz w:val="24"/>
          <w:highlight w:val="none"/>
          <w:lang w:val="zh-CN"/>
        </w:rPr>
        <w:t xml:space="preserve">.3 </w:t>
      </w:r>
      <w:r>
        <w:rPr>
          <w:rFonts w:hint="eastAsia" w:ascii="宋体" w:hAnsi="宋体" w:cs="楷体_GB2312"/>
          <w:color w:val="auto"/>
          <w:sz w:val="24"/>
          <w:highlight w:val="none"/>
          <w:lang w:val="zh-CN"/>
        </w:rPr>
        <w:t>投标预备会后，采购人及代理机构在供应商须知前附表规定的时间内，将对供应商所提问题的澄清，以本章</w:t>
      </w:r>
      <w:r>
        <w:rPr>
          <w:rFonts w:ascii="宋体" w:hAnsi="宋体" w:cs="楷体_GB2312"/>
          <w:color w:val="auto"/>
          <w:sz w:val="24"/>
          <w:highlight w:val="none"/>
          <w:lang w:val="zh-CN"/>
        </w:rPr>
        <w:t>2.3.2</w:t>
      </w:r>
      <w:r>
        <w:rPr>
          <w:rFonts w:hint="eastAsia" w:ascii="宋体" w:hAnsi="宋体" w:cs="楷体_GB2312"/>
          <w:color w:val="auto"/>
          <w:sz w:val="24"/>
          <w:highlight w:val="none"/>
          <w:lang w:val="zh-CN"/>
        </w:rPr>
        <w:t>项方式通告潜在供应商。该澄清内容为《磋商文件》的组成部分。</w:t>
      </w:r>
    </w:p>
    <w:p w14:paraId="28276E1C">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2</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分包</w:t>
      </w:r>
    </w:p>
    <w:p w14:paraId="7CE1DD1C">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供应商拟在成交后将成交项目</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标段&lt;包&gt;</w:t>
      </w:r>
      <w:r>
        <w:rPr>
          <w:rFonts w:ascii="宋体" w:hAnsi="宋体" w:cs="楷体_GB2312"/>
          <w:color w:val="auto"/>
          <w:sz w:val="24"/>
          <w:highlight w:val="none"/>
          <w:lang w:val="zh-CN"/>
        </w:rPr>
        <w:t>)</w:t>
      </w:r>
      <w:r>
        <w:rPr>
          <w:rFonts w:hint="eastAsia" w:ascii="宋体" w:hAnsi="宋体" w:cs="楷体_GB2312"/>
          <w:color w:val="auto"/>
          <w:sz w:val="24"/>
          <w:highlight w:val="none"/>
          <w:lang w:val="zh-CN"/>
        </w:rPr>
        <w:t>的部分非主体、非关键性工作进行分包的，应符合供应商须知前附表规定的分包内容、分包金额和接受分包的第三人资质要求等限制性条件。</w:t>
      </w:r>
    </w:p>
    <w:p w14:paraId="009C104C">
      <w:pPr>
        <w:autoSpaceDE w:val="0"/>
        <w:autoSpaceDN w:val="0"/>
        <w:adjustRightInd w:val="0"/>
        <w:snapToGrid w:val="0"/>
        <w:spacing w:before="120" w:beforeLines="50" w:line="300" w:lineRule="auto"/>
        <w:ind w:firstLine="539"/>
        <w:rPr>
          <w:rFonts w:ascii="宋体" w:hAnsi="宋体"/>
          <w:color w:val="auto"/>
          <w:sz w:val="24"/>
          <w:szCs w:val="24"/>
          <w:highlight w:val="none"/>
        </w:rPr>
      </w:pPr>
      <w:r>
        <w:rPr>
          <w:rFonts w:hint="eastAsia" w:ascii="宋体" w:hAnsi="宋体" w:cs="楷体_GB2312"/>
          <w:color w:val="auto"/>
          <w:sz w:val="24"/>
          <w:highlight w:val="none"/>
          <w:lang w:val="zh-CN"/>
        </w:rPr>
        <w:t>预留中小企业份额项目中，</w:t>
      </w:r>
      <w:r>
        <w:rPr>
          <w:rFonts w:hint="eastAsia" w:ascii="宋体" w:hAnsi="宋体"/>
          <w:color w:val="auto"/>
          <w:sz w:val="24"/>
          <w:szCs w:val="24"/>
          <w:highlight w:val="none"/>
        </w:rPr>
        <w:t>接受分包合同的中小企业与分包企业之间不得存在直接控股、管理关系</w:t>
      </w:r>
    </w:p>
    <w:p w14:paraId="0CF60AE8">
      <w:pPr>
        <w:autoSpaceDE w:val="0"/>
        <w:autoSpaceDN w:val="0"/>
        <w:adjustRightInd w:val="0"/>
        <w:snapToGrid w:val="0"/>
        <w:spacing w:before="120" w:beforeLines="50" w:line="300" w:lineRule="auto"/>
        <w:ind w:firstLine="539"/>
        <w:rPr>
          <w:rFonts w:ascii="宋体" w:cs="楷体_GB2312"/>
          <w:color w:val="auto"/>
          <w:sz w:val="24"/>
          <w:highlight w:val="none"/>
        </w:rPr>
      </w:pPr>
      <w:r>
        <w:rPr>
          <w:rFonts w:hint="eastAsia" w:ascii="宋体" w:cs="楷体_GB2312"/>
          <w:color w:val="auto"/>
          <w:sz w:val="24"/>
          <w:highlight w:val="none"/>
        </w:rPr>
        <w:t>依法享受扶持政策获得政府采购合同的，小微企业不得将合同分包给大中型企业，中型企业不得将合同分包给大型企业。</w:t>
      </w:r>
    </w:p>
    <w:p w14:paraId="07789992">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1.1</w:t>
      </w:r>
      <w:r>
        <w:rPr>
          <w:rFonts w:hint="eastAsia" w:ascii="黑体" w:hAnsi="黑体" w:eastAsia="黑体" w:cs="楷体_GB2312"/>
          <w:b/>
          <w:color w:val="auto"/>
          <w:sz w:val="24"/>
          <w:highlight w:val="none"/>
          <w:lang w:val="zh-CN"/>
        </w:rPr>
        <w:t>3</w:t>
      </w:r>
      <w:r>
        <w:rPr>
          <w:rFonts w:ascii="黑体" w:hAnsi="黑体" w:eastAsia="黑体" w:cs="楷体_GB2312"/>
          <w:b/>
          <w:color w:val="auto"/>
          <w:sz w:val="24"/>
          <w:highlight w:val="none"/>
          <w:lang w:val="zh-CN"/>
        </w:rPr>
        <w:t xml:space="preserve"> </w:t>
      </w:r>
      <w:r>
        <w:rPr>
          <w:rFonts w:hint="eastAsia" w:ascii="黑体" w:hAnsi="黑体" w:eastAsia="黑体" w:cs="楷体_GB2312"/>
          <w:b/>
          <w:color w:val="auto"/>
          <w:sz w:val="24"/>
          <w:highlight w:val="none"/>
          <w:lang w:val="zh-CN"/>
        </w:rPr>
        <w:t>偏离</w:t>
      </w:r>
    </w:p>
    <w:p w14:paraId="637EAE2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《磋商文件》允许《响应文件》偏离《磋商文件》某些要求的，偏离应当符合《磋商文件》规定的偏离范围和幅度。</w:t>
      </w:r>
    </w:p>
    <w:p w14:paraId="35C6B31B">
      <w:pPr>
        <w:autoSpaceDE w:val="0"/>
        <w:autoSpaceDN w:val="0"/>
        <w:adjustRightInd w:val="0"/>
        <w:snapToGrid w:val="0"/>
        <w:spacing w:before="120" w:beforeLines="50" w:line="300" w:lineRule="auto"/>
        <w:ind w:firstLine="539"/>
        <w:rPr>
          <w:rFonts w:ascii="黑体" w:hAnsi="黑体" w:eastAsia="黑体" w:cs="楷体_GB2312"/>
          <w:b/>
          <w:bCs/>
          <w:color w:val="auto"/>
          <w:sz w:val="28"/>
          <w:szCs w:val="28"/>
          <w:highlight w:val="none"/>
          <w:lang w:val="zh-CN"/>
        </w:rPr>
      </w:pPr>
    </w:p>
    <w:p w14:paraId="13A95676">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4" w:name="_Toc202883068"/>
      <w:r>
        <w:rPr>
          <w:rFonts w:ascii="黑体" w:hAnsi="黑体" w:eastAsia="黑体" w:cs="楷体_GB2312"/>
          <w:b/>
          <w:bCs/>
          <w:color w:val="auto"/>
          <w:sz w:val="28"/>
          <w:szCs w:val="28"/>
          <w:highlight w:val="none"/>
          <w:lang w:val="zh-CN"/>
        </w:rPr>
        <w:t xml:space="preserve">2. </w:t>
      </w:r>
      <w:r>
        <w:rPr>
          <w:rFonts w:hint="eastAsia" w:ascii="黑体" w:hAnsi="黑体" w:eastAsia="黑体" w:cs="楷体_GB2312"/>
          <w:b/>
          <w:bCs/>
          <w:color w:val="auto"/>
          <w:sz w:val="28"/>
          <w:szCs w:val="28"/>
          <w:highlight w:val="none"/>
          <w:lang w:val="zh-CN"/>
        </w:rPr>
        <w:t>《磋商文件》</w:t>
      </w:r>
      <w:bookmarkEnd w:id="24"/>
    </w:p>
    <w:p w14:paraId="1A602EC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2.1</w:t>
      </w:r>
      <w:r>
        <w:rPr>
          <w:rFonts w:hint="eastAsia" w:ascii="黑体" w:hAnsi="黑体" w:eastAsia="黑体" w:cs="楷体_GB2312"/>
          <w:b/>
          <w:color w:val="auto"/>
          <w:sz w:val="24"/>
          <w:highlight w:val="none"/>
          <w:lang w:val="zh-CN"/>
        </w:rPr>
        <w:t>《磋商文件》的组成</w:t>
      </w:r>
      <w:r>
        <w:rPr>
          <w:rFonts w:hint="eastAsia" w:ascii="宋体" w:hAnsi="宋体" w:cs="楷体_GB2312"/>
          <w:color w:val="auto"/>
          <w:sz w:val="24"/>
          <w:highlight w:val="none"/>
          <w:lang w:val="zh-CN"/>
        </w:rPr>
        <w:t>：</w:t>
      </w:r>
    </w:p>
    <w:p w14:paraId="6C547CFE">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2.1.1 </w:t>
      </w:r>
      <w:r>
        <w:rPr>
          <w:rFonts w:hint="eastAsia" w:ascii="宋体" w:hAnsi="宋体" w:cs="楷体_GB2312"/>
          <w:color w:val="auto"/>
          <w:sz w:val="24"/>
          <w:highlight w:val="none"/>
          <w:lang w:val="zh-CN"/>
        </w:rPr>
        <w:t>《磋商文件》用以阐明采购项目的内容、程序和合同主要条款。《磋商文件》由下述部分组成：</w:t>
      </w:r>
    </w:p>
    <w:p w14:paraId="2C5B84C8">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）竞争性磋商公告</w:t>
      </w:r>
    </w:p>
    <w:p w14:paraId="674A50A8">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）采购项目及技术、服务要求</w:t>
      </w:r>
    </w:p>
    <w:p w14:paraId="60FEA4D8">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）供应商须知</w:t>
      </w:r>
    </w:p>
    <w:p w14:paraId="4AC4E99A">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）评审办法</w:t>
      </w:r>
    </w:p>
    <w:p w14:paraId="28C9FF55">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）合同主要条款</w:t>
      </w:r>
    </w:p>
    <w:p w14:paraId="0D5E33F9">
      <w:pPr>
        <w:autoSpaceDE w:val="0"/>
        <w:autoSpaceDN w:val="0"/>
        <w:adjustRightInd w:val="0"/>
        <w:snapToGrid w:val="0"/>
        <w:spacing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）《响应文件》格式</w:t>
      </w:r>
    </w:p>
    <w:p w14:paraId="2C22FB8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2.1.2 </w:t>
      </w:r>
      <w:r>
        <w:rPr>
          <w:rFonts w:hint="eastAsia" w:ascii="宋体" w:hAnsi="宋体" w:cs="楷体_GB2312"/>
          <w:color w:val="auto"/>
          <w:sz w:val="24"/>
          <w:highlight w:val="none"/>
          <w:lang w:val="zh-CN"/>
        </w:rPr>
        <w:t>根据本章第</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1款、第</w:t>
      </w:r>
      <w:r>
        <w:rPr>
          <w:rFonts w:ascii="宋体" w:hAnsi="宋体" w:cs="楷体_GB2312"/>
          <w:color w:val="auto"/>
          <w:sz w:val="24"/>
          <w:highlight w:val="none"/>
          <w:lang w:val="zh-CN"/>
        </w:rPr>
        <w:t>2.2</w:t>
      </w:r>
      <w:r>
        <w:rPr>
          <w:rFonts w:hint="eastAsia" w:ascii="宋体" w:hAnsi="宋体" w:cs="楷体_GB2312"/>
          <w:color w:val="auto"/>
          <w:sz w:val="24"/>
          <w:highlight w:val="none"/>
          <w:lang w:val="zh-CN"/>
        </w:rPr>
        <w:t>款和第</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款、对《磋商文件》的澄清、修改、补充书构成《磋商文件》的组成部分，并取代《磋商文件》中被澄清、修改处，对所有供应商均有约束力。</w:t>
      </w:r>
    </w:p>
    <w:p w14:paraId="7A2A07A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2.1.3 </w:t>
      </w:r>
      <w:r>
        <w:rPr>
          <w:rFonts w:hint="eastAsia" w:ascii="宋体" w:hAnsi="宋体" w:cs="楷体_GB2312"/>
          <w:color w:val="auto"/>
          <w:sz w:val="24"/>
          <w:highlight w:val="none"/>
          <w:lang w:val="zh-CN"/>
        </w:rPr>
        <w:t>当《磋商文件》、《磋商文件》的澄清、修改、补充等在同一内容的表述上不一致时，以最后发出（发布）的文件为准。</w:t>
      </w:r>
    </w:p>
    <w:p w14:paraId="670AAB0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2.1.4 </w:t>
      </w:r>
      <w:r>
        <w:rPr>
          <w:rFonts w:hint="eastAsia" w:ascii="宋体" w:hAnsi="宋体" w:cs="楷体_GB2312"/>
          <w:color w:val="auto"/>
          <w:sz w:val="24"/>
          <w:highlight w:val="none"/>
          <w:lang w:val="zh-CN"/>
        </w:rPr>
        <w:t>供应商与任何人的口头协议不影响《磋商文件》的任何条款和内容。</w:t>
      </w:r>
    </w:p>
    <w:p w14:paraId="40FF8955">
      <w:pPr>
        <w:autoSpaceDE w:val="0"/>
        <w:autoSpaceDN w:val="0"/>
        <w:adjustRightInd w:val="0"/>
        <w:snapToGrid w:val="0"/>
        <w:spacing w:before="120" w:beforeLines="50" w:line="300" w:lineRule="auto"/>
        <w:ind w:firstLine="539"/>
        <w:rPr>
          <w:rFonts w:ascii="宋体" w:cs="楷体_GB2312"/>
          <w:color w:val="auto"/>
          <w:sz w:val="24"/>
          <w:highlight w:val="none"/>
        </w:rPr>
      </w:pPr>
      <w:r>
        <w:rPr>
          <w:rFonts w:ascii="宋体" w:hAnsi="宋体" w:cs="楷体_GB2312"/>
          <w:color w:val="auto"/>
          <w:sz w:val="24"/>
          <w:highlight w:val="none"/>
        </w:rPr>
        <w:t>2.1.5</w:t>
      </w:r>
      <w:r>
        <w:rPr>
          <w:rFonts w:hint="eastAsia" w:ascii="宋体" w:hAnsi="宋体" w:cs="楷体_GB2312"/>
          <w:color w:val="auto"/>
          <w:sz w:val="24"/>
          <w:highlight w:val="none"/>
        </w:rPr>
        <w:t>供应商应仔细阅读和检查《磋商文件》的全部内容是否齐全，如发现缺页或附件不全等遗漏，应及时向采购代理机构提出并索取补齐，否则责任及风险自负。</w:t>
      </w:r>
    </w:p>
    <w:p w14:paraId="32B5012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2.2 </w:t>
      </w:r>
      <w:r>
        <w:rPr>
          <w:rFonts w:hint="eastAsia" w:ascii="黑体" w:hAnsi="黑体" w:eastAsia="黑体" w:cs="楷体_GB2312"/>
          <w:b/>
          <w:color w:val="auto"/>
          <w:sz w:val="24"/>
          <w:highlight w:val="none"/>
          <w:lang w:val="zh-CN"/>
        </w:rPr>
        <w:t>《磋商文件》的澄清</w:t>
      </w:r>
    </w:p>
    <w:p w14:paraId="4B7BE74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2.2.1 </w:t>
      </w:r>
      <w:r>
        <w:rPr>
          <w:rFonts w:hint="eastAsia" w:ascii="宋体" w:hAnsi="宋体" w:cs="楷体_GB2312"/>
          <w:color w:val="auto"/>
          <w:sz w:val="24"/>
          <w:highlight w:val="none"/>
          <w:lang w:val="zh-CN"/>
        </w:rPr>
        <w:t>合规获取《磋商文件》的所有潜在供应商对《磋商文件》如有需澄清的疑问，应在供应商须知前附表规定的时间内按竞争性磋商公告中载明的地址以纸质书面形式通知到采购代理机构。在规定的时间内未提出疑问的，将视为对《磋商文件》的完全认可。</w:t>
      </w:r>
    </w:p>
    <w:p w14:paraId="58384980">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2.2.2 </w:t>
      </w:r>
      <w:r>
        <w:rPr>
          <w:rFonts w:hint="eastAsia" w:ascii="宋体" w:hAnsi="宋体" w:cs="楷体_GB2312"/>
          <w:color w:val="auto"/>
          <w:sz w:val="24"/>
          <w:highlight w:val="none"/>
          <w:lang w:val="zh-CN"/>
        </w:rPr>
        <w:t>采购代理机构对潜在供应商在规定的时间内提出的疑问，将视情况以书面形式予以答复，并在其认为必要时，将不标明查询来源的书面答复，在“竞争性磋商公告”所述媒体通告所有潜在供应商。</w:t>
      </w:r>
    </w:p>
    <w:p w14:paraId="3CDD741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2.2.3 </w:t>
      </w:r>
      <w:r>
        <w:rPr>
          <w:rFonts w:hint="eastAsia" w:ascii="宋体" w:hAnsi="宋体" w:cs="楷体_GB2312"/>
          <w:color w:val="auto"/>
          <w:sz w:val="24"/>
          <w:highlight w:val="none"/>
          <w:lang w:val="zh-CN"/>
        </w:rPr>
        <w:t>《磋商文件》中如有不符合国家有关强制性规定、不符合国家标准及行业标准的，供应商应在投标阶段或成交实施阶段予以纠正或尽提醒义务。如作为有经验的供应商（成交供应商）应当知道而未尽提醒义务的，执行指令而造成的损失及风险由供应商（成交供应商）承担。</w:t>
      </w:r>
    </w:p>
    <w:p w14:paraId="455E2743">
      <w:pPr>
        <w:adjustRightInd w:val="0"/>
        <w:snapToGrid w:val="0"/>
        <w:spacing w:before="120" w:beforeLines="50" w:line="300" w:lineRule="auto"/>
        <w:ind w:firstLine="480" w:firstLineChars="200"/>
        <w:jc w:val="left"/>
        <w:rPr>
          <w:rFonts w:ascii="宋体" w:hAnsi="宋体" w:cs="楷体_GB2312"/>
          <w:color w:val="auto"/>
          <w:sz w:val="24"/>
          <w:highlight w:val="none"/>
          <w:lang w:val="zh-CN"/>
        </w:rPr>
      </w:pPr>
      <w:r>
        <w:rPr>
          <w:rFonts w:ascii="宋体" w:hAnsi="宋体" w:cs="楷体_GB2312"/>
          <w:color w:val="auto"/>
          <w:sz w:val="24"/>
          <w:highlight w:val="none"/>
          <w:lang w:val="zh-CN"/>
        </w:rPr>
        <w:t>2.2.4</w:t>
      </w:r>
      <w:r>
        <w:rPr>
          <w:rFonts w:hint="eastAsia" w:ascii="宋体" w:hAnsi="宋体" w:cs="楷体_GB2312"/>
          <w:color w:val="auto"/>
          <w:sz w:val="24"/>
          <w:highlight w:val="none"/>
          <w:lang w:val="zh-CN"/>
        </w:rPr>
        <w:t>采购代理机构可视情况在投标截止前答疑。</w:t>
      </w:r>
    </w:p>
    <w:p w14:paraId="18CCFCB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2.3 </w:t>
      </w:r>
      <w:r>
        <w:rPr>
          <w:rFonts w:hint="eastAsia" w:ascii="黑体" w:hAnsi="黑体" w:eastAsia="黑体" w:cs="楷体_GB2312"/>
          <w:b/>
          <w:color w:val="auto"/>
          <w:sz w:val="24"/>
          <w:highlight w:val="none"/>
          <w:lang w:val="zh-CN"/>
        </w:rPr>
        <w:t>《磋商文件》的澄清、修改、补充</w:t>
      </w:r>
    </w:p>
    <w:p w14:paraId="5F35EB79">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2.3.1 </w:t>
      </w:r>
      <w:r>
        <w:rPr>
          <w:rFonts w:hint="eastAsia" w:ascii="宋体" w:hAnsi="宋体" w:cs="楷体_GB2312"/>
          <w:color w:val="auto"/>
          <w:sz w:val="24"/>
          <w:highlight w:val="none"/>
          <w:lang w:val="zh-CN"/>
        </w:rPr>
        <w:t>采购人、代理机构在投标截止时间前有权澄清修改、补充已发售的《磋商文件》。</w:t>
      </w:r>
    </w:p>
    <w:p w14:paraId="4252C85A">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s="楷体_GB2312"/>
          <w:color w:val="auto"/>
          <w:sz w:val="24"/>
          <w:highlight w:val="none"/>
          <w:lang w:val="zh-CN"/>
        </w:rPr>
        <w:t>2.3.</w:t>
      </w:r>
      <w:r>
        <w:rPr>
          <w:rFonts w:ascii="宋体" w:hAnsi="宋体"/>
          <w:color w:val="auto"/>
          <w:sz w:val="24"/>
          <w:highlight w:val="none"/>
        </w:rPr>
        <w:t xml:space="preserve">2 </w:t>
      </w:r>
      <w:r>
        <w:rPr>
          <w:rFonts w:hint="eastAsia" w:ascii="宋体" w:hAnsi="宋体"/>
          <w:color w:val="auto"/>
          <w:sz w:val="24"/>
          <w:highlight w:val="none"/>
        </w:rPr>
        <w:t>磋商过程中对《磋商文件》的变动见第四章评审办法</w:t>
      </w:r>
      <w:r>
        <w:rPr>
          <w:rFonts w:ascii="宋体" w:hAnsi="宋体"/>
          <w:color w:val="auto"/>
          <w:sz w:val="24"/>
          <w:highlight w:val="none"/>
        </w:rPr>
        <w:t>3.</w:t>
      </w:r>
      <w:r>
        <w:rPr>
          <w:rFonts w:hint="eastAsia" w:ascii="宋体" w:hAnsi="宋体"/>
          <w:color w:val="auto"/>
          <w:sz w:val="24"/>
          <w:highlight w:val="none"/>
        </w:rPr>
        <w:t>4款磋商规则。</w:t>
      </w:r>
    </w:p>
    <w:p w14:paraId="1C42C1C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2.4 </w:t>
      </w:r>
      <w:r>
        <w:rPr>
          <w:rFonts w:hint="eastAsia" w:ascii="黑体" w:hAnsi="黑体" w:eastAsia="黑体" w:cs="楷体_GB2312"/>
          <w:b/>
          <w:color w:val="auto"/>
          <w:sz w:val="24"/>
          <w:highlight w:val="none"/>
          <w:lang w:val="zh-CN"/>
        </w:rPr>
        <w:t>《磋商文件》的澄清、修改、补充的</w:t>
      </w:r>
      <w:r>
        <w:rPr>
          <w:rFonts w:ascii="黑体" w:hAnsi="黑体" w:eastAsia="黑体" w:cs="楷体_GB2312"/>
          <w:b/>
          <w:color w:val="auto"/>
          <w:sz w:val="24"/>
          <w:highlight w:val="none"/>
          <w:lang w:val="zh-CN"/>
        </w:rPr>
        <w:t>通知</w:t>
      </w:r>
      <w:r>
        <w:rPr>
          <w:rFonts w:hint="eastAsia" w:ascii="黑体" w:hAnsi="黑体" w:eastAsia="黑体" w:cs="楷体_GB2312"/>
          <w:b/>
          <w:color w:val="auto"/>
          <w:sz w:val="24"/>
          <w:highlight w:val="none"/>
          <w:lang w:val="zh-CN"/>
        </w:rPr>
        <w:t>，及</w:t>
      </w:r>
      <w:r>
        <w:rPr>
          <w:rFonts w:ascii="黑体" w:hAnsi="黑体" w:eastAsia="黑体" w:cs="楷体_GB2312"/>
          <w:b/>
          <w:color w:val="auto"/>
          <w:sz w:val="24"/>
          <w:highlight w:val="none"/>
          <w:lang w:val="zh-CN"/>
        </w:rPr>
        <w:t>相应</w:t>
      </w:r>
      <w:r>
        <w:rPr>
          <w:rFonts w:hint="eastAsia" w:ascii="黑体" w:hAnsi="黑体" w:eastAsia="黑体" w:cs="楷体_GB2312"/>
          <w:b/>
          <w:color w:val="auto"/>
          <w:sz w:val="24"/>
          <w:highlight w:val="none"/>
          <w:lang w:val="zh-CN"/>
        </w:rPr>
        <w:t>时间变更</w:t>
      </w:r>
    </w:p>
    <w:p w14:paraId="63CAA97B">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color w:val="auto"/>
          <w:sz w:val="24"/>
          <w:highlight w:val="none"/>
          <w:lang w:val="zh-CN"/>
        </w:rPr>
        <w:t xml:space="preserve">2.4.1 </w:t>
      </w:r>
      <w:r>
        <w:rPr>
          <w:rFonts w:hint="eastAsia" w:ascii="宋体" w:hAnsi="宋体"/>
          <w:color w:val="auto"/>
          <w:sz w:val="24"/>
          <w:highlight w:val="none"/>
        </w:rPr>
        <w:t>《磋商文件》</w:t>
      </w:r>
      <w:r>
        <w:rPr>
          <w:rFonts w:hint="eastAsia" w:ascii="宋体" w:hAnsi="宋体" w:cs="楷体_GB2312"/>
          <w:color w:val="auto"/>
          <w:sz w:val="24"/>
          <w:highlight w:val="none"/>
          <w:lang w:val="zh-CN"/>
        </w:rPr>
        <w:t>在递交截止时间前的所有澄清、修改（包括时间变更等）、补充事项，均在“竞争性磋商公告”所述媒体予以公告。</w:t>
      </w:r>
      <w:r>
        <w:rPr>
          <w:rFonts w:hint="eastAsia" w:ascii="宋体" w:hAnsi="宋体" w:cs="楷体_GB2312"/>
          <w:b/>
          <w:color w:val="auto"/>
          <w:sz w:val="24"/>
          <w:highlight w:val="none"/>
          <w:lang w:val="zh-CN"/>
        </w:rPr>
        <w:t>澄清或修改公告一经在</w:t>
      </w:r>
      <w:r>
        <w:rPr>
          <w:rFonts w:ascii="宋体" w:hAnsi="宋体" w:cs="楷体_GB2312"/>
          <w:b/>
          <w:color w:val="auto"/>
          <w:sz w:val="24"/>
          <w:highlight w:val="none"/>
          <w:lang w:val="zh-CN"/>
        </w:rPr>
        <w:t>法定网</w:t>
      </w:r>
      <w:r>
        <w:rPr>
          <w:rFonts w:hint="eastAsia" w:ascii="宋体" w:hAnsi="宋体" w:cs="楷体_GB2312"/>
          <w:b/>
          <w:color w:val="auto"/>
          <w:sz w:val="24"/>
          <w:highlight w:val="none"/>
          <w:lang w:val="zh-CN"/>
        </w:rPr>
        <w:t>站以</w:t>
      </w:r>
      <w:r>
        <w:rPr>
          <w:rFonts w:ascii="宋体" w:hAnsi="宋体" w:cs="楷体_GB2312"/>
          <w:b/>
          <w:color w:val="auto"/>
          <w:sz w:val="24"/>
          <w:highlight w:val="none"/>
          <w:lang w:val="zh-CN"/>
        </w:rPr>
        <w:t>公</w:t>
      </w:r>
      <w:r>
        <w:rPr>
          <w:rFonts w:hint="eastAsia" w:ascii="宋体" w:hAnsi="宋体" w:cs="楷体_GB2312"/>
          <w:b/>
          <w:color w:val="auto"/>
          <w:sz w:val="24"/>
          <w:highlight w:val="none"/>
          <w:lang w:val="zh-CN"/>
        </w:rPr>
        <w:t>告</w:t>
      </w:r>
      <w:r>
        <w:rPr>
          <w:rFonts w:ascii="宋体" w:hAnsi="宋体" w:cs="楷体_GB2312"/>
          <w:b/>
          <w:color w:val="auto"/>
          <w:sz w:val="24"/>
          <w:highlight w:val="none"/>
          <w:lang w:val="zh-CN"/>
        </w:rPr>
        <w:t>形式</w:t>
      </w:r>
      <w:r>
        <w:rPr>
          <w:rFonts w:hint="eastAsia" w:ascii="宋体" w:hAnsi="宋体" w:cs="楷体_GB2312"/>
          <w:b/>
          <w:color w:val="auto"/>
          <w:sz w:val="24"/>
          <w:highlight w:val="none"/>
          <w:lang w:val="zh-CN"/>
        </w:rPr>
        <w:t>发布，依法视为书面通知，不再另行通知。</w:t>
      </w:r>
    </w:p>
    <w:p w14:paraId="37217C4D">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基于网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w:t>
      </w:r>
      <w:r>
        <w:rPr>
          <w:rFonts w:ascii="宋体" w:hAnsi="宋体" w:cs="楷体_GB2312"/>
          <w:b/>
          <w:color w:val="auto"/>
          <w:sz w:val="24"/>
          <w:highlight w:val="none"/>
          <w:lang w:val="zh-CN"/>
        </w:rPr>
        <w:t>子</w:t>
      </w:r>
      <w:r>
        <w:rPr>
          <w:rFonts w:hint="eastAsia" w:ascii="宋体" w:hAnsi="宋体" w:cs="楷体_GB2312"/>
          <w:b/>
          <w:color w:val="auto"/>
          <w:sz w:val="24"/>
          <w:highlight w:val="none"/>
          <w:lang w:val="zh-CN"/>
        </w:rPr>
        <w:t>交易</w:t>
      </w:r>
      <w:r>
        <w:rPr>
          <w:rFonts w:ascii="宋体" w:hAnsi="宋体" w:cs="楷体_GB2312"/>
          <w:b/>
          <w:color w:val="auto"/>
          <w:sz w:val="24"/>
          <w:highlight w:val="none"/>
          <w:lang w:val="zh-CN"/>
        </w:rPr>
        <w:t>的特点—</w:t>
      </w:r>
      <w:r>
        <w:rPr>
          <w:rFonts w:ascii="宋体" w:cs="楷体_GB2312"/>
          <w:b/>
          <w:color w:val="auto"/>
          <w:sz w:val="24"/>
          <w:highlight w:val="none"/>
          <w:lang w:val="zh-CN"/>
        </w:rPr>
        <w:t>-</w:t>
      </w:r>
      <w:r>
        <w:rPr>
          <w:rFonts w:hint="eastAsia" w:ascii="宋体" w:hAnsi="宋体" w:cs="楷体_GB2312"/>
          <w:b/>
          <w:color w:val="auto"/>
          <w:sz w:val="24"/>
          <w:highlight w:val="none"/>
          <w:lang w:val="zh-CN"/>
        </w:rPr>
        <w:t>无权限获知或通知潜在供应商，潜在供应商应随时关注“竞争性磋商公告”所</w:t>
      </w:r>
      <w:r>
        <w:rPr>
          <w:rFonts w:ascii="宋体" w:hAnsi="宋体" w:cs="楷体_GB2312"/>
          <w:b/>
          <w:color w:val="auto"/>
          <w:sz w:val="24"/>
          <w:highlight w:val="none"/>
          <w:lang w:val="zh-CN"/>
        </w:rPr>
        <w:t>述媒体</w:t>
      </w:r>
      <w:r>
        <w:rPr>
          <w:rFonts w:hint="eastAsia" w:ascii="宋体" w:hAnsi="宋体" w:cs="楷体_GB2312"/>
          <w:b/>
          <w:color w:val="auto"/>
          <w:sz w:val="24"/>
          <w:highlight w:val="none"/>
          <w:lang w:val="zh-CN"/>
        </w:rPr>
        <w:t>相关项目信息（为免各部门网站出现维护等情况，潜在供应商应对“竞争性磋商公告”所述媒体逐一查阅），如有遗漏，后果自负。</w:t>
      </w:r>
    </w:p>
    <w:p w14:paraId="2FEEAF2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2.</w:t>
      </w:r>
      <w:r>
        <w:rPr>
          <w:rFonts w:ascii="宋体" w:cs="楷体_GB2312"/>
          <w:color w:val="auto"/>
          <w:sz w:val="24"/>
          <w:highlight w:val="none"/>
          <w:lang w:val="zh-CN"/>
        </w:rPr>
        <w:t>4</w:t>
      </w:r>
      <w:r>
        <w:rPr>
          <w:rFonts w:hint="eastAsia" w:ascii="宋体" w:cs="楷体_GB2312"/>
          <w:color w:val="auto"/>
          <w:sz w:val="24"/>
          <w:highlight w:val="none"/>
          <w:lang w:val="zh-CN"/>
        </w:rPr>
        <w:t>.2</w:t>
      </w:r>
      <w:r>
        <w:rPr>
          <w:rFonts w:ascii="宋体" w:cs="楷体_GB2312"/>
          <w:color w:val="auto"/>
          <w:sz w:val="24"/>
          <w:highlight w:val="none"/>
          <w:lang w:val="zh-CN"/>
        </w:rPr>
        <w:t xml:space="preserve"> </w:t>
      </w:r>
      <w:r>
        <w:rPr>
          <w:rFonts w:hint="eastAsia" w:ascii="宋体" w:hAnsi="宋体"/>
          <w:color w:val="auto"/>
          <w:sz w:val="24"/>
          <w:highlight w:val="none"/>
        </w:rPr>
        <w:t>《磋商文件》</w:t>
      </w:r>
      <w:r>
        <w:rPr>
          <w:rFonts w:hint="eastAsia" w:ascii="宋体" w:cs="楷体_GB2312"/>
          <w:color w:val="auto"/>
          <w:sz w:val="24"/>
          <w:highlight w:val="none"/>
          <w:lang w:val="zh-CN"/>
        </w:rPr>
        <w:t>的澄清、修改、补充书构成</w:t>
      </w:r>
      <w:r>
        <w:rPr>
          <w:rFonts w:hint="eastAsia" w:ascii="宋体" w:hAnsi="宋体"/>
          <w:color w:val="auto"/>
          <w:sz w:val="24"/>
          <w:highlight w:val="none"/>
        </w:rPr>
        <w:t>《磋商文件》</w:t>
      </w:r>
      <w:r>
        <w:rPr>
          <w:rFonts w:hint="eastAsia" w:ascii="宋体" w:cs="楷体_GB2312"/>
          <w:color w:val="auto"/>
          <w:sz w:val="24"/>
          <w:highlight w:val="none"/>
          <w:lang w:val="zh-CN"/>
        </w:rPr>
        <w:t>的组成部分，并取代</w:t>
      </w:r>
      <w:r>
        <w:rPr>
          <w:rFonts w:hint="eastAsia" w:ascii="宋体" w:hAnsi="宋体"/>
          <w:color w:val="auto"/>
          <w:sz w:val="24"/>
          <w:highlight w:val="none"/>
        </w:rPr>
        <w:t>《磋商文件》</w:t>
      </w:r>
      <w:r>
        <w:rPr>
          <w:rFonts w:hint="eastAsia" w:ascii="宋体" w:cs="楷体_GB2312"/>
          <w:color w:val="auto"/>
          <w:sz w:val="24"/>
          <w:highlight w:val="none"/>
          <w:lang w:val="zh-CN"/>
        </w:rPr>
        <w:t>中被澄清、修改处，对所有供应商均有约束力。</w:t>
      </w:r>
    </w:p>
    <w:p w14:paraId="0D6E3C4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2.4.3 </w:t>
      </w:r>
      <w:r>
        <w:rPr>
          <w:rFonts w:hint="eastAsia" w:ascii="宋体" w:hAnsi="宋体" w:cs="楷体_GB2312"/>
          <w:color w:val="auto"/>
          <w:sz w:val="24"/>
          <w:highlight w:val="none"/>
          <w:lang w:val="zh-CN"/>
        </w:rPr>
        <w:t>如果提交首次《响应文件》截止时间前的澄清修改补充发出的时间不满足供应商须知前附表规定时间，并且澄清修改补充内容影响《响应文件》编制的，代理机构可视采购具体情况延长投标截止时间和开标时间，并将在“竞争性磋商公告”所述媒体予以公告。</w:t>
      </w:r>
    </w:p>
    <w:p w14:paraId="5A95A07C">
      <w:pPr>
        <w:autoSpaceDE w:val="0"/>
        <w:autoSpaceDN w:val="0"/>
        <w:adjustRightInd w:val="0"/>
        <w:snapToGrid w:val="0"/>
        <w:spacing w:before="120" w:beforeLines="50" w:line="300" w:lineRule="auto"/>
        <w:rPr>
          <w:rFonts w:ascii="宋体" w:cs="楷体_GB2312"/>
          <w:color w:val="auto"/>
          <w:sz w:val="24"/>
          <w:highlight w:val="none"/>
        </w:rPr>
      </w:pPr>
    </w:p>
    <w:p w14:paraId="3B15C766">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5" w:name="_Toc202883069"/>
      <w:r>
        <w:rPr>
          <w:rFonts w:ascii="黑体" w:hAnsi="黑体" w:eastAsia="黑体" w:cs="楷体_GB2312"/>
          <w:b/>
          <w:bCs/>
          <w:color w:val="auto"/>
          <w:sz w:val="28"/>
          <w:szCs w:val="28"/>
          <w:highlight w:val="none"/>
          <w:lang w:val="zh-CN"/>
        </w:rPr>
        <w:t xml:space="preserve">3. </w:t>
      </w:r>
      <w:r>
        <w:rPr>
          <w:rFonts w:hint="eastAsia" w:ascii="黑体" w:hAnsi="黑体" w:eastAsia="黑体" w:cs="楷体_GB2312"/>
          <w:b/>
          <w:bCs/>
          <w:color w:val="auto"/>
          <w:sz w:val="28"/>
          <w:szCs w:val="28"/>
          <w:highlight w:val="none"/>
          <w:lang w:val="zh-CN"/>
        </w:rPr>
        <w:t>《响应文件》</w:t>
      </w:r>
      <w:bookmarkEnd w:id="25"/>
    </w:p>
    <w:p w14:paraId="3FF7FBC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3.1</w:t>
      </w:r>
      <w:r>
        <w:rPr>
          <w:rFonts w:hint="eastAsia" w:ascii="宋体" w:hAnsi="宋体" w:cs="楷体_GB2312"/>
          <w:color w:val="auto"/>
          <w:sz w:val="24"/>
          <w:highlight w:val="none"/>
          <w:lang w:val="zh-CN"/>
        </w:rPr>
        <w:t>　供应商应仔细阅读《磋商文件》的所有内容，按《磋商文件》的要求提供《响应文件》，并保证所提供全部资料的真实性。《响应文件》应对《磋商文件》实质性要求作出实质性响应。磋商小组对《响应文件》的有效性、完整性和响应程度进行审查，不满足实质性要求的为</w:t>
      </w:r>
      <w:r>
        <w:rPr>
          <w:rFonts w:hint="eastAsia" w:ascii="宋体" w:hAnsi="宋体" w:cs="楷体_GB2312"/>
          <w:b/>
          <w:color w:val="auto"/>
          <w:sz w:val="24"/>
          <w:highlight w:val="none"/>
          <w:lang w:val="zh-CN"/>
        </w:rPr>
        <w:t>无效文件</w:t>
      </w:r>
      <w:r>
        <w:rPr>
          <w:rFonts w:hint="eastAsia" w:ascii="宋体" w:hAnsi="宋体" w:cs="楷体_GB2312"/>
          <w:color w:val="auto"/>
          <w:sz w:val="24"/>
          <w:highlight w:val="none"/>
          <w:lang w:val="zh-CN"/>
        </w:rPr>
        <w:t>。</w:t>
      </w:r>
    </w:p>
    <w:p w14:paraId="4D84C56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3.2 </w:t>
      </w:r>
      <w:r>
        <w:rPr>
          <w:rFonts w:hint="eastAsia" w:ascii="黑体" w:hAnsi="黑体" w:eastAsia="黑体" w:cs="楷体_GB2312"/>
          <w:b/>
          <w:color w:val="auto"/>
          <w:sz w:val="24"/>
          <w:highlight w:val="none"/>
          <w:lang w:val="zh-CN"/>
        </w:rPr>
        <w:t>《响应文件》的组成</w:t>
      </w:r>
    </w:p>
    <w:p w14:paraId="1E763C8D">
      <w:pPr>
        <w:adjustRightInd w:val="0"/>
        <w:snapToGrid w:val="0"/>
        <w:spacing w:before="120" w:beforeLines="50" w:line="300" w:lineRule="auto"/>
        <w:ind w:firstLine="539"/>
        <w:textAlignment w:val="top"/>
        <w:rPr>
          <w:rFonts w:ascii="宋体" w:cs="楷体_GB2312"/>
          <w:color w:val="auto"/>
          <w:sz w:val="24"/>
          <w:highlight w:val="none"/>
          <w:lang w:val="zh-CN"/>
        </w:rPr>
      </w:pPr>
      <w:r>
        <w:rPr>
          <w:rFonts w:ascii="宋体" w:hAnsi="宋体" w:cs="楷体_GB2312"/>
          <w:color w:val="auto"/>
          <w:sz w:val="24"/>
          <w:highlight w:val="none"/>
          <w:lang w:val="zh-CN"/>
        </w:rPr>
        <w:t xml:space="preserve">3.2.1 </w:t>
      </w:r>
      <w:r>
        <w:rPr>
          <w:rFonts w:hint="eastAsia" w:ascii="宋体" w:hAnsi="宋体" w:cs="楷体_GB2312"/>
          <w:color w:val="auto"/>
          <w:sz w:val="24"/>
          <w:highlight w:val="none"/>
          <w:lang w:val="zh-CN"/>
        </w:rPr>
        <w:t>《响应文件》组成如有缺项，磋商小组按照实质性判断原则（实质性要求和实质性响应两因素）、有权视情况将其作无效响应处理，供应商自负此项风险；《响应文件》组成内容未对《磋商文件》实质性要求作出实质性响应，磋商小组按照实质性判断原则、视情况将其作无效响应处理，供应商自负此项风险</w:t>
      </w:r>
    </w:p>
    <w:p w14:paraId="06BC007E">
      <w:pPr>
        <w:adjustRightInd w:val="0"/>
        <w:snapToGrid w:val="0"/>
        <w:spacing w:before="120" w:beforeLines="50" w:line="300" w:lineRule="auto"/>
        <w:ind w:firstLine="539"/>
        <w:textAlignment w:val="top"/>
        <w:rPr>
          <w:color w:val="auto"/>
          <w:sz w:val="24"/>
          <w:szCs w:val="24"/>
          <w:highlight w:val="none"/>
        </w:rPr>
      </w:pPr>
      <w:r>
        <w:rPr>
          <w:color w:val="auto"/>
          <w:sz w:val="24"/>
          <w:szCs w:val="24"/>
          <w:highlight w:val="none"/>
        </w:rPr>
        <w:t>3.2.2</w:t>
      </w:r>
      <w:r>
        <w:rPr>
          <w:rFonts w:hint="eastAsia"/>
          <w:color w:val="auto"/>
          <w:sz w:val="24"/>
          <w:szCs w:val="24"/>
          <w:highlight w:val="none"/>
        </w:rPr>
        <w:t>《响应文件》应包括下列内容：</w:t>
      </w:r>
    </w:p>
    <w:p w14:paraId="440454A0">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1CEAB38D">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color w:val="auto"/>
          <w:sz w:val="24"/>
          <w:highlight w:val="none"/>
        </w:rPr>
        <w:t>开标一览表（即交易系统中报价一览表）</w:t>
      </w:r>
    </w:p>
    <w:p w14:paraId="003A0202">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）第一次报价明细表</w:t>
      </w:r>
    </w:p>
    <w:p w14:paraId="2EAA0117">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）服务方案及服务质量承诺</w:t>
      </w:r>
    </w:p>
    <w:p w14:paraId="462DA6A8">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）服务拟投入设备清单及其技术参数</w:t>
      </w:r>
    </w:p>
    <w:p w14:paraId="7CA676DC">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）服务拟投入的人员情况表</w:t>
      </w:r>
    </w:p>
    <w:p w14:paraId="1A8D3C38">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）偏差表</w:t>
      </w:r>
    </w:p>
    <w:p w14:paraId="71175CE8">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2D521E70">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58E516AC">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color w:val="auto"/>
          <w:sz w:val="24"/>
          <w:highlight w:val="none"/>
        </w:rPr>
        <w:t>履约承诺书。</w:t>
      </w:r>
    </w:p>
    <w:p w14:paraId="431466A8">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）资格要求相关证明材料（文件）</w:t>
      </w:r>
    </w:p>
    <w:p w14:paraId="38EA874A">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）采购项目及服务要求所需的其他材料（按条款需要）</w:t>
      </w:r>
    </w:p>
    <w:p w14:paraId="5222ACF3">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13</w:t>
      </w:r>
      <w:r>
        <w:rPr>
          <w:rFonts w:hint="eastAsia"/>
          <w:color w:val="auto"/>
          <w:sz w:val="24"/>
          <w:highlight w:val="none"/>
        </w:rPr>
        <w:t>）供应商须知所需的其他材料（按条款需要）</w:t>
      </w:r>
    </w:p>
    <w:p w14:paraId="721D2043">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14</w:t>
      </w:r>
      <w:r>
        <w:rPr>
          <w:rFonts w:hint="eastAsia"/>
          <w:color w:val="auto"/>
          <w:sz w:val="24"/>
          <w:highlight w:val="none"/>
        </w:rPr>
        <w:t>）评审办法所需的其他材料（按条款需要）</w:t>
      </w:r>
    </w:p>
    <w:p w14:paraId="536479FB">
      <w:pPr>
        <w:autoSpaceDE w:val="0"/>
        <w:autoSpaceDN w:val="0"/>
        <w:adjustRightInd w:val="0"/>
        <w:snapToGrid w:val="0"/>
        <w:spacing w:line="300" w:lineRule="auto"/>
        <w:ind w:firstLine="520" w:firstLineChars="217"/>
        <w:rPr>
          <w:rFonts w:asci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供应商认为有必要提交的其它材料</w:t>
      </w:r>
    </w:p>
    <w:p w14:paraId="63C771DC">
      <w:pPr>
        <w:topLinePunct/>
        <w:adjustRightInd w:val="0"/>
        <w:snapToGrid w:val="0"/>
        <w:spacing w:line="300" w:lineRule="auto"/>
        <w:ind w:left="561" w:leftChars="267" w:firstLine="120" w:firstLineChars="50"/>
        <w:rPr>
          <w:rFonts w:ascii="宋体" w:cs="楷体_GB2312"/>
          <w:color w:val="auto"/>
          <w:sz w:val="24"/>
          <w:highlight w:val="none"/>
          <w:lang w:val="zh-CN"/>
        </w:rPr>
      </w:pPr>
    </w:p>
    <w:p w14:paraId="616E5EA9">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3.2.3</w:t>
      </w:r>
      <w:r>
        <w:rPr>
          <w:rFonts w:hint="eastAsia" w:ascii="宋体" w:hAnsi="宋体" w:cs="楷体_GB2312"/>
          <w:color w:val="auto"/>
          <w:sz w:val="24"/>
          <w:highlight w:val="none"/>
          <w:lang w:val="zh-CN"/>
        </w:rPr>
        <w:t>按照本章第</w:t>
      </w:r>
      <w:r>
        <w:rPr>
          <w:rFonts w:ascii="宋体" w:hAnsi="宋体" w:cs="楷体_GB2312"/>
          <w:color w:val="auto"/>
          <w:sz w:val="24"/>
          <w:highlight w:val="none"/>
          <w:lang w:val="zh-CN"/>
        </w:rPr>
        <w:t>4.3</w:t>
      </w:r>
      <w:r>
        <w:rPr>
          <w:rFonts w:hint="eastAsia" w:ascii="宋体" w:hAnsi="宋体" w:cs="楷体_GB2312"/>
          <w:color w:val="auto"/>
          <w:sz w:val="24"/>
          <w:highlight w:val="none"/>
          <w:lang w:val="zh-CN"/>
        </w:rPr>
        <w:t>款、第四章第</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3款规定，对《响应文件》的补充、修改、澄清、说明或者更正构成《响应文件》的组成部分，</w:t>
      </w:r>
    </w:p>
    <w:p w14:paraId="6C742823">
      <w:pPr>
        <w:topLinePunct/>
        <w:adjustRightInd w:val="0"/>
        <w:snapToGrid w:val="0"/>
        <w:spacing w:before="120" w:beforeLines="50" w:line="300" w:lineRule="auto"/>
        <w:ind w:firstLine="566" w:firstLineChars="235"/>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3.3 </w:t>
      </w:r>
      <w:r>
        <w:rPr>
          <w:rFonts w:hint="eastAsia" w:ascii="黑体" w:hAnsi="黑体" w:eastAsia="黑体" w:cs="楷体_GB2312"/>
          <w:b/>
          <w:color w:val="auto"/>
          <w:sz w:val="24"/>
          <w:highlight w:val="none"/>
          <w:lang w:val="zh-CN"/>
        </w:rPr>
        <w:t>磋商报价</w:t>
      </w:r>
      <w:r>
        <w:rPr>
          <w:rFonts w:hint="eastAsia" w:ascii="宋体" w:hAnsi="宋体" w:cs="楷体_GB2312"/>
          <w:color w:val="auto"/>
          <w:sz w:val="24"/>
          <w:highlight w:val="none"/>
          <w:lang w:val="zh-CN"/>
        </w:rPr>
        <w:t>（价格构成）：见第二章</w:t>
      </w:r>
      <w:r>
        <w:rPr>
          <w:rFonts w:ascii="宋体" w:hAnsi="宋体" w:cs="楷体_GB2312"/>
          <w:color w:val="auto"/>
          <w:sz w:val="24"/>
          <w:highlight w:val="none"/>
          <w:lang w:val="zh-CN"/>
        </w:rPr>
        <w:t>1.3</w:t>
      </w:r>
      <w:r>
        <w:rPr>
          <w:rFonts w:hint="eastAsia" w:ascii="宋体" w:hAnsi="宋体" w:cs="楷体_GB2312"/>
          <w:color w:val="auto"/>
          <w:sz w:val="24"/>
          <w:highlight w:val="none"/>
          <w:lang w:val="zh-CN"/>
        </w:rPr>
        <w:t>款。</w:t>
      </w:r>
    </w:p>
    <w:p w14:paraId="3555AC33">
      <w:pPr>
        <w:topLinePunct/>
        <w:adjustRightInd w:val="0"/>
        <w:snapToGrid w:val="0"/>
        <w:spacing w:before="120"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3.4 </w:t>
      </w:r>
      <w:r>
        <w:rPr>
          <w:rFonts w:hint="eastAsia" w:ascii="黑体" w:hAnsi="黑体" w:eastAsia="黑体" w:cs="楷体_GB2312"/>
          <w:b/>
          <w:color w:val="auto"/>
          <w:sz w:val="24"/>
          <w:highlight w:val="none"/>
          <w:lang w:val="zh-CN"/>
        </w:rPr>
        <w:t>响应有效期</w:t>
      </w:r>
    </w:p>
    <w:p w14:paraId="123EFCA4">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3.4.1</w:t>
      </w:r>
      <w:r>
        <w:rPr>
          <w:rFonts w:hint="eastAsia" w:ascii="宋体" w:hAnsi="宋体" w:cs="楷体_GB2312"/>
          <w:color w:val="auto"/>
          <w:sz w:val="24"/>
          <w:highlight w:val="none"/>
          <w:lang w:val="zh-CN"/>
        </w:rPr>
        <w:t>响应有效期见供应商须知前附表。《响应文件》在响应有效期内保持不变（包括价格等《响应文件》各项条款）。</w:t>
      </w:r>
    </w:p>
    <w:p w14:paraId="64CA89E4">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3.4.2</w:t>
      </w:r>
      <w:r>
        <w:rPr>
          <w:rFonts w:hint="eastAsia" w:ascii="宋体" w:hAnsi="宋体" w:cs="楷体_GB2312"/>
          <w:color w:val="auto"/>
          <w:sz w:val="24"/>
          <w:highlight w:val="none"/>
          <w:lang w:val="zh-CN"/>
        </w:rPr>
        <w:t>在响应有效期内，供应商撤销或修改其《响应文件》的，应承担《磋商文件》和法律规定的责任。</w:t>
      </w:r>
    </w:p>
    <w:p w14:paraId="5281CCE4">
      <w:pPr>
        <w:topLinePunct/>
        <w:adjustRightInd w:val="0"/>
        <w:snapToGrid w:val="0"/>
        <w:spacing w:before="120" w:beforeLines="50" w:line="300" w:lineRule="auto"/>
        <w:ind w:firstLine="566" w:firstLineChars="23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3.5 </w:t>
      </w:r>
      <w:r>
        <w:rPr>
          <w:rFonts w:hint="eastAsia" w:ascii="黑体" w:hAnsi="黑体" w:eastAsia="黑体" w:cs="楷体_GB2312"/>
          <w:b/>
          <w:color w:val="auto"/>
          <w:sz w:val="24"/>
          <w:highlight w:val="none"/>
        </w:rPr>
        <w:t>投标承诺函</w:t>
      </w:r>
      <w:r>
        <w:rPr>
          <w:rFonts w:hint="eastAsia" w:ascii="黑体" w:hAnsi="黑体" w:eastAsia="黑体" w:cs="楷体_GB2312"/>
          <w:b/>
          <w:color w:val="auto"/>
          <w:sz w:val="24"/>
          <w:highlight w:val="none"/>
          <w:lang w:val="zh-CN"/>
        </w:rPr>
        <w:t>（</w:t>
      </w:r>
      <w:r>
        <w:rPr>
          <w:rFonts w:hint="eastAsia" w:ascii="黑体" w:hAnsi="黑体" w:eastAsia="黑体" w:cs="楷体_GB2312"/>
          <w:b/>
          <w:color w:val="auto"/>
          <w:sz w:val="24"/>
          <w:highlight w:val="none"/>
        </w:rPr>
        <w:t>替代</w:t>
      </w:r>
      <w:r>
        <w:rPr>
          <w:rFonts w:hint="eastAsia" w:ascii="黑体" w:hAnsi="黑体" w:eastAsia="黑体" w:cs="楷体_GB2312"/>
          <w:b/>
          <w:color w:val="auto"/>
          <w:sz w:val="24"/>
          <w:highlight w:val="none"/>
          <w:lang w:val="zh-CN"/>
        </w:rPr>
        <w:t>投标保证金）：</w:t>
      </w:r>
    </w:p>
    <w:p w14:paraId="41ADDC6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 xml:space="preserve">3.5.1 </w:t>
      </w:r>
      <w:r>
        <w:rPr>
          <w:rFonts w:hint="eastAsia" w:ascii="宋体" w:hAnsi="宋体"/>
          <w:color w:val="auto"/>
          <w:sz w:val="24"/>
          <w:szCs w:val="24"/>
          <w:highlight w:val="none"/>
        </w:rPr>
        <w:t>按照豫财购〔2019〕4号文件规定，本项目以投标承诺函的形式替代投标保证金，供应商应按附件格式进行投标承诺，违背承诺的将承担相应的法律责任及违约责任。</w:t>
      </w:r>
    </w:p>
    <w:p w14:paraId="1DD6E078">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3.5.2 未提供投标承诺函的为无效投标。</w:t>
      </w:r>
    </w:p>
    <w:p w14:paraId="5A8C2CB5">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3.5.3 供应商的投标承诺函包含供应商承诺的事项及违背承诺的责任追究措施。</w:t>
      </w:r>
    </w:p>
    <w:p w14:paraId="721ABBF1">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 承诺事项：</w:t>
      </w:r>
    </w:p>
    <w:p w14:paraId="6F6B22C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3.5.4.1、供应商应遵循公开、公平、公正和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的原则自愿参加项目的投标；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3.5.4.2、供应商在政府采购活动中应提供真实、准确、有效、合法的材料，不</w:t>
      </w:r>
      <w:r>
        <w:rPr>
          <w:rFonts w:hint="eastAsia" w:ascii="宋体" w:hAnsi="宋体"/>
          <w:color w:val="auto"/>
          <w:sz w:val="24"/>
          <w:szCs w:val="24"/>
          <w:highlight w:val="none"/>
          <w:lang w:val="zh-CN"/>
        </w:rPr>
        <w:t>提供虚假材料；</w:t>
      </w:r>
    </w:p>
    <w:p w14:paraId="73A57238">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3.5.4.3、供应商</w:t>
      </w:r>
      <w:r>
        <w:rPr>
          <w:rFonts w:hint="eastAsia" w:ascii="宋体" w:hAnsi="宋体"/>
          <w:color w:val="auto"/>
          <w:sz w:val="24"/>
          <w:szCs w:val="24"/>
          <w:highlight w:val="none"/>
          <w:lang w:val="zh-CN"/>
        </w:rPr>
        <w:t>按照</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文件规定，在提交响应文件截止时间后，在</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文件规定的投标有效期限内不</w:t>
      </w:r>
      <w:r>
        <w:rPr>
          <w:rFonts w:hint="eastAsia" w:ascii="宋体" w:hAnsi="宋体"/>
          <w:color w:val="auto"/>
          <w:sz w:val="24"/>
          <w:szCs w:val="24"/>
          <w:highlight w:val="none"/>
        </w:rPr>
        <w:t>应</w:t>
      </w:r>
      <w:r>
        <w:rPr>
          <w:rFonts w:hint="eastAsia" w:ascii="宋体" w:hAnsi="宋体"/>
          <w:color w:val="auto"/>
          <w:sz w:val="24"/>
          <w:szCs w:val="24"/>
          <w:highlight w:val="none"/>
          <w:lang w:val="zh-CN"/>
        </w:rPr>
        <w:t>撤回响应文件；</w:t>
      </w:r>
    </w:p>
    <w:p w14:paraId="69C70DA3">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3.5.4.4、不应</w:t>
      </w:r>
      <w:r>
        <w:rPr>
          <w:rFonts w:hint="eastAsia" w:ascii="宋体" w:hAnsi="宋体"/>
          <w:color w:val="auto"/>
          <w:sz w:val="24"/>
          <w:szCs w:val="24"/>
          <w:highlight w:val="none"/>
          <w:lang w:val="zh-CN"/>
        </w:rPr>
        <w:t>与其他供应商、采购人或采购代理机构串通或恶意串通。</w:t>
      </w:r>
    </w:p>
    <w:p w14:paraId="2CAABF1E">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3.5.4.5、中标后</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文件认可的情形外</w:t>
      </w:r>
      <w:r>
        <w:rPr>
          <w:rFonts w:hint="eastAsia" w:ascii="宋体" w:hAnsi="宋体"/>
          <w:color w:val="auto"/>
          <w:sz w:val="24"/>
          <w:szCs w:val="24"/>
          <w:highlight w:val="none"/>
        </w:rPr>
        <w:t>，供应商应及时领取中标通知书，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3.5.4.6、供应商应</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文件规定的其他情况；</w:t>
      </w:r>
    </w:p>
    <w:p w14:paraId="4380293B">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3.5.4.7、供应商应按磋商文件规定及时缴纳中标服务费。</w:t>
      </w:r>
    </w:p>
    <w:p w14:paraId="71C26A43">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 违背承诺的责任追究措施</w:t>
      </w:r>
    </w:p>
    <w:p w14:paraId="222A30D6">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供应商如违背上述承诺事项，应无条件接受以下责任追究：</w:t>
      </w:r>
    </w:p>
    <w:p w14:paraId="2B873651">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3.5.5.1</w:t>
      </w:r>
      <w:r>
        <w:rPr>
          <w:rFonts w:hint="eastAsia" w:ascii="宋体" w:hAnsi="宋体"/>
          <w:color w:val="auto"/>
          <w:sz w:val="24"/>
          <w:szCs w:val="24"/>
          <w:highlight w:val="none"/>
          <w:lang w:val="zh-CN"/>
        </w:rPr>
        <w:t>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227FBD02">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给采购人及他人造成损失的，应承担相应的赔偿责任。</w:t>
      </w:r>
    </w:p>
    <w:p w14:paraId="6037B0D0">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w:t>
      </w:r>
      <w:r>
        <w:rPr>
          <w:rFonts w:hint="eastAsia" w:ascii="宋体" w:hAnsi="宋体"/>
          <w:color w:val="auto"/>
          <w:sz w:val="24"/>
          <w:szCs w:val="24"/>
          <w:highlight w:val="none"/>
          <w:lang w:val="zh-CN"/>
        </w:rPr>
        <w:t>违约责任：</w:t>
      </w:r>
      <w:r>
        <w:rPr>
          <w:rFonts w:hint="eastAsia" w:ascii="宋体" w:hAnsi="宋体"/>
          <w:color w:val="auto"/>
          <w:sz w:val="24"/>
          <w:szCs w:val="24"/>
          <w:highlight w:val="none"/>
        </w:rPr>
        <w:t xml:space="preserve"> </w:t>
      </w:r>
    </w:p>
    <w:p w14:paraId="26CD6E4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3.5.5.2.1 已中标的，中标（成交）无效；</w:t>
      </w:r>
    </w:p>
    <w:p w14:paraId="5A8E4C63">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3.5.5.2.2 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41CB37F0">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3.5.5.2.3中标后未缴中标服务费的，作为违约及违背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原则，在履行承诺前，代理机构将视该单位为失信企业、不予办理其后相关业务。</w:t>
      </w:r>
    </w:p>
    <w:p w14:paraId="3E95D70C">
      <w:pPr>
        <w:autoSpaceDE w:val="0"/>
        <w:autoSpaceDN w:val="0"/>
        <w:adjustRightInd w:val="0"/>
        <w:spacing w:before="120" w:beforeLines="50" w:line="360" w:lineRule="auto"/>
        <w:ind w:firstLine="539"/>
        <w:rPr>
          <w:rFonts w:ascii="黑体" w:hAnsi="黑体" w:eastAsia="黑体" w:cs="楷体_GB2312"/>
          <w:b/>
          <w:bCs/>
          <w:color w:val="auto"/>
          <w:sz w:val="28"/>
          <w:szCs w:val="28"/>
          <w:highlight w:val="none"/>
          <w:lang w:val="zh-CN"/>
        </w:rPr>
      </w:pPr>
      <w:r>
        <w:rPr>
          <w:rFonts w:ascii="黑体" w:hAnsi="黑体" w:eastAsia="黑体" w:cs="楷体_GB2312"/>
          <w:b/>
          <w:color w:val="auto"/>
          <w:sz w:val="24"/>
          <w:highlight w:val="none"/>
          <w:lang w:val="zh-CN"/>
        </w:rPr>
        <w:t xml:space="preserve">3.6 </w:t>
      </w:r>
      <w:r>
        <w:rPr>
          <w:rFonts w:hint="eastAsia" w:ascii="黑体" w:hAnsi="黑体" w:eastAsia="黑体" w:cs="楷体_GB2312"/>
          <w:b/>
          <w:color w:val="auto"/>
          <w:sz w:val="24"/>
          <w:highlight w:val="none"/>
          <w:lang w:val="zh-CN"/>
        </w:rPr>
        <w:t>投标资格文件：</w:t>
      </w:r>
      <w:r>
        <w:rPr>
          <w:rFonts w:hint="eastAsia" w:ascii="宋体" w:hAnsi="宋体" w:cs="楷体_GB2312"/>
          <w:color w:val="auto"/>
          <w:sz w:val="24"/>
          <w:highlight w:val="none"/>
          <w:lang w:val="zh-CN"/>
        </w:rPr>
        <w:t>要求见竞争性磋商公告</w:t>
      </w:r>
    </w:p>
    <w:p w14:paraId="3FFF2114">
      <w:pPr>
        <w:topLinePunct/>
        <w:adjustRightInd w:val="0"/>
        <w:snapToGrid w:val="0"/>
        <w:spacing w:before="120" w:beforeLines="50" w:line="300" w:lineRule="auto"/>
        <w:ind w:left="561" w:leftChars="267" w:firstLine="5" w:firstLineChars="2"/>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3.7</w:t>
      </w:r>
      <w:r>
        <w:rPr>
          <w:rFonts w:hint="eastAsia" w:ascii="黑体" w:hAnsi="黑体" w:eastAsia="黑体" w:cs="楷体_GB2312"/>
          <w:b/>
          <w:color w:val="auto"/>
          <w:sz w:val="24"/>
          <w:highlight w:val="none"/>
          <w:lang w:val="zh-CN"/>
        </w:rPr>
        <w:t>《响应文件》的编制</w:t>
      </w:r>
    </w:p>
    <w:p w14:paraId="3C99DCC0">
      <w:pPr>
        <w:topLinePunct/>
        <w:adjustRightInd w:val="0"/>
        <w:snapToGrid w:val="0"/>
        <w:spacing w:before="120" w:beforeLines="50" w:line="300" w:lineRule="auto"/>
        <w:ind w:firstLine="564" w:firstLineChars="235"/>
        <w:rPr>
          <w:rFonts w:ascii="宋体" w:hAnsi="宋体" w:cs="楷体_GB2312"/>
          <w:color w:val="auto"/>
          <w:sz w:val="24"/>
          <w:highlight w:val="none"/>
          <w:lang w:val="zh-CN"/>
        </w:rPr>
      </w:pPr>
      <w:r>
        <w:rPr>
          <w:rFonts w:ascii="宋体" w:hAnsi="宋体" w:cs="楷体_GB2312"/>
          <w:color w:val="auto"/>
          <w:sz w:val="24"/>
          <w:highlight w:val="none"/>
          <w:lang w:val="zh-CN"/>
        </w:rPr>
        <w:t>3.7.1</w:t>
      </w:r>
      <w:r>
        <w:rPr>
          <w:rFonts w:hint="eastAsia" w:ascii="宋体" w:hAnsi="宋体" w:cs="楷体_GB2312"/>
          <w:color w:val="auto"/>
          <w:sz w:val="24"/>
          <w:highlight w:val="none"/>
          <w:lang w:val="zh-CN"/>
        </w:rPr>
        <w:t>《响应文件》应按第六章“《响应文件》格式”进行编写，如有必要，可以增加附页，作为《响应文件》的组成部分。《磋商文件》中未列明格式的，由供应商按一般通用格式自行设计编写。</w:t>
      </w:r>
    </w:p>
    <w:p w14:paraId="0D1B8C03">
      <w:pPr>
        <w:widowControl w:val="0"/>
        <w:adjustRightInd w:val="0"/>
        <w:spacing w:before="120" w:beforeLines="50" w:line="300" w:lineRule="auto"/>
        <w:ind w:firstLine="540" w:firstLineChars="225"/>
        <w:rPr>
          <w:rFonts w:ascii="宋体" w:hAnsi="宋体"/>
          <w:color w:val="auto"/>
          <w:sz w:val="24"/>
          <w:szCs w:val="24"/>
          <w:highlight w:val="none"/>
        </w:rPr>
      </w:pPr>
      <w:r>
        <w:rPr>
          <w:rFonts w:hint="eastAsia" w:ascii="宋体" w:hAnsi="宋体" w:cs="楷体_GB2312"/>
          <w:color w:val="auto"/>
          <w:sz w:val="24"/>
          <w:highlight w:val="none"/>
          <w:lang w:val="zh-CN"/>
        </w:rPr>
        <w:t>响应文件编制后，</w:t>
      </w:r>
      <w:r>
        <w:rPr>
          <w:rFonts w:hint="eastAsia" w:ascii="宋体" w:hAnsi="宋体"/>
          <w:color w:val="auto"/>
          <w:sz w:val="24"/>
          <w:szCs w:val="24"/>
          <w:highlight w:val="none"/>
        </w:rPr>
        <w:t>供应商应在投标截止时间前上传加密的电子投标文件（*.aytf）到</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市公共资源交易平台将拒绝接收。</w:t>
      </w:r>
    </w:p>
    <w:p w14:paraId="0DAFD6E8">
      <w:pPr>
        <w:topLinePunct/>
        <w:adjustRightInd w:val="0"/>
        <w:snapToGrid w:val="0"/>
        <w:spacing w:before="120" w:beforeLines="50" w:line="300" w:lineRule="auto"/>
        <w:ind w:firstLine="564" w:firstLineChars="235"/>
        <w:rPr>
          <w:rFonts w:ascii="宋体" w:cs="楷体_GB2312"/>
          <w:color w:val="auto"/>
          <w:sz w:val="24"/>
          <w:highlight w:val="none"/>
          <w:lang w:val="zh-CN"/>
        </w:rPr>
      </w:pPr>
      <w:r>
        <w:rPr>
          <w:rFonts w:ascii="宋体" w:hAnsi="宋体" w:cs="楷体_GB2312"/>
          <w:color w:val="auto"/>
          <w:sz w:val="24"/>
          <w:highlight w:val="none"/>
          <w:lang w:val="zh-CN"/>
        </w:rPr>
        <w:t xml:space="preserve">3.7.2 </w:t>
      </w:r>
      <w:r>
        <w:rPr>
          <w:rFonts w:hint="eastAsia" w:ascii="宋体" w:hAnsi="宋体" w:cs="楷体_GB2312"/>
          <w:color w:val="auto"/>
          <w:sz w:val="24"/>
          <w:highlight w:val="none"/>
          <w:lang w:val="zh-CN"/>
        </w:rPr>
        <w:t>“《响应文件》格式”仅为对《响应文件》部分内容的格式化规范，并非《响应文件》所应具备的全部内容。供应商应按本章“</w:t>
      </w:r>
      <w:r>
        <w:rPr>
          <w:rFonts w:ascii="宋体" w:hAnsi="宋体" w:cs="楷体_GB2312"/>
          <w:color w:val="auto"/>
          <w:sz w:val="24"/>
          <w:highlight w:val="none"/>
          <w:lang w:val="zh-CN"/>
        </w:rPr>
        <w:t>3.2</w:t>
      </w:r>
      <w:r>
        <w:rPr>
          <w:rFonts w:hint="eastAsia" w:ascii="宋体" w:hAnsi="宋体" w:cs="楷体_GB2312"/>
          <w:color w:val="auto"/>
          <w:sz w:val="24"/>
          <w:highlight w:val="none"/>
          <w:lang w:val="zh-CN"/>
        </w:rPr>
        <w:t>《响应文件》的组成”列示内容编制《响应文件》。</w:t>
      </w:r>
    </w:p>
    <w:p w14:paraId="019BA72E">
      <w:pPr>
        <w:adjustRightInd w:val="0"/>
        <w:snapToGrid w:val="0"/>
        <w:spacing w:before="120"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w:t>
      </w:r>
      <w:r>
        <w:rPr>
          <w:rFonts w:asci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响应文件》应当对《磋商文件》有关标段（包）内容（范围）、技术要求、售后服务、服务期、投标有效期等实质性内容作出响应。在满足《磋商文件》实质性要求的基础上，可以提出比《磋商文件》要求更有利于采购人的承诺。并符合《磋商文件》偏差规定。</w:t>
      </w:r>
    </w:p>
    <w:p w14:paraId="3F619F67">
      <w:pPr>
        <w:adjustRightInd w:val="0"/>
        <w:snapToGrid w:val="0"/>
        <w:spacing w:before="120" w:beforeLines="50" w:line="300" w:lineRule="auto"/>
        <w:ind w:firstLine="480" w:firstLineChars="200"/>
        <w:rPr>
          <w:rFonts w:ascii="宋体" w:cs="楷体_GB2312"/>
          <w:color w:val="auto"/>
          <w:sz w:val="24"/>
          <w:highlight w:val="none"/>
          <w:lang w:val="zh-CN"/>
        </w:rPr>
      </w:pPr>
      <w:r>
        <w:rPr>
          <w:rFonts w:hint="eastAsia" w:ascii="宋体" w:hAnsi="宋体" w:cs="楷体_GB2312"/>
          <w:color w:val="auto"/>
          <w:sz w:val="24"/>
          <w:highlight w:val="none"/>
          <w:lang w:val="zh-CN"/>
        </w:rPr>
        <w:t>《响应文件》的所有条款与《磋商文件》要求有任何不同之处，应按《偏差表》格式逐一填列。《响应文件》与《磋商文件》所有要求存在偏差而未填列的，磋商小组有权按照实质性判断原则（实质性要求和实质性响应两因素）评定其为</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。供应商应认真编制《响应文件》并自负此项风险。</w:t>
      </w:r>
    </w:p>
    <w:p w14:paraId="54D4869E">
      <w:pPr>
        <w:autoSpaceDE w:val="0"/>
        <w:autoSpaceDN w:val="0"/>
        <w:adjustRightInd w:val="0"/>
        <w:snapToGrid w:val="0"/>
        <w:spacing w:before="120" w:beforeLines="50" w:line="300" w:lineRule="auto"/>
        <w:ind w:firstLine="539"/>
        <w:rPr>
          <w:rFonts w:ascii="宋体" w:cs="楷体_GB2312"/>
          <w:b/>
          <w:color w:val="auto"/>
          <w:sz w:val="24"/>
          <w:highlight w:val="none"/>
        </w:rPr>
      </w:pPr>
      <w:r>
        <w:rPr>
          <w:rFonts w:ascii="宋体" w:hAnsi="宋体" w:cs="楷体_GB2312"/>
          <w:b/>
          <w:color w:val="auto"/>
          <w:sz w:val="24"/>
          <w:highlight w:val="none"/>
          <w:lang w:val="zh-CN"/>
        </w:rPr>
        <w:t>3</w:t>
      </w:r>
      <w:r>
        <w:rPr>
          <w:rFonts w:ascii="宋体" w:hAnsi="宋体" w:cs="楷体_GB2312"/>
          <w:b/>
          <w:color w:val="auto"/>
          <w:sz w:val="24"/>
          <w:highlight w:val="none"/>
        </w:rPr>
        <w:t>.7.</w:t>
      </w:r>
      <w:r>
        <w:rPr>
          <w:rFonts w:hint="eastAsia" w:ascii="宋体" w:hAnsi="宋体" w:cs="楷体_GB2312"/>
          <w:b/>
          <w:color w:val="auto"/>
          <w:sz w:val="24"/>
          <w:highlight w:val="none"/>
        </w:rPr>
        <w:t>4</w:t>
      </w:r>
      <w:r>
        <w:rPr>
          <w:rFonts w:ascii="宋体" w:hAnsi="宋体" w:cs="楷体_GB2312"/>
          <w:b/>
          <w:color w:val="auto"/>
          <w:sz w:val="24"/>
          <w:highlight w:val="none"/>
        </w:rPr>
        <w:t xml:space="preserve"> </w:t>
      </w:r>
      <w:r>
        <w:rPr>
          <w:rFonts w:hint="eastAsia" w:ascii="宋体" w:hAnsi="宋体" w:cs="楷体_GB2312"/>
          <w:b/>
          <w:color w:val="auto"/>
          <w:sz w:val="24"/>
          <w:highlight w:val="none"/>
        </w:rPr>
        <w:t>《响应文件》应按《磋商文件》</w:t>
      </w:r>
      <w:r>
        <w:rPr>
          <w:rFonts w:hint="eastAsia" w:ascii="宋体" w:hAnsi="宋体" w:cs="楷体_GB2312"/>
          <w:b/>
          <w:color w:val="auto"/>
          <w:sz w:val="24"/>
          <w:highlight w:val="none"/>
          <w:lang w:val="zh-CN"/>
        </w:rPr>
        <w:t>相关要求（含格式上标注的要求）、</w:t>
      </w:r>
      <w:r>
        <w:rPr>
          <w:rFonts w:hint="eastAsia" w:ascii="宋体" w:hAnsi="宋体" w:cs="楷体_GB2312"/>
          <w:b/>
          <w:color w:val="auto"/>
          <w:sz w:val="24"/>
          <w:highlight w:val="none"/>
        </w:rPr>
        <w:t>使用供应商企业数字证书进行电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签章和供应商法定代表人数字证书进行电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签名（签章）、并加密，没有使用供应商企业数字证书和供应商法定代表人数字证书进行电</w:t>
      </w:r>
      <w:r>
        <w:rPr>
          <w:rFonts w:ascii="宋体" w:hAnsi="宋体" w:cs="楷体_GB2312"/>
          <w:b/>
          <w:color w:val="auto"/>
          <w:sz w:val="24"/>
          <w:highlight w:val="none"/>
        </w:rPr>
        <w:t>子</w:t>
      </w:r>
      <w:r>
        <w:rPr>
          <w:rFonts w:hint="eastAsia" w:ascii="宋体" w:hAnsi="宋体" w:cs="楷体_GB2312"/>
          <w:b/>
          <w:color w:val="auto"/>
          <w:sz w:val="24"/>
          <w:highlight w:val="none"/>
        </w:rPr>
        <w:t>签名（签章）并加密的《响应文件》，属于未按照《磋商文件》要求进行签署。</w:t>
      </w:r>
    </w:p>
    <w:p w14:paraId="3C510C29">
      <w:pPr>
        <w:autoSpaceDE w:val="0"/>
        <w:autoSpaceDN w:val="0"/>
        <w:adjustRightInd w:val="0"/>
        <w:snapToGrid w:val="0"/>
        <w:spacing w:before="120" w:beforeLines="50" w:line="300" w:lineRule="auto"/>
        <w:ind w:firstLine="539"/>
        <w:rPr>
          <w:rFonts w:ascii="宋体" w:cs="楷体_GB2312"/>
          <w:color w:val="auto"/>
          <w:sz w:val="24"/>
          <w:highlight w:val="none"/>
        </w:rPr>
      </w:pPr>
      <w:r>
        <w:rPr>
          <w:rFonts w:hint="eastAsia" w:ascii="宋体" w:hAnsi="宋体" w:cs="楷体_GB2312"/>
          <w:b/>
          <w:color w:val="auto"/>
          <w:sz w:val="24"/>
          <w:highlight w:val="none"/>
        </w:rPr>
        <w:t>根据《中华人民共和国电子签名法》规定，可靠的电子签名与手写签名或者盖章具有同等的法律效力。本次采购活动中，供应商使用有效的企业数字证书对《响应文件》进行电子签章与加盖供应商</w:t>
      </w:r>
      <w:r>
        <w:rPr>
          <w:rFonts w:ascii="宋体" w:hAnsi="宋体" w:cs="楷体_GB2312"/>
          <w:b/>
          <w:color w:val="auto"/>
          <w:sz w:val="24"/>
          <w:highlight w:val="none"/>
        </w:rPr>
        <w:t>公</w:t>
      </w:r>
      <w:r>
        <w:rPr>
          <w:rFonts w:hint="eastAsia" w:ascii="宋体" w:hAnsi="宋体" w:cs="楷体_GB2312"/>
          <w:b/>
          <w:color w:val="auto"/>
          <w:sz w:val="24"/>
          <w:highlight w:val="none"/>
        </w:rPr>
        <w:t>章具有同等法律效力；供应商法定代表人使用有效的个人数字证书对《响应文件》进行签名（签章）与法人签章具有同等法律效力。</w:t>
      </w:r>
    </w:p>
    <w:p w14:paraId="63330105">
      <w:pPr>
        <w:adjustRightInd w:val="0"/>
        <w:snapToGrid w:val="0"/>
        <w:spacing w:before="120" w:beforeLines="50" w:line="300" w:lineRule="auto"/>
        <w:ind w:firstLine="480" w:firstLineChars="200"/>
        <w:rPr>
          <w:rFonts w:ascii="宋体" w:cs="楷体_GB2312"/>
          <w:color w:val="auto"/>
          <w:sz w:val="24"/>
          <w:highlight w:val="none"/>
          <w:lang w:val="zh-CN"/>
        </w:rPr>
      </w:pPr>
      <w:r>
        <w:rPr>
          <w:rFonts w:ascii="宋体" w:hAnsi="宋体" w:cs="楷体_GB2312"/>
          <w:color w:val="auto"/>
          <w:sz w:val="24"/>
          <w:highlight w:val="none"/>
          <w:lang w:val="zh-CN"/>
        </w:rPr>
        <w:t>3.7.5</w:t>
      </w:r>
      <w:r>
        <w:rPr>
          <w:rFonts w:hint="eastAsia" w:ascii="宋体" w:hAnsi="宋体" w:cs="楷体_GB2312"/>
          <w:color w:val="auto"/>
          <w:sz w:val="24"/>
          <w:highlight w:val="none"/>
          <w:lang w:val="zh-CN"/>
        </w:rPr>
        <w:t>供应商可对本《磋商文件》“标段（包）一览表”中所列的所有标段（包）进行分别投标，也可选择其中一个标段（包）或几个标段（包）投标，但不得将《磋商文件》规定的同一标段（包）的内容拆开投标，否则将按</w:t>
      </w:r>
      <w:r>
        <w:rPr>
          <w:rFonts w:hint="eastAsia" w:ascii="宋体" w:hAnsi="宋体" w:cs="楷体_GB2312"/>
          <w:b/>
          <w:color w:val="auto"/>
          <w:sz w:val="24"/>
          <w:highlight w:val="none"/>
          <w:lang w:val="zh-CN"/>
        </w:rPr>
        <w:t>无效投标</w:t>
      </w:r>
      <w:r>
        <w:rPr>
          <w:rFonts w:hint="eastAsia" w:ascii="宋体" w:hAnsi="宋体" w:cs="楷体_GB2312"/>
          <w:color w:val="auto"/>
          <w:sz w:val="24"/>
          <w:highlight w:val="none"/>
          <w:lang w:val="zh-CN"/>
        </w:rPr>
        <w:t>处理。</w:t>
      </w:r>
    </w:p>
    <w:p w14:paraId="0B677F4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3.7.6 </w:t>
      </w:r>
      <w:r>
        <w:rPr>
          <w:rFonts w:hint="eastAsia" w:ascii="宋体" w:hAnsi="宋体" w:cs="楷体_GB2312"/>
          <w:color w:val="auto"/>
          <w:sz w:val="24"/>
          <w:highlight w:val="none"/>
          <w:lang w:val="zh-CN"/>
        </w:rPr>
        <w:t>《响应文件》因字迹或表述不清所引起的后果由供应商自行负责。</w:t>
      </w:r>
    </w:p>
    <w:p w14:paraId="2BD6B5A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3.7.7 </w:t>
      </w:r>
      <w:r>
        <w:rPr>
          <w:rFonts w:hint="eastAsia" w:ascii="宋体" w:hAnsi="宋体" w:cs="楷体_GB2312"/>
          <w:color w:val="auto"/>
          <w:sz w:val="24"/>
          <w:highlight w:val="none"/>
          <w:lang w:val="zh-CN"/>
        </w:rPr>
        <w:t>未按上述要求提交的《响应文件》将视为</w:t>
      </w:r>
      <w:r>
        <w:rPr>
          <w:rFonts w:hint="eastAsia" w:ascii="宋体" w:hAnsi="宋体" w:cs="楷体_GB2312"/>
          <w:b/>
          <w:color w:val="auto"/>
          <w:sz w:val="24"/>
          <w:highlight w:val="none"/>
          <w:lang w:val="zh-CN"/>
        </w:rPr>
        <w:t>无效投标。</w:t>
      </w:r>
    </w:p>
    <w:p w14:paraId="0DD08D96">
      <w:pPr>
        <w:autoSpaceDE w:val="0"/>
        <w:autoSpaceDN w:val="0"/>
        <w:adjustRightInd w:val="0"/>
        <w:spacing w:line="360" w:lineRule="auto"/>
        <w:rPr>
          <w:rFonts w:ascii="黑体" w:hAnsi="黑体" w:eastAsia="黑体" w:cs="楷体_GB2312"/>
          <w:b/>
          <w:bCs/>
          <w:color w:val="auto"/>
          <w:sz w:val="28"/>
          <w:szCs w:val="28"/>
          <w:highlight w:val="none"/>
          <w:lang w:val="zh-CN"/>
        </w:rPr>
      </w:pPr>
    </w:p>
    <w:p w14:paraId="74C0E39A">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26" w:name="_Toc202883070"/>
      <w:r>
        <w:rPr>
          <w:rFonts w:ascii="黑体" w:hAnsi="黑体" w:eastAsia="黑体" w:cs="楷体_GB2312"/>
          <w:b/>
          <w:bCs/>
          <w:color w:val="auto"/>
          <w:sz w:val="28"/>
          <w:szCs w:val="28"/>
          <w:highlight w:val="none"/>
          <w:lang w:val="zh-CN"/>
        </w:rPr>
        <w:t>4.</w:t>
      </w:r>
      <w:r>
        <w:rPr>
          <w:rFonts w:hint="eastAsia" w:ascii="黑体" w:hAnsi="黑体" w:eastAsia="黑体" w:cs="楷体_GB2312"/>
          <w:b/>
          <w:bCs/>
          <w:color w:val="auto"/>
          <w:sz w:val="28"/>
          <w:szCs w:val="28"/>
          <w:highlight w:val="none"/>
          <w:lang w:val="zh-CN"/>
        </w:rPr>
        <w:t>《响应文件》的提交</w:t>
      </w:r>
      <w:bookmarkEnd w:id="26"/>
    </w:p>
    <w:p w14:paraId="0E5BA739">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bookmarkStart w:id="27" w:name="OLE_LINK2"/>
      <w:bookmarkStart w:id="28" w:name="_Toc296602445"/>
      <w:r>
        <w:rPr>
          <w:rFonts w:hint="eastAsia" w:ascii="宋体" w:hAnsi="宋体" w:cs="楷体_GB2312"/>
          <w:b/>
          <w:color w:val="auto"/>
          <w:sz w:val="24"/>
          <w:highlight w:val="none"/>
          <w:lang w:val="zh-CN"/>
        </w:rPr>
        <w:t>4.1《响应文件》的密封和标记：</w:t>
      </w:r>
    </w:p>
    <w:p w14:paraId="697179BD">
      <w:pPr>
        <w:autoSpaceDE w:val="0"/>
        <w:autoSpaceDN w:val="0"/>
        <w:adjustRightInd w:val="0"/>
        <w:snapToGrid w:val="0"/>
        <w:spacing w:before="120" w:beforeLines="50" w:line="300" w:lineRule="auto"/>
        <w:ind w:firstLine="539"/>
        <w:rPr>
          <w:rFonts w:ascii="宋体" w:cs="楷体_GB2312"/>
          <w:b/>
          <w:color w:val="auto"/>
          <w:sz w:val="24"/>
          <w:highlight w:val="none"/>
          <w:lang w:val="zh-CN"/>
        </w:rPr>
      </w:pPr>
      <w:r>
        <w:rPr>
          <w:rFonts w:ascii="宋体" w:hAnsi="宋体" w:cs="楷体_GB2312"/>
          <w:b/>
          <w:color w:val="auto"/>
          <w:sz w:val="24"/>
          <w:highlight w:val="none"/>
          <w:lang w:val="zh-CN"/>
        </w:rPr>
        <w:t xml:space="preserve">4.1.1 </w:t>
      </w:r>
      <w:r>
        <w:rPr>
          <w:rFonts w:hint="eastAsia" w:ascii="宋体" w:hAnsi="宋体" w:cs="楷体_GB2312"/>
          <w:b/>
          <w:color w:val="auto"/>
          <w:sz w:val="24"/>
          <w:highlight w:val="none"/>
          <w:lang w:val="zh-CN"/>
        </w:rPr>
        <w:t>《响应文件》应</w:t>
      </w:r>
      <w:r>
        <w:rPr>
          <w:rFonts w:ascii="宋体" w:hAnsi="宋体" w:cs="楷体_GB2312"/>
          <w:b/>
          <w:color w:val="auto"/>
          <w:sz w:val="24"/>
          <w:highlight w:val="none"/>
          <w:lang w:val="zh-CN"/>
        </w:rPr>
        <w:t>当</w:t>
      </w:r>
      <w:r>
        <w:rPr>
          <w:rFonts w:hint="eastAsia" w:ascii="宋体" w:hAnsi="宋体" w:cs="楷体_GB2312"/>
          <w:b/>
          <w:color w:val="auto"/>
          <w:sz w:val="24"/>
          <w:highlight w:val="none"/>
          <w:lang w:val="zh-CN"/>
        </w:rPr>
        <w:t>按网上电子交易系统要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进行</w:t>
      </w:r>
      <w:r>
        <w:rPr>
          <w:rFonts w:ascii="宋体" w:hAnsi="宋体" w:cs="楷体_GB2312"/>
          <w:b/>
          <w:color w:val="auto"/>
          <w:sz w:val="24"/>
          <w:highlight w:val="none"/>
          <w:lang w:val="zh-CN"/>
        </w:rPr>
        <w:t>加密</w:t>
      </w:r>
      <w:r>
        <w:rPr>
          <w:rFonts w:hint="eastAsia" w:ascii="宋体" w:hAnsi="宋体" w:cs="楷体_GB2312"/>
          <w:b/>
          <w:color w:val="auto"/>
          <w:sz w:val="24"/>
          <w:highlight w:val="none"/>
          <w:lang w:val="zh-CN"/>
        </w:rPr>
        <w:t>和标记，</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截止时间前，将</w:t>
      </w:r>
      <w:r>
        <w:rPr>
          <w:rFonts w:ascii="宋体" w:hAnsi="宋体" w:cs="楷体_GB2312"/>
          <w:b/>
          <w:color w:val="auto"/>
          <w:sz w:val="24"/>
          <w:highlight w:val="none"/>
          <w:lang w:val="zh-CN"/>
        </w:rPr>
        <w:t>加密的</w:t>
      </w:r>
      <w:r>
        <w:rPr>
          <w:rFonts w:hint="eastAsia" w:ascii="宋体" w:hAnsi="宋体" w:cs="楷体_GB2312"/>
          <w:b/>
          <w:color w:val="auto"/>
          <w:sz w:val="24"/>
          <w:highlight w:val="none"/>
          <w:lang w:val="zh-CN"/>
        </w:rPr>
        <w:t>《响应文件》</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传至“竞争性磋商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”所述网上电子交易系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w:t>
      </w:r>
    </w:p>
    <w:p w14:paraId="7A92A424">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bookmarkStart w:id="29" w:name="OLE_LINK1"/>
      <w:r>
        <w:rPr>
          <w:rFonts w:ascii="宋体" w:hAnsi="宋体" w:cs="楷体_GB2312"/>
          <w:b/>
          <w:color w:val="auto"/>
          <w:sz w:val="24"/>
          <w:highlight w:val="none"/>
          <w:lang w:val="zh-CN"/>
        </w:rPr>
        <w:t xml:space="preserve">4.1.2 </w:t>
      </w:r>
      <w:r>
        <w:rPr>
          <w:rFonts w:hint="eastAsia" w:ascii="宋体" w:hAnsi="宋体" w:cs="楷体_GB2312"/>
          <w:b/>
          <w:color w:val="auto"/>
          <w:sz w:val="24"/>
          <w:highlight w:val="none"/>
          <w:lang w:val="zh-CN"/>
        </w:rPr>
        <w:t>《响应文件》没有按照上述要求进行</w:t>
      </w:r>
      <w:r>
        <w:rPr>
          <w:rFonts w:ascii="宋体" w:hAnsi="宋体" w:cs="楷体_GB2312"/>
          <w:b/>
          <w:color w:val="auto"/>
          <w:sz w:val="24"/>
          <w:highlight w:val="none"/>
          <w:lang w:val="zh-CN"/>
        </w:rPr>
        <w:t>加密</w:t>
      </w:r>
      <w:r>
        <w:rPr>
          <w:rFonts w:hint="eastAsia" w:ascii="黑体" w:hAnsi="黑体" w:eastAsia="黑体" w:cs="楷体_GB2312"/>
          <w:b/>
          <w:color w:val="auto"/>
          <w:sz w:val="24"/>
          <w:highlight w:val="none"/>
          <w:lang w:val="zh-CN"/>
        </w:rPr>
        <w:t>和标记</w:t>
      </w:r>
      <w:r>
        <w:rPr>
          <w:rFonts w:hint="eastAsia" w:ascii="宋体" w:hAnsi="宋体" w:cs="楷体_GB2312"/>
          <w:b/>
          <w:color w:val="auto"/>
          <w:sz w:val="24"/>
          <w:highlight w:val="none"/>
          <w:lang w:val="zh-CN"/>
        </w:rPr>
        <w:t>的、网上电子交易系</w:t>
      </w:r>
      <w:r>
        <w:rPr>
          <w:rFonts w:ascii="宋体" w:hAnsi="宋体" w:cs="楷体_GB2312"/>
          <w:b/>
          <w:color w:val="auto"/>
          <w:sz w:val="24"/>
          <w:highlight w:val="none"/>
          <w:lang w:val="zh-CN"/>
        </w:rPr>
        <w:t>统</w:t>
      </w:r>
      <w:r>
        <w:rPr>
          <w:rFonts w:hint="eastAsia" w:ascii="宋体" w:hAnsi="宋体" w:cs="楷体_GB2312"/>
          <w:b/>
          <w:color w:val="auto"/>
          <w:sz w:val="24"/>
          <w:highlight w:val="none"/>
          <w:lang w:val="zh-CN"/>
        </w:rPr>
        <w:t>将</w:t>
      </w:r>
      <w:r>
        <w:rPr>
          <w:rFonts w:ascii="宋体" w:hAnsi="宋体" w:cs="楷体_GB2312"/>
          <w:b/>
          <w:color w:val="auto"/>
          <w:sz w:val="24"/>
          <w:highlight w:val="none"/>
          <w:lang w:val="zh-CN"/>
        </w:rPr>
        <w:t>据系统设定</w:t>
      </w:r>
      <w:r>
        <w:rPr>
          <w:rFonts w:hint="eastAsia" w:ascii="宋体" w:hAnsi="宋体" w:cs="楷体_GB2312"/>
          <w:b/>
          <w:color w:val="auto"/>
          <w:sz w:val="24"/>
          <w:highlight w:val="none"/>
          <w:lang w:val="zh-CN"/>
        </w:rPr>
        <w:t>拒收其《响应文件》，供应商应自负该项风险，采购代理机构对可能产</w:t>
      </w:r>
      <w:r>
        <w:rPr>
          <w:rFonts w:ascii="宋体" w:hAnsi="宋体" w:cs="楷体_GB2312"/>
          <w:b/>
          <w:color w:val="auto"/>
          <w:sz w:val="24"/>
          <w:highlight w:val="none"/>
          <w:lang w:val="zh-CN"/>
        </w:rPr>
        <w:t>生的</w:t>
      </w:r>
      <w:r>
        <w:rPr>
          <w:rFonts w:hint="eastAsia" w:ascii="宋体" w:hAnsi="宋体" w:cs="楷体_GB2312"/>
          <w:b/>
          <w:color w:val="auto"/>
          <w:sz w:val="24"/>
          <w:highlight w:val="none"/>
          <w:lang w:val="zh-CN"/>
        </w:rPr>
        <w:t>误投或提前启封概不负责。</w:t>
      </w:r>
      <w:bookmarkEnd w:id="29"/>
    </w:p>
    <w:bookmarkEnd w:id="27"/>
    <w:p w14:paraId="36FAD028">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4.2 </w:t>
      </w:r>
      <w:r>
        <w:rPr>
          <w:rFonts w:hint="eastAsia" w:ascii="黑体" w:hAnsi="黑体" w:eastAsia="黑体" w:cs="楷体_GB2312"/>
          <w:b/>
          <w:color w:val="auto"/>
          <w:sz w:val="24"/>
          <w:highlight w:val="none"/>
          <w:lang w:val="zh-CN"/>
        </w:rPr>
        <w:t>《响应文件》的递交</w:t>
      </w:r>
      <w:bookmarkEnd w:id="28"/>
    </w:p>
    <w:p w14:paraId="69791CE9">
      <w:pPr>
        <w:widowControl w:val="0"/>
        <w:adjustRightInd w:val="0"/>
        <w:spacing w:before="120" w:beforeLines="50" w:line="300" w:lineRule="auto"/>
        <w:ind w:firstLine="542" w:firstLineChars="225"/>
        <w:rPr>
          <w:rFonts w:ascii="宋体" w:hAnsi="宋体"/>
          <w:color w:val="auto"/>
          <w:sz w:val="24"/>
          <w:szCs w:val="24"/>
          <w:highlight w:val="none"/>
        </w:rPr>
      </w:pPr>
      <w:r>
        <w:rPr>
          <w:rFonts w:ascii="宋体" w:hAnsi="宋体" w:cs="楷体_GB2312"/>
          <w:b/>
          <w:color w:val="auto"/>
          <w:sz w:val="24"/>
          <w:highlight w:val="none"/>
          <w:lang w:val="zh-CN"/>
        </w:rPr>
        <w:t>4.2.1</w:t>
      </w:r>
      <w:r>
        <w:rPr>
          <w:rFonts w:hint="eastAsia" w:ascii="宋体" w:hAnsi="宋体"/>
          <w:color w:val="auto"/>
          <w:sz w:val="24"/>
          <w:szCs w:val="24"/>
          <w:highlight w:val="none"/>
        </w:rPr>
        <w:t>供应商应在投标截止时间前上传加密的电子投标文件（*.aytf）到</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公共资源交易平台。上传时供应商须使用制作该投标文件的同一CA锁进行上传操作。请供应商在上传时认真检查上传投标文件是否完整、正确。供应商应充分考虑上传文件时的不可预见因素，未在投标截止时间前完成上传的，视为逾期送达，</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市公共资源交易平台将拒绝接收。</w:t>
      </w:r>
    </w:p>
    <w:p w14:paraId="07BE43DD">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4.2.2 </w:t>
      </w:r>
      <w:r>
        <w:rPr>
          <w:rFonts w:hint="eastAsia" w:ascii="宋体" w:hAnsi="宋体" w:cs="楷体_GB2312"/>
          <w:b/>
          <w:color w:val="auto"/>
          <w:sz w:val="24"/>
          <w:highlight w:val="none"/>
          <w:lang w:val="zh-CN"/>
        </w:rPr>
        <w:t>据网上电子交易系统设</w:t>
      </w:r>
      <w:r>
        <w:rPr>
          <w:rFonts w:ascii="宋体" w:hAnsi="宋体" w:cs="楷体_GB2312"/>
          <w:b/>
          <w:color w:val="auto"/>
          <w:sz w:val="24"/>
          <w:highlight w:val="none"/>
          <w:lang w:val="zh-CN"/>
        </w:rPr>
        <w:t>定，</w:t>
      </w:r>
      <w:r>
        <w:rPr>
          <w:rFonts w:hint="eastAsia" w:ascii="宋体" w:hAnsi="宋体" w:cs="楷体_GB2312"/>
          <w:b/>
          <w:color w:val="auto"/>
          <w:sz w:val="24"/>
          <w:highlight w:val="none"/>
          <w:lang w:val="zh-CN"/>
        </w:rPr>
        <w:t>《响应文件》提交截止时间后，系统将自动锁定已经提交的电子《响应文件》，拒绝再次提交。供应商将无法通过网上电子交易系统进行上传，采购代理机构将无法接受并拒绝接受投标截止时间以后提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的《响应文件》。</w:t>
      </w:r>
    </w:p>
    <w:p w14:paraId="4BEFE82A">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 xml:space="preserve">4.2.3 </w:t>
      </w:r>
      <w:r>
        <w:rPr>
          <w:rFonts w:hint="eastAsia" w:ascii="宋体" w:hAnsi="宋体" w:cs="楷体_GB2312"/>
          <w:color w:val="auto"/>
          <w:sz w:val="24"/>
          <w:highlight w:val="none"/>
          <w:lang w:val="zh-CN"/>
        </w:rPr>
        <w:t>由于不可抗拒的原因，代理机构对《响应文件》的遗失和损坏不负任何责任。</w:t>
      </w:r>
    </w:p>
    <w:p w14:paraId="3D765338">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4.2.4 </w:t>
      </w:r>
      <w:r>
        <w:rPr>
          <w:rFonts w:hint="eastAsia" w:ascii="宋体" w:hAnsi="宋体" w:cs="楷体_GB2312"/>
          <w:color w:val="auto"/>
          <w:sz w:val="24"/>
          <w:highlight w:val="none"/>
          <w:lang w:val="zh-CN"/>
        </w:rPr>
        <w:t>除供应商须知前附表另有规定外，供应商所递交的《响应文件》不予退还。</w:t>
      </w:r>
    </w:p>
    <w:p w14:paraId="5198B8EB">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4.2.5 </w:t>
      </w:r>
      <w:r>
        <w:rPr>
          <w:rFonts w:hint="eastAsia" w:ascii="宋体" w:hAnsi="宋体" w:cs="楷体_GB2312"/>
          <w:b/>
          <w:color w:val="auto"/>
          <w:sz w:val="24"/>
          <w:highlight w:val="none"/>
          <w:lang w:val="zh-CN"/>
        </w:rPr>
        <w:t>基于</w:t>
      </w:r>
      <w:r>
        <w:rPr>
          <w:rFonts w:ascii="宋体" w:hAnsi="宋体" w:cs="楷体_GB2312"/>
          <w:b/>
          <w:color w:val="auto"/>
          <w:sz w:val="24"/>
          <w:highlight w:val="none"/>
          <w:lang w:val="zh-CN"/>
        </w:rPr>
        <w:t>网上电子交易的</w:t>
      </w:r>
      <w:r>
        <w:rPr>
          <w:rFonts w:hint="eastAsia" w:ascii="宋体" w:hAnsi="宋体" w:cs="楷体_GB2312"/>
          <w:b/>
          <w:color w:val="auto"/>
          <w:sz w:val="24"/>
          <w:highlight w:val="none"/>
          <w:lang w:val="zh-CN"/>
        </w:rPr>
        <w:t>系统</w:t>
      </w:r>
      <w:r>
        <w:rPr>
          <w:rFonts w:ascii="宋体" w:hAnsi="宋体" w:cs="楷体_GB2312"/>
          <w:b/>
          <w:color w:val="auto"/>
          <w:sz w:val="24"/>
          <w:highlight w:val="none"/>
          <w:lang w:val="zh-CN"/>
        </w:rPr>
        <w:t>要求及</w:t>
      </w:r>
      <w:r>
        <w:rPr>
          <w:rFonts w:hint="eastAsia" w:ascii="宋体" w:hAnsi="宋体" w:cs="楷体_GB2312"/>
          <w:b/>
          <w:color w:val="auto"/>
          <w:sz w:val="24"/>
          <w:highlight w:val="none"/>
          <w:lang w:val="zh-CN"/>
        </w:rPr>
        <w:t>特点</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只</w:t>
      </w:r>
      <w:r>
        <w:rPr>
          <w:rFonts w:ascii="宋体" w:hAnsi="宋体" w:cs="楷体_GB2312"/>
          <w:b/>
          <w:color w:val="auto"/>
          <w:sz w:val="24"/>
          <w:highlight w:val="none"/>
          <w:lang w:val="zh-CN"/>
        </w:rPr>
        <w:t>接受基于</w:t>
      </w:r>
      <w:r>
        <w:rPr>
          <w:rFonts w:hint="eastAsia" w:ascii="宋体" w:hAnsi="宋体" w:cs="楷体_GB2312"/>
          <w:b/>
          <w:color w:val="auto"/>
          <w:sz w:val="24"/>
          <w:highlight w:val="none"/>
          <w:lang w:val="zh-CN"/>
        </w:rPr>
        <w:t>符</w:t>
      </w:r>
      <w:r>
        <w:rPr>
          <w:rFonts w:ascii="宋体" w:hAnsi="宋体" w:cs="楷体_GB2312"/>
          <w:b/>
          <w:color w:val="auto"/>
          <w:sz w:val="24"/>
          <w:highlight w:val="none"/>
          <w:lang w:val="zh-CN"/>
        </w:rPr>
        <w:t>合</w:t>
      </w:r>
      <w:r>
        <w:rPr>
          <w:rFonts w:hint="eastAsia" w:ascii="宋体" w:hAnsi="宋体" w:cs="楷体_GB2312"/>
          <w:b/>
          <w:color w:val="auto"/>
          <w:sz w:val="24"/>
          <w:highlight w:val="none"/>
          <w:lang w:val="zh-CN"/>
        </w:rPr>
        <w:t>网上电子交易系统要</w:t>
      </w:r>
      <w:r>
        <w:rPr>
          <w:rFonts w:ascii="宋体" w:hAnsi="宋体" w:cs="楷体_GB2312"/>
          <w:b/>
          <w:color w:val="auto"/>
          <w:sz w:val="24"/>
          <w:highlight w:val="none"/>
          <w:lang w:val="zh-CN"/>
        </w:rPr>
        <w:t>求</w:t>
      </w:r>
      <w:r>
        <w:rPr>
          <w:rFonts w:hint="eastAsia" w:ascii="宋体" w:hAnsi="宋体" w:cs="楷体_GB2312"/>
          <w:b/>
          <w:color w:val="auto"/>
          <w:sz w:val="24"/>
          <w:highlight w:val="none"/>
          <w:lang w:val="zh-CN"/>
        </w:rPr>
        <w:t>的</w:t>
      </w:r>
      <w:r>
        <w:rPr>
          <w:rFonts w:ascii="宋体" w:hAnsi="宋体" w:cs="楷体_GB2312"/>
          <w:b/>
          <w:color w:val="auto"/>
          <w:sz w:val="24"/>
          <w:highlight w:val="none"/>
          <w:lang w:val="zh-CN"/>
        </w:rPr>
        <w:t>投标</w:t>
      </w:r>
      <w:r>
        <w:rPr>
          <w:rFonts w:hint="eastAsia" w:ascii="宋体" w:hAnsi="宋体" w:cs="楷体_GB2312"/>
          <w:b/>
          <w:color w:val="auto"/>
          <w:sz w:val="24"/>
          <w:highlight w:val="none"/>
          <w:lang w:val="zh-CN"/>
        </w:rPr>
        <w:t>，</w:t>
      </w:r>
      <w:r>
        <w:rPr>
          <w:rFonts w:ascii="宋体" w:hAnsi="宋体" w:cs="楷体_GB2312"/>
          <w:b/>
          <w:color w:val="auto"/>
          <w:sz w:val="24"/>
          <w:highlight w:val="none"/>
          <w:lang w:val="zh-CN"/>
        </w:rPr>
        <w:t>其他如纸制、送达、</w:t>
      </w:r>
      <w:r>
        <w:rPr>
          <w:rFonts w:hint="eastAsia" w:ascii="宋体" w:hAnsi="宋体" w:cs="楷体_GB2312"/>
          <w:b/>
          <w:color w:val="auto"/>
          <w:sz w:val="24"/>
          <w:highlight w:val="none"/>
          <w:lang w:val="zh-CN"/>
        </w:rPr>
        <w:t>电报、电话、电子邮件等形式的投标概不接受。</w:t>
      </w:r>
    </w:p>
    <w:p w14:paraId="62EF0D48">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黑体" w:hAnsi="黑体" w:eastAsia="黑体" w:cs="楷体_GB2312"/>
          <w:b/>
          <w:color w:val="auto"/>
          <w:sz w:val="24"/>
          <w:highlight w:val="none"/>
          <w:lang w:val="zh-CN"/>
        </w:rPr>
        <w:t xml:space="preserve">4.3 </w:t>
      </w:r>
      <w:r>
        <w:rPr>
          <w:rFonts w:hint="eastAsia" w:ascii="黑体" w:hAnsi="黑体" w:eastAsia="黑体" w:cs="楷体_GB2312"/>
          <w:b/>
          <w:color w:val="auto"/>
          <w:sz w:val="24"/>
          <w:highlight w:val="none"/>
          <w:lang w:val="zh-CN"/>
        </w:rPr>
        <w:t>《响应文件》的修改与撤回</w:t>
      </w:r>
      <w:r>
        <w:rPr>
          <w:rFonts w:hint="eastAsia" w:ascii="宋体" w:hAnsi="宋体" w:cs="楷体_GB2312"/>
          <w:color w:val="auto"/>
          <w:sz w:val="24"/>
          <w:highlight w:val="none"/>
          <w:lang w:val="zh-CN"/>
        </w:rPr>
        <w:t>：</w:t>
      </w:r>
    </w:p>
    <w:p w14:paraId="17F2AC7F">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4.3.1</w:t>
      </w:r>
      <w:r>
        <w:rPr>
          <w:rFonts w:hint="eastAsia" w:ascii="宋体" w:hAnsi="宋体" w:cs="楷体_GB2312"/>
          <w:b/>
          <w:color w:val="auto"/>
          <w:sz w:val="24"/>
          <w:highlight w:val="none"/>
          <w:lang w:val="zh-CN"/>
        </w:rPr>
        <w:t xml:space="preserve"> 供应商于提交《响应文件》截止时间前如对《响应文件》进行补充、修改，可以上传新的《响应文件》进行覆盖。供应商如撤回《响应文件》，应及时书面通知采购代理机构进行办理。</w:t>
      </w:r>
    </w:p>
    <w:p w14:paraId="102C1769">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4.3.</w:t>
      </w:r>
      <w:r>
        <w:rPr>
          <w:rFonts w:hint="eastAsia" w:ascii="宋体" w:hAnsi="宋体" w:cs="楷体_GB2312"/>
          <w:b/>
          <w:color w:val="auto"/>
          <w:sz w:val="24"/>
          <w:highlight w:val="none"/>
          <w:lang w:val="zh-CN"/>
        </w:rPr>
        <w:t>2 供应商在《响应文件》提</w:t>
      </w:r>
      <w:r>
        <w:rPr>
          <w:rFonts w:ascii="宋体" w:hAnsi="宋体" w:cs="楷体_GB2312"/>
          <w:b/>
          <w:color w:val="auto"/>
          <w:sz w:val="24"/>
          <w:highlight w:val="none"/>
          <w:lang w:val="zh-CN"/>
        </w:rPr>
        <w:t>交</w:t>
      </w:r>
      <w:r>
        <w:rPr>
          <w:rFonts w:hint="eastAsia" w:ascii="宋体" w:hAnsi="宋体" w:cs="楷体_GB2312"/>
          <w:b/>
          <w:color w:val="auto"/>
          <w:sz w:val="24"/>
          <w:highlight w:val="none"/>
          <w:lang w:val="zh-CN"/>
        </w:rPr>
        <w:t>截止时间后不得自行修改或撤回其投标，否则</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p>
    <w:p w14:paraId="7E43BE42">
      <w:pPr>
        <w:autoSpaceDE w:val="0"/>
        <w:autoSpaceDN w:val="0"/>
        <w:adjustRightInd w:val="0"/>
        <w:snapToGrid w:val="0"/>
        <w:spacing w:before="120" w:beforeLines="50" w:line="300" w:lineRule="auto"/>
        <w:rPr>
          <w:rFonts w:ascii="宋体" w:cs="楷体_GB2312"/>
          <w:color w:val="auto"/>
          <w:sz w:val="24"/>
          <w:highlight w:val="none"/>
          <w:lang w:val="zh-CN"/>
        </w:rPr>
      </w:pPr>
    </w:p>
    <w:p w14:paraId="0DE33B62">
      <w:pPr>
        <w:autoSpaceDE w:val="0"/>
        <w:autoSpaceDN w:val="0"/>
        <w:adjustRightInd w:val="0"/>
        <w:snapToGrid w:val="0"/>
        <w:spacing w:before="120" w:beforeLines="50" w:line="300" w:lineRule="auto"/>
        <w:ind w:firstLine="539"/>
        <w:outlineLvl w:val="1"/>
        <w:rPr>
          <w:rFonts w:ascii="宋体" w:cs="楷体_GB2312"/>
          <w:color w:val="auto"/>
          <w:sz w:val="24"/>
          <w:highlight w:val="none"/>
          <w:lang w:val="zh-CN"/>
        </w:rPr>
      </w:pPr>
      <w:bookmarkStart w:id="30" w:name="_Toc202883071"/>
      <w:r>
        <w:rPr>
          <w:rFonts w:ascii="黑体" w:hAnsi="黑体" w:eastAsia="黑体" w:cs="楷体_GB2312"/>
          <w:b/>
          <w:bCs/>
          <w:color w:val="auto"/>
          <w:sz w:val="28"/>
          <w:szCs w:val="28"/>
          <w:highlight w:val="none"/>
          <w:lang w:val="zh-CN"/>
        </w:rPr>
        <w:t>5.</w:t>
      </w:r>
      <w:r>
        <w:rPr>
          <w:rFonts w:hint="eastAsia" w:ascii="黑体" w:hAnsi="黑体" w:eastAsia="黑体" w:cs="楷体_GB2312"/>
          <w:b/>
          <w:bCs/>
          <w:color w:val="auto"/>
          <w:sz w:val="28"/>
          <w:szCs w:val="28"/>
          <w:highlight w:val="none"/>
          <w:lang w:val="zh-CN"/>
        </w:rPr>
        <w:t>《响应文件》的开启</w:t>
      </w:r>
      <w:bookmarkEnd w:id="30"/>
    </w:p>
    <w:p w14:paraId="4772D425">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5.1 </w:t>
      </w:r>
      <w:r>
        <w:rPr>
          <w:rFonts w:hint="eastAsia" w:ascii="黑体" w:hAnsi="黑体" w:eastAsia="黑体" w:cs="楷体_GB2312"/>
          <w:b/>
          <w:color w:val="auto"/>
          <w:sz w:val="24"/>
          <w:highlight w:val="none"/>
          <w:lang w:val="zh-CN"/>
        </w:rPr>
        <w:t>《响应文件》开启时间和地点</w:t>
      </w:r>
    </w:p>
    <w:p w14:paraId="6DC36704">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 xml:space="preserve">5.1.1 </w:t>
      </w:r>
      <w:r>
        <w:rPr>
          <w:rFonts w:hint="eastAsia" w:ascii="宋体" w:hAnsi="宋体" w:cs="楷体_GB2312"/>
          <w:b/>
          <w:color w:val="auto"/>
          <w:sz w:val="24"/>
          <w:highlight w:val="none"/>
          <w:lang w:val="zh-CN"/>
        </w:rPr>
        <w:t>采购人和采购代理机构按“竞争性磋商</w:t>
      </w:r>
      <w:r>
        <w:rPr>
          <w:rFonts w:ascii="宋体" w:hAnsi="宋体" w:cs="楷体_GB2312"/>
          <w:b/>
          <w:color w:val="auto"/>
          <w:sz w:val="24"/>
          <w:highlight w:val="none"/>
          <w:lang w:val="zh-CN"/>
        </w:rPr>
        <w:t>公告</w:t>
      </w:r>
      <w:r>
        <w:rPr>
          <w:rFonts w:hint="eastAsia" w:ascii="宋体" w:hAnsi="宋体" w:cs="楷体_GB2312"/>
          <w:b/>
          <w:color w:val="auto"/>
          <w:sz w:val="24"/>
          <w:highlight w:val="none"/>
          <w:lang w:val="zh-CN"/>
        </w:rPr>
        <w:t>”规定的时间和地点于</w:t>
      </w:r>
      <w:r>
        <w:rPr>
          <w:rFonts w:ascii="宋体" w:hAnsi="宋体" w:cs="楷体_GB2312"/>
          <w:b/>
          <w:color w:val="auto"/>
          <w:sz w:val="24"/>
          <w:highlight w:val="none"/>
          <w:lang w:val="zh-CN"/>
        </w:rPr>
        <w:t>网上</w:t>
      </w:r>
      <w:r>
        <w:rPr>
          <w:rFonts w:hint="eastAsia" w:ascii="宋体" w:hAnsi="宋体" w:cs="楷体_GB2312"/>
          <w:b/>
          <w:color w:val="auto"/>
          <w:sz w:val="24"/>
          <w:highlight w:val="none"/>
          <w:lang w:val="zh-CN"/>
        </w:rPr>
        <w:t>（竞争性磋商公告所述网上电子交易系统</w:t>
      </w:r>
      <w:r>
        <w:rPr>
          <w:rFonts w:ascii="宋体" w:hAnsi="宋体" w:cs="楷体_GB2312"/>
          <w:b/>
          <w:color w:val="auto"/>
          <w:sz w:val="24"/>
          <w:highlight w:val="none"/>
          <w:lang w:val="zh-CN"/>
        </w:rPr>
        <w:t>）</w:t>
      </w:r>
      <w:r>
        <w:rPr>
          <w:rFonts w:hint="eastAsia" w:ascii="宋体" w:hAnsi="宋体" w:cs="楷体_GB2312"/>
          <w:b/>
          <w:color w:val="auto"/>
          <w:sz w:val="24"/>
          <w:highlight w:val="none"/>
          <w:lang w:val="zh-CN"/>
        </w:rPr>
        <w:t>公开《响应文件》开启。</w:t>
      </w:r>
    </w:p>
    <w:p w14:paraId="0D2B644D">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5.1.2</w:t>
      </w:r>
      <w:r>
        <w:rPr>
          <w:rFonts w:hint="eastAsia" w:ascii="宋体" w:hAnsi="宋体" w:cs="楷体_GB2312"/>
          <w:b/>
          <w:color w:val="auto"/>
          <w:sz w:val="24"/>
          <w:highlight w:val="none"/>
          <w:lang w:val="zh-CN"/>
        </w:rPr>
        <w:t>本项目采用远程不见面交易的模式，开标当日，供应商无需到开标现场参加开标会议，供应商应当在投标截止时间前，使用IE浏览器登录到安阳市公共资源交易不见面开标大厅，点击右上方【登录】按钮进入，在线准时参加开标活动并进行响应文件解密等。因供应商原因未能解密、解密失败或解密超时的将被拒绝。</w:t>
      </w:r>
    </w:p>
    <w:p w14:paraId="0F67484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5.2 </w:t>
      </w:r>
      <w:r>
        <w:rPr>
          <w:rFonts w:hint="eastAsia" w:ascii="黑体" w:hAnsi="黑体" w:eastAsia="黑体" w:cs="楷体_GB2312"/>
          <w:b/>
          <w:color w:val="auto"/>
          <w:sz w:val="24"/>
          <w:highlight w:val="none"/>
          <w:lang w:val="zh-CN"/>
        </w:rPr>
        <w:t>《响应文件》开启程序</w:t>
      </w:r>
    </w:p>
    <w:p w14:paraId="515FB7E2">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ascii="宋体" w:hAnsi="宋体" w:cs="楷体_GB2312"/>
          <w:b/>
          <w:color w:val="auto"/>
          <w:sz w:val="24"/>
          <w:highlight w:val="none"/>
          <w:lang w:val="zh-CN"/>
        </w:rPr>
        <w:t>5.2.1</w:t>
      </w:r>
      <w:r>
        <w:rPr>
          <w:rFonts w:hint="eastAsia" w:ascii="宋体" w:hAnsi="宋体" w:cs="楷体_GB2312"/>
          <w:b/>
          <w:color w:val="auto"/>
          <w:sz w:val="24"/>
          <w:highlight w:val="none"/>
          <w:lang w:val="zh-CN"/>
        </w:rPr>
        <w:t xml:space="preserve"> 本项目为网</w:t>
      </w:r>
      <w:r>
        <w:rPr>
          <w:rFonts w:ascii="宋体" w:hAnsi="宋体" w:cs="楷体_GB2312"/>
          <w:b/>
          <w:color w:val="auto"/>
          <w:sz w:val="24"/>
          <w:highlight w:val="none"/>
          <w:lang w:val="zh-CN"/>
        </w:rPr>
        <w:t>上</w:t>
      </w:r>
      <w:r>
        <w:rPr>
          <w:rFonts w:hint="eastAsia" w:ascii="宋体" w:hAnsi="宋体" w:cs="楷体_GB2312"/>
          <w:b/>
          <w:color w:val="auto"/>
          <w:sz w:val="24"/>
          <w:highlight w:val="none"/>
          <w:lang w:val="zh-CN"/>
        </w:rPr>
        <w:t>电子交易方</w:t>
      </w:r>
      <w:r>
        <w:rPr>
          <w:rFonts w:ascii="宋体" w:hAnsi="宋体" w:cs="楷体_GB2312"/>
          <w:b/>
          <w:color w:val="auto"/>
          <w:sz w:val="24"/>
          <w:highlight w:val="none"/>
          <w:lang w:val="zh-CN"/>
        </w:rPr>
        <w:t>式，</w:t>
      </w:r>
      <w:r>
        <w:rPr>
          <w:rFonts w:hint="eastAsia" w:ascii="宋体" w:hAnsi="宋体" w:cs="楷体_GB2312"/>
          <w:b/>
          <w:color w:val="auto"/>
          <w:sz w:val="24"/>
          <w:highlight w:val="none"/>
          <w:lang w:val="zh-CN"/>
        </w:rPr>
        <w:t>《响应文件》的开启方式为远程解密，为保证开启工作顺利进行，供应商需在开标阶段</w:t>
      </w:r>
      <w:r>
        <w:rPr>
          <w:rFonts w:ascii="宋体" w:hAnsi="宋体" w:cs="楷体_GB2312"/>
          <w:b/>
          <w:color w:val="auto"/>
          <w:sz w:val="24"/>
          <w:highlight w:val="none"/>
          <w:lang w:val="zh-CN"/>
        </w:rPr>
        <w:t>、在</w:t>
      </w:r>
      <w:r>
        <w:rPr>
          <w:rFonts w:hint="eastAsia" w:ascii="宋体" w:hAnsi="宋体" w:cs="楷体_GB2312"/>
          <w:b/>
          <w:color w:val="auto"/>
          <w:sz w:val="24"/>
          <w:highlight w:val="none"/>
          <w:lang w:val="zh-CN"/>
        </w:rPr>
        <w:t>管理员下达解密指令后的指定时限内，完成对本单位的加密《响应文件》的远程解密。如供应商因自身原因、在指定时限内没</w:t>
      </w:r>
      <w:r>
        <w:rPr>
          <w:rFonts w:ascii="宋体" w:hAnsi="宋体" w:cs="楷体_GB2312"/>
          <w:b/>
          <w:color w:val="auto"/>
          <w:sz w:val="24"/>
          <w:highlight w:val="none"/>
          <w:lang w:val="zh-CN"/>
        </w:rPr>
        <w:t>有</w:t>
      </w:r>
      <w:r>
        <w:rPr>
          <w:rFonts w:hint="eastAsia" w:ascii="宋体" w:hAnsi="宋体" w:cs="楷体_GB2312"/>
          <w:b/>
          <w:color w:val="auto"/>
          <w:sz w:val="24"/>
          <w:highlight w:val="none"/>
          <w:lang w:val="zh-CN"/>
        </w:rPr>
        <w:t>解密成功的，其投标将不能被接受，供应商自行承担相应后果。</w:t>
      </w:r>
    </w:p>
    <w:p w14:paraId="6469748D">
      <w:pPr>
        <w:autoSpaceDE w:val="0"/>
        <w:autoSpaceDN w:val="0"/>
        <w:adjustRightInd w:val="0"/>
        <w:snapToGrid w:val="0"/>
        <w:spacing w:before="120" w:beforeLines="50" w:line="300" w:lineRule="auto"/>
        <w:ind w:firstLine="539"/>
        <w:rPr>
          <w:rFonts w:ascii="宋体" w:hAnsi="宋体" w:cs="楷体_GB2312"/>
          <w:b/>
          <w:color w:val="auto"/>
          <w:sz w:val="24"/>
          <w:highlight w:val="none"/>
          <w:lang w:val="zh-CN"/>
        </w:rPr>
      </w:pPr>
      <w:r>
        <w:rPr>
          <w:rFonts w:hint="eastAsia" w:ascii="宋体" w:hAnsi="宋体" w:cs="楷体_GB2312"/>
          <w:b/>
          <w:color w:val="auto"/>
          <w:sz w:val="24"/>
          <w:highlight w:val="none"/>
          <w:lang w:val="zh-CN"/>
        </w:rPr>
        <w:t>鉴于网上电子交易方式的特点，管理员将根据系统情况下达解密指令。</w:t>
      </w:r>
    </w:p>
    <w:p w14:paraId="6436C91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b/>
          <w:color w:val="auto"/>
          <w:sz w:val="24"/>
          <w:highlight w:val="none"/>
          <w:lang w:val="zh-CN"/>
        </w:rPr>
        <w:t>5.2.2</w:t>
      </w:r>
      <w:r>
        <w:rPr>
          <w:rFonts w:hint="eastAsia" w:ascii="宋体" w:hAnsi="宋体" w:cs="楷体_GB2312"/>
          <w:b/>
          <w:color w:val="auto"/>
          <w:sz w:val="24"/>
          <w:highlight w:val="none"/>
          <w:lang w:val="zh-CN"/>
        </w:rPr>
        <w:t xml:space="preserve"> 供应商对开标过程和开标记录有疑义，以及认为采购人、采购代理机构相关工作人员有需要回避的情形的，应在系统中提出询问或者回避申请，否则，视为对开标无异议。</w:t>
      </w:r>
    </w:p>
    <w:p w14:paraId="2E9EA35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5.2.3 </w:t>
      </w:r>
      <w:r>
        <w:rPr>
          <w:rFonts w:hint="eastAsia" w:ascii="宋体" w:hAnsi="宋体" w:cs="楷体_GB2312"/>
          <w:color w:val="auto"/>
          <w:sz w:val="24"/>
          <w:highlight w:val="none"/>
          <w:lang w:val="zh-CN"/>
        </w:rPr>
        <w:t>在开标或评审过程中，有效投标应在三家以上（包括三家）；有效投标不足三家的应予终止（废标）。</w:t>
      </w:r>
    </w:p>
    <w:p w14:paraId="685B01B8">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383B8B29">
      <w:pPr>
        <w:autoSpaceDE w:val="0"/>
        <w:autoSpaceDN w:val="0"/>
        <w:adjustRightInd w:val="0"/>
        <w:snapToGrid w:val="0"/>
        <w:spacing w:before="120" w:beforeLines="50" w:line="300" w:lineRule="auto"/>
        <w:ind w:firstLine="539"/>
        <w:outlineLvl w:val="1"/>
        <w:rPr>
          <w:rFonts w:ascii="宋体" w:cs="楷体_GB2312"/>
          <w:color w:val="auto"/>
          <w:sz w:val="24"/>
          <w:highlight w:val="none"/>
          <w:lang w:val="zh-CN"/>
        </w:rPr>
      </w:pPr>
      <w:bookmarkStart w:id="31" w:name="_Toc202883072"/>
      <w:r>
        <w:rPr>
          <w:rFonts w:ascii="黑体" w:hAnsi="黑体" w:eastAsia="黑体" w:cs="楷体_GB2312"/>
          <w:b/>
          <w:bCs/>
          <w:color w:val="auto"/>
          <w:sz w:val="28"/>
          <w:szCs w:val="28"/>
          <w:highlight w:val="none"/>
          <w:lang w:val="zh-CN"/>
        </w:rPr>
        <w:t xml:space="preserve">6. </w:t>
      </w:r>
      <w:r>
        <w:rPr>
          <w:rFonts w:hint="eastAsia" w:ascii="黑体" w:hAnsi="黑体" w:eastAsia="黑体" w:cs="楷体_GB2312"/>
          <w:b/>
          <w:bCs/>
          <w:color w:val="auto"/>
          <w:sz w:val="28"/>
          <w:szCs w:val="28"/>
          <w:highlight w:val="none"/>
          <w:lang w:val="zh-CN"/>
        </w:rPr>
        <w:t>评审</w:t>
      </w:r>
      <w:bookmarkEnd w:id="31"/>
    </w:p>
    <w:p w14:paraId="03F8F937">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6.1 </w:t>
      </w:r>
      <w:r>
        <w:rPr>
          <w:rFonts w:hint="eastAsia" w:ascii="黑体" w:hAnsi="黑体" w:eastAsia="黑体" w:cs="楷体_GB2312"/>
          <w:b/>
          <w:color w:val="auto"/>
          <w:sz w:val="24"/>
          <w:highlight w:val="none"/>
          <w:lang w:val="zh-CN"/>
        </w:rPr>
        <w:t>磋商小组</w:t>
      </w:r>
    </w:p>
    <w:p w14:paraId="2AB4AEDB">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评审工作由依法组建的磋商小组负责。磋商小组由采购人代表和评审专家共</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人及以上单数组成，其中评审专家人数不少于磋商小组成员总数的</w:t>
      </w:r>
      <w:r>
        <w:rPr>
          <w:rFonts w:ascii="宋体" w:hAnsi="宋体" w:cs="楷体_GB2312"/>
          <w:color w:val="auto"/>
          <w:sz w:val="24"/>
          <w:highlight w:val="none"/>
          <w:lang w:val="zh-CN"/>
        </w:rPr>
        <w:t>2/3</w:t>
      </w:r>
      <w:r>
        <w:rPr>
          <w:rFonts w:hint="eastAsia" w:ascii="宋体" w:hAnsi="宋体" w:cs="楷体_GB2312"/>
          <w:color w:val="auto"/>
          <w:sz w:val="24"/>
          <w:highlight w:val="none"/>
          <w:lang w:val="zh-CN"/>
        </w:rPr>
        <w:t>，评审专家是在监督部门监督下从政府采购专家库中随机抽取产生。</w:t>
      </w:r>
    </w:p>
    <w:p w14:paraId="05161341">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6.2 </w:t>
      </w:r>
      <w:r>
        <w:rPr>
          <w:rFonts w:hint="eastAsia" w:ascii="黑体" w:hAnsi="黑体" w:eastAsia="黑体" w:cs="楷体_GB2312"/>
          <w:b/>
          <w:color w:val="auto"/>
          <w:sz w:val="24"/>
          <w:highlight w:val="none"/>
          <w:lang w:val="zh-CN"/>
        </w:rPr>
        <w:t>评审原则</w:t>
      </w:r>
    </w:p>
    <w:p w14:paraId="011720CA">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6.2.1 </w:t>
      </w:r>
      <w:r>
        <w:rPr>
          <w:rFonts w:hint="eastAsia" w:ascii="宋体" w:hAnsi="宋体" w:cs="楷体_GB2312"/>
          <w:color w:val="auto"/>
          <w:sz w:val="24"/>
          <w:highlight w:val="none"/>
          <w:lang w:val="zh-CN"/>
        </w:rPr>
        <w:t>坚持公开、公平、公正地对待所有供应商。</w:t>
      </w:r>
    </w:p>
    <w:p w14:paraId="05D4F71B">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6.2.2 </w:t>
      </w:r>
      <w:r>
        <w:rPr>
          <w:rFonts w:hint="eastAsia" w:ascii="宋体" w:hAnsi="宋体" w:cs="楷体_GB2312"/>
          <w:color w:val="auto"/>
          <w:sz w:val="24"/>
          <w:highlight w:val="none"/>
          <w:lang w:val="zh-CN"/>
        </w:rPr>
        <w:t>按照同一评审程序及方法审查所有供应商的《响应文件》。</w:t>
      </w:r>
    </w:p>
    <w:p w14:paraId="0EAFEA86">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6.2.3 </w:t>
      </w:r>
      <w:r>
        <w:rPr>
          <w:rFonts w:hint="eastAsia" w:ascii="宋体" w:hAnsi="宋体" w:cs="楷体_GB2312"/>
          <w:color w:val="auto"/>
          <w:sz w:val="24"/>
          <w:highlight w:val="none"/>
          <w:lang w:val="zh-CN"/>
        </w:rPr>
        <w:t>反对不正当竞争</w:t>
      </w:r>
    </w:p>
    <w:p w14:paraId="4104A2FF">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6.3 </w:t>
      </w:r>
      <w:r>
        <w:rPr>
          <w:rFonts w:hint="eastAsia" w:ascii="黑体" w:hAnsi="黑体" w:eastAsia="黑体" w:cs="楷体_GB2312"/>
          <w:b/>
          <w:color w:val="auto"/>
          <w:sz w:val="24"/>
          <w:highlight w:val="none"/>
          <w:lang w:val="zh-CN"/>
        </w:rPr>
        <w:t>评审</w:t>
      </w:r>
    </w:p>
    <w:p w14:paraId="53D4059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6.3.1</w:t>
      </w:r>
      <w:r>
        <w:rPr>
          <w:rFonts w:hint="eastAsia" w:ascii="宋体" w:hAnsi="宋体" w:cs="楷体_GB2312"/>
          <w:color w:val="auto"/>
          <w:sz w:val="24"/>
          <w:highlight w:val="none"/>
          <w:lang w:val="zh-CN"/>
        </w:rPr>
        <w:t>评审工作在磋商小组内独立进行。磋商小组按照第四章“评审办法”规定的方法、评审因素、标准和程序对《响应文件》进行评审。第四章“评审办法”没有规定的方法、评审因素和标准，不作为评审依据。</w:t>
      </w:r>
    </w:p>
    <w:p w14:paraId="0A8E50E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6.3.2</w:t>
      </w:r>
      <w:r>
        <w:rPr>
          <w:rFonts w:hint="eastAsia" w:ascii="宋体" w:hAnsi="宋体" w:cs="楷体_GB2312"/>
          <w:color w:val="auto"/>
          <w:sz w:val="24"/>
          <w:highlight w:val="none"/>
          <w:lang w:val="zh-CN"/>
        </w:rPr>
        <w:t>在《响应文件》开启、评审期间，供应商不得向磋商小组成员询问情况，不得进行旨在影响评审结果的活动。</w:t>
      </w:r>
    </w:p>
    <w:p w14:paraId="01BFFD3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黑体" w:hAnsi="黑体" w:eastAsia="黑体" w:cs="楷体_GB2312"/>
          <w:b/>
          <w:color w:val="auto"/>
          <w:sz w:val="24"/>
          <w:highlight w:val="none"/>
          <w:lang w:val="zh-CN"/>
        </w:rPr>
        <w:t xml:space="preserve">6.4 </w:t>
      </w:r>
      <w:r>
        <w:rPr>
          <w:rFonts w:hint="eastAsia" w:ascii="黑体" w:hAnsi="黑体" w:eastAsia="黑体" w:cs="楷体_GB2312"/>
          <w:b/>
          <w:color w:val="auto"/>
          <w:sz w:val="24"/>
          <w:highlight w:val="none"/>
          <w:lang w:val="zh-CN"/>
        </w:rPr>
        <w:t>磋商：</w:t>
      </w:r>
      <w:r>
        <w:rPr>
          <w:rFonts w:hint="eastAsia" w:ascii="宋体" w:hAnsi="宋体" w:cs="楷体_GB2312"/>
          <w:color w:val="auto"/>
          <w:sz w:val="24"/>
          <w:highlight w:val="none"/>
          <w:lang w:val="zh-CN"/>
        </w:rPr>
        <w:t>见第四章评审办法</w:t>
      </w:r>
      <w:r>
        <w:rPr>
          <w:rFonts w:ascii="宋体" w:hAnsi="宋体" w:cs="楷体_GB2312"/>
          <w:color w:val="auto"/>
          <w:sz w:val="24"/>
          <w:highlight w:val="none"/>
          <w:lang w:val="zh-CN"/>
        </w:rPr>
        <w:t>3.4</w:t>
      </w:r>
      <w:r>
        <w:rPr>
          <w:rFonts w:hint="eastAsia" w:ascii="宋体" w:hAnsi="宋体" w:cs="楷体_GB2312"/>
          <w:color w:val="auto"/>
          <w:sz w:val="24"/>
          <w:highlight w:val="none"/>
          <w:lang w:val="zh-CN"/>
        </w:rPr>
        <w:t>款磋商规则</w:t>
      </w:r>
    </w:p>
    <w:p w14:paraId="62742D77">
      <w:pPr>
        <w:autoSpaceDE w:val="0"/>
        <w:autoSpaceDN w:val="0"/>
        <w:adjustRightInd w:val="0"/>
        <w:snapToGrid w:val="0"/>
        <w:spacing w:before="120" w:beforeLines="50" w:line="300" w:lineRule="auto"/>
        <w:ind w:firstLine="539"/>
        <w:rPr>
          <w:rFonts w:ascii="宋体" w:cs="楷体_GB2312"/>
          <w:color w:val="auto"/>
          <w:sz w:val="24"/>
          <w:highlight w:val="none"/>
          <w:lang w:val="zh-CN"/>
        </w:rPr>
      </w:pPr>
    </w:p>
    <w:p w14:paraId="56B3073A">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32" w:name="_Toc202883073"/>
      <w:r>
        <w:rPr>
          <w:rFonts w:ascii="黑体" w:hAnsi="黑体" w:eastAsia="黑体" w:cs="楷体_GB2312"/>
          <w:b/>
          <w:bCs/>
          <w:color w:val="auto"/>
          <w:sz w:val="28"/>
          <w:szCs w:val="28"/>
          <w:highlight w:val="none"/>
          <w:lang w:val="zh-CN"/>
        </w:rPr>
        <w:t xml:space="preserve">7. </w:t>
      </w:r>
      <w:r>
        <w:rPr>
          <w:rFonts w:hint="eastAsia" w:ascii="黑体" w:hAnsi="黑体" w:eastAsia="黑体" w:cs="楷体_GB2312"/>
          <w:b/>
          <w:bCs/>
          <w:color w:val="auto"/>
          <w:sz w:val="28"/>
          <w:szCs w:val="28"/>
          <w:highlight w:val="none"/>
          <w:lang w:val="zh-CN"/>
        </w:rPr>
        <w:t>授予合同</w:t>
      </w:r>
      <w:bookmarkEnd w:id="32"/>
    </w:p>
    <w:p w14:paraId="72B4C956">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7.1 </w:t>
      </w:r>
      <w:r>
        <w:rPr>
          <w:rFonts w:hint="eastAsia" w:ascii="黑体" w:hAnsi="黑体" w:eastAsia="黑体" w:cs="楷体_GB2312"/>
          <w:b/>
          <w:color w:val="auto"/>
          <w:sz w:val="24"/>
          <w:highlight w:val="none"/>
          <w:lang w:val="zh-CN"/>
        </w:rPr>
        <w:t>确定成交供应商方式</w:t>
      </w:r>
    </w:p>
    <w:p w14:paraId="2AF9AF4C">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hAnsi="宋体" w:cs="楷体_GB2312"/>
          <w:color w:val="auto"/>
          <w:sz w:val="24"/>
          <w:highlight w:val="none"/>
          <w:lang w:val="zh-CN"/>
        </w:rPr>
        <w:t>除供应商须知前附表规定授权磋商小组直接确定成交供应商外，采购人应当自收到评审报告之日起</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14:paraId="05A1D00C">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7.2 </w:t>
      </w:r>
      <w:r>
        <w:rPr>
          <w:rFonts w:hint="eastAsia" w:ascii="黑体" w:hAnsi="黑体" w:eastAsia="黑体" w:cs="楷体_GB2312"/>
          <w:b/>
          <w:color w:val="auto"/>
          <w:sz w:val="24"/>
          <w:highlight w:val="none"/>
          <w:lang w:val="zh-CN"/>
        </w:rPr>
        <w:t>成交结果公告</w:t>
      </w:r>
    </w:p>
    <w:p w14:paraId="11E97CA2">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采购代理机构在成交供应商确定当天在竞争性磋商公告所述媒体公告成交结果。同时向成交供应商发出成交通知书。成交结果公告期限为</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个工作日。</w:t>
      </w:r>
    </w:p>
    <w:p w14:paraId="5EA74440">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7.3 </w:t>
      </w:r>
      <w:r>
        <w:rPr>
          <w:rFonts w:hint="eastAsia" w:ascii="黑体" w:hAnsi="黑体" w:eastAsia="黑体" w:cs="楷体_GB2312"/>
          <w:b/>
          <w:color w:val="auto"/>
          <w:sz w:val="24"/>
          <w:highlight w:val="none"/>
          <w:lang w:val="zh-CN"/>
        </w:rPr>
        <w:t>质疑：</w:t>
      </w:r>
    </w:p>
    <w:p w14:paraId="7EE32094">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olor w:val="auto"/>
          <w:sz w:val="24"/>
          <w:highlight w:val="none"/>
        </w:rPr>
        <w:t>7.3.1</w:t>
      </w:r>
      <w:r>
        <w:rPr>
          <w:rFonts w:hint="eastAsia" w:ascii="宋体" w:hAnsi="宋体" w:cs="楷体_GB2312"/>
          <w:color w:val="auto"/>
          <w:sz w:val="24"/>
          <w:highlight w:val="none"/>
          <w:lang w:val="zh-CN"/>
        </w:rPr>
        <w:t>见供应商须知前附表</w:t>
      </w:r>
    </w:p>
    <w:p w14:paraId="04C83190">
      <w:pPr>
        <w:adjustRightInd w:val="0"/>
        <w:snapToGrid w:val="0"/>
        <w:spacing w:before="120" w:beforeLines="50" w:line="240" w:lineRule="auto"/>
        <w:ind w:firstLine="600" w:firstLineChars="250"/>
        <w:rPr>
          <w:rFonts w:ascii="宋体"/>
          <w:color w:val="auto"/>
          <w:sz w:val="24"/>
          <w:highlight w:val="none"/>
        </w:rPr>
      </w:pPr>
      <w:r>
        <w:rPr>
          <w:rFonts w:ascii="宋体" w:hAnsi="宋体"/>
          <w:color w:val="auto"/>
          <w:sz w:val="24"/>
          <w:highlight w:val="none"/>
        </w:rPr>
        <w:t>7.3.2</w:t>
      </w:r>
      <w:r>
        <w:rPr>
          <w:rFonts w:hint="eastAsia" w:ascii="宋体" w:hAnsi="宋体"/>
          <w:color w:val="auto"/>
          <w:sz w:val="24"/>
          <w:highlight w:val="none"/>
        </w:rPr>
        <w:t>询问或者质疑事项可能影响成交结果的，采购人应当暂停签订合同，已经签订合同的，应当中止履行合同。</w:t>
      </w:r>
    </w:p>
    <w:p w14:paraId="5191F30E">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7.4 </w:t>
      </w:r>
      <w:r>
        <w:rPr>
          <w:rFonts w:hint="eastAsia" w:ascii="黑体" w:hAnsi="黑体" w:eastAsia="黑体" w:cs="楷体_GB2312"/>
          <w:b/>
          <w:color w:val="auto"/>
          <w:sz w:val="24"/>
          <w:highlight w:val="none"/>
          <w:lang w:val="zh-CN"/>
        </w:rPr>
        <w:t>成交通知：</w:t>
      </w:r>
      <w:r>
        <w:rPr>
          <w:rFonts w:hint="eastAsia" w:ascii="宋体" w:hAnsi="宋体" w:cs="楷体_GB2312"/>
          <w:color w:val="auto"/>
          <w:sz w:val="24"/>
          <w:highlight w:val="none"/>
          <w:lang w:val="zh-CN"/>
        </w:rPr>
        <w:t>见供应商须知前附表</w:t>
      </w:r>
    </w:p>
    <w:p w14:paraId="6B68FFF4">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7.5 </w:t>
      </w:r>
      <w:r>
        <w:rPr>
          <w:rFonts w:hint="eastAsia" w:ascii="黑体" w:hAnsi="黑体" w:eastAsia="黑体" w:cs="楷体_GB2312"/>
          <w:b/>
          <w:color w:val="auto"/>
          <w:sz w:val="24"/>
          <w:highlight w:val="none"/>
          <w:lang w:val="zh-CN"/>
        </w:rPr>
        <w:t>履约保证金</w:t>
      </w:r>
    </w:p>
    <w:p w14:paraId="45933153">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在签订合同时，成交供应商应按供应商须知前附表规定向采购人提交履约保证金。</w:t>
      </w:r>
    </w:p>
    <w:p w14:paraId="1A1B4985">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s="楷体_GB2312"/>
          <w:color w:val="auto"/>
          <w:sz w:val="24"/>
          <w:highlight w:val="none"/>
          <w:lang w:val="zh-CN"/>
        </w:rPr>
        <w:t xml:space="preserve">7.5.2 </w:t>
      </w:r>
      <w:r>
        <w:rPr>
          <w:rFonts w:hint="eastAsia" w:ascii="宋体" w:hAnsi="宋体" w:cs="楷体_GB2312"/>
          <w:color w:val="auto"/>
          <w:sz w:val="24"/>
          <w:highlight w:val="none"/>
          <w:lang w:val="zh-CN"/>
        </w:rPr>
        <w:t>成交供应商不能按本章第</w:t>
      </w:r>
      <w:r>
        <w:rPr>
          <w:rFonts w:ascii="宋体" w:hAnsi="宋体" w:cs="楷体_GB2312"/>
          <w:color w:val="auto"/>
          <w:sz w:val="24"/>
          <w:highlight w:val="none"/>
          <w:lang w:val="zh-CN"/>
        </w:rPr>
        <w:t>7.5.1</w:t>
      </w:r>
      <w:r>
        <w:rPr>
          <w:rFonts w:hint="eastAsia" w:ascii="宋体" w:hAnsi="宋体" w:cs="楷体_GB2312"/>
          <w:color w:val="auto"/>
          <w:sz w:val="24"/>
          <w:highlight w:val="none"/>
          <w:lang w:val="zh-CN"/>
        </w:rPr>
        <w:t>项要求提交履约保证金的，视为放弃成交资格，</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给采购人及采购代理机构造成损失的，成交供应商应当予以赔偿。</w:t>
      </w:r>
    </w:p>
    <w:p w14:paraId="288F3BEF">
      <w:pPr>
        <w:autoSpaceDE w:val="0"/>
        <w:autoSpaceDN w:val="0"/>
        <w:adjustRightInd w:val="0"/>
        <w:snapToGrid w:val="0"/>
        <w:spacing w:before="120" w:beforeLines="50" w:line="300" w:lineRule="auto"/>
        <w:ind w:firstLine="539"/>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7.6 </w:t>
      </w:r>
      <w:r>
        <w:rPr>
          <w:rFonts w:hint="eastAsia" w:ascii="黑体" w:hAnsi="黑体" w:eastAsia="黑体" w:cs="楷体_GB2312"/>
          <w:b/>
          <w:color w:val="auto"/>
          <w:sz w:val="24"/>
          <w:highlight w:val="none"/>
          <w:lang w:val="zh-CN"/>
        </w:rPr>
        <w:t>签订合同</w:t>
      </w:r>
    </w:p>
    <w:p w14:paraId="56BEF890">
      <w:pPr>
        <w:autoSpaceDE w:val="0"/>
        <w:autoSpaceDN w:val="0"/>
        <w:adjustRightInd w:val="0"/>
        <w:snapToGrid w:val="0"/>
        <w:spacing w:before="120" w:beforeLines="50" w:line="300" w:lineRule="auto"/>
        <w:ind w:firstLine="539"/>
        <w:rPr>
          <w:rFonts w:ascii="宋体" w:hAnsi="宋体"/>
          <w:color w:val="auto"/>
          <w:sz w:val="24"/>
          <w:highlight w:val="none"/>
        </w:rPr>
      </w:pPr>
      <w:r>
        <w:rPr>
          <w:rFonts w:ascii="宋体" w:hAnsi="宋体"/>
          <w:color w:val="auto"/>
          <w:sz w:val="24"/>
          <w:highlight w:val="none"/>
        </w:rPr>
        <w:t xml:space="preserve">7.6.1 </w:t>
      </w:r>
      <w:r>
        <w:rPr>
          <w:rFonts w:hint="eastAsia" w:ascii="宋体" w:hAnsi="宋体"/>
          <w:color w:val="auto"/>
          <w:sz w:val="24"/>
          <w:highlight w:val="none"/>
        </w:rPr>
        <w:t>据优化营商环境精神，成交供应商应在《成交通知书》发出后2个工作日内，按照《磋商文件》确定的合同文本以及成交标的、技术和服务等事项与采购人签订</w:t>
      </w:r>
      <w:r>
        <w:rPr>
          <w:rFonts w:hint="eastAsia" w:ascii="宋体" w:hAnsi="宋体" w:cs="楷体_GB2312"/>
          <w:color w:val="auto"/>
          <w:sz w:val="24"/>
          <w:highlight w:val="none"/>
          <w:lang w:val="zh-CN"/>
        </w:rPr>
        <w:t>书面</w:t>
      </w:r>
      <w:r>
        <w:rPr>
          <w:rFonts w:hint="eastAsia" w:ascii="宋体" w:hAnsi="宋体"/>
          <w:color w:val="auto"/>
          <w:sz w:val="24"/>
          <w:highlight w:val="none"/>
        </w:rPr>
        <w:t>政府采购合同。</w:t>
      </w:r>
    </w:p>
    <w:p w14:paraId="1A09016F">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ascii="宋体" w:hAnsi="宋体"/>
          <w:color w:val="auto"/>
          <w:sz w:val="24"/>
          <w:highlight w:val="none"/>
        </w:rPr>
        <w:t xml:space="preserve">7.6.2 </w:t>
      </w:r>
      <w:r>
        <w:rPr>
          <w:rFonts w:hint="eastAsia" w:ascii="宋体" w:hAnsi="宋体"/>
          <w:color w:val="auto"/>
          <w:sz w:val="24"/>
          <w:highlight w:val="none"/>
        </w:rPr>
        <w:t>如成交供应商不按时签订合同、</w:t>
      </w:r>
      <w:r>
        <w:rPr>
          <w:rFonts w:hint="eastAsia" w:ascii="宋体" w:hAnsi="宋体" w:cs="楷体_GB2312"/>
          <w:color w:val="auto"/>
          <w:sz w:val="24"/>
          <w:highlight w:val="none"/>
          <w:lang w:val="zh-CN"/>
        </w:rPr>
        <w:t>拒签合同的，取消其成交资格，</w:t>
      </w:r>
      <w:r>
        <w:rPr>
          <w:rFonts w:hint="eastAsia" w:ascii="宋体" w:hAnsi="宋体"/>
          <w:color w:val="auto"/>
          <w:sz w:val="24"/>
          <w:szCs w:val="24"/>
          <w:highlight w:val="none"/>
        </w:rPr>
        <w:t>依据磋商文件“第三章</w:t>
      </w:r>
      <w:r>
        <w:rPr>
          <w:rFonts w:hint="eastAsia" w:ascii="宋体" w:hAnsi="宋体" w:cs="楷体_GB2312"/>
          <w:color w:val="auto"/>
          <w:sz w:val="24"/>
          <w:szCs w:val="22"/>
          <w:highlight w:val="none"/>
        </w:rPr>
        <w:t>3.5.5 违背承诺的责任追究措施</w:t>
      </w:r>
      <w:r>
        <w:rPr>
          <w:rFonts w:hint="eastAsia" w:ascii="宋体" w:hAnsi="宋体"/>
          <w:color w:val="auto"/>
          <w:sz w:val="24"/>
          <w:szCs w:val="24"/>
          <w:highlight w:val="none"/>
        </w:rPr>
        <w:t>”，供应商</w:t>
      </w:r>
      <w:r>
        <w:rPr>
          <w:rFonts w:hint="eastAsia" w:ascii="宋体" w:hAnsi="宋体" w:cs="楷体_GB2312"/>
          <w:color w:val="auto"/>
          <w:sz w:val="24"/>
          <w:szCs w:val="22"/>
          <w:highlight w:val="none"/>
        </w:rPr>
        <w:t>承担相应法律责任及违约责任。</w:t>
      </w:r>
      <w:r>
        <w:rPr>
          <w:rFonts w:hint="eastAsia" w:ascii="宋体" w:hAnsi="宋体" w:cs="楷体_GB2312"/>
          <w:color w:val="auto"/>
          <w:sz w:val="24"/>
          <w:highlight w:val="none"/>
          <w:lang w:val="zh-CN"/>
        </w:rPr>
        <w:t>给采购人造成的损失，成交供应商应予以赔偿。</w:t>
      </w:r>
    </w:p>
    <w:p w14:paraId="51D7B0E4">
      <w:pPr>
        <w:widowControl w:val="0"/>
        <w:adjustRightInd w:val="0"/>
        <w:snapToGrid w:val="0"/>
        <w:spacing w:before="120" w:beforeLines="50" w:line="300" w:lineRule="auto"/>
        <w:ind w:firstLine="566"/>
        <w:rPr>
          <w:rFonts w:ascii="宋体" w:hAnsi="宋体"/>
          <w:color w:val="auto"/>
          <w:sz w:val="24"/>
          <w:szCs w:val="24"/>
          <w:highlight w:val="none"/>
        </w:rPr>
      </w:pPr>
      <w:r>
        <w:rPr>
          <w:color w:val="auto"/>
          <w:sz w:val="24"/>
          <w:szCs w:val="24"/>
          <w:highlight w:val="none"/>
        </w:rPr>
        <w:t>7.6.3</w:t>
      </w:r>
      <w:r>
        <w:rPr>
          <w:rFonts w:hint="eastAsia"/>
          <w:color w:val="auto"/>
          <w:sz w:val="24"/>
          <w:szCs w:val="24"/>
          <w:highlight w:val="none"/>
        </w:rPr>
        <w:t>合同生效：成交供应商与采购人签订的合同，双方签字后盖章生效。</w:t>
      </w:r>
      <w:r>
        <w:rPr>
          <w:rFonts w:hint="eastAsia" w:ascii="宋体" w:hAnsi="宋体"/>
          <w:color w:val="auto"/>
          <w:sz w:val="24"/>
          <w:szCs w:val="24"/>
          <w:highlight w:val="none"/>
        </w:rPr>
        <w:t>采购人要在合同签订后1个工作日内登陆</w:t>
      </w:r>
      <w:r>
        <w:rPr>
          <w:rFonts w:hint="eastAsia" w:ascii="宋体" w:hAnsi="宋体"/>
          <w:color w:val="auto"/>
          <w:sz w:val="24"/>
          <w:szCs w:val="24"/>
          <w:highlight w:val="none"/>
          <w:lang w:val="en-US" w:eastAsia="zh-CN"/>
        </w:rPr>
        <w:t>安阳</w:t>
      </w:r>
      <w:r>
        <w:rPr>
          <w:rFonts w:hint="eastAsia" w:ascii="宋体" w:hAnsi="宋体"/>
          <w:color w:val="auto"/>
          <w:sz w:val="24"/>
          <w:szCs w:val="24"/>
          <w:highlight w:val="none"/>
        </w:rPr>
        <w:t>市政府采购网进行备案并公告。</w:t>
      </w:r>
    </w:p>
    <w:p w14:paraId="2C233D72">
      <w:pPr>
        <w:widowControl w:val="0"/>
        <w:adjustRightInd w:val="0"/>
        <w:snapToGrid w:val="0"/>
        <w:spacing w:before="120" w:beforeLines="50" w:line="300" w:lineRule="auto"/>
        <w:ind w:firstLine="549"/>
        <w:rPr>
          <w:color w:val="auto"/>
          <w:sz w:val="24"/>
          <w:szCs w:val="24"/>
          <w:highlight w:val="none"/>
        </w:rPr>
      </w:pPr>
      <w:r>
        <w:rPr>
          <w:color w:val="auto"/>
          <w:sz w:val="24"/>
          <w:szCs w:val="24"/>
          <w:highlight w:val="none"/>
        </w:rPr>
        <w:t>7.6.4</w:t>
      </w:r>
      <w:r>
        <w:rPr>
          <w:rFonts w:hint="eastAsia"/>
          <w:color w:val="auto"/>
          <w:sz w:val="24"/>
          <w:szCs w:val="24"/>
          <w:highlight w:val="none"/>
        </w:rPr>
        <w:t>《成交通知书》、《磋商文件》</w:t>
      </w:r>
      <w:r>
        <w:rPr>
          <w:rFonts w:hint="eastAsia"/>
          <w:color w:val="auto"/>
          <w:spacing w:val="20"/>
          <w:sz w:val="24"/>
          <w:szCs w:val="24"/>
          <w:highlight w:val="none"/>
        </w:rPr>
        <w:t>及其修改补充澄清</w:t>
      </w:r>
      <w:r>
        <w:rPr>
          <w:rFonts w:hint="eastAsia"/>
          <w:color w:val="auto"/>
          <w:sz w:val="24"/>
          <w:szCs w:val="24"/>
          <w:highlight w:val="none"/>
        </w:rPr>
        <w:t>、成交供应商的《响应文件》及</w:t>
      </w:r>
      <w:r>
        <w:rPr>
          <w:rFonts w:hint="eastAsia"/>
          <w:color w:val="auto"/>
          <w:spacing w:val="20"/>
          <w:sz w:val="24"/>
          <w:szCs w:val="24"/>
          <w:highlight w:val="none"/>
        </w:rPr>
        <w:t>其修改补充澄清</w:t>
      </w:r>
      <w:r>
        <w:rPr>
          <w:rFonts w:hint="eastAsia"/>
          <w:color w:val="auto"/>
          <w:sz w:val="24"/>
          <w:szCs w:val="24"/>
          <w:highlight w:val="none"/>
        </w:rPr>
        <w:t>等，均为签订合同的依据。所定合同不得对《磋商文件》和成交供应商的《响应文件》作实质性修改，采购人和成交供应商不得私下订立背离合同实质性内容的协议。</w:t>
      </w:r>
    </w:p>
    <w:p w14:paraId="58667241">
      <w:pPr>
        <w:widowControl w:val="0"/>
        <w:adjustRightInd w:val="0"/>
        <w:snapToGrid w:val="0"/>
        <w:spacing w:before="120" w:beforeLines="50" w:line="300" w:lineRule="auto"/>
        <w:ind w:firstLine="549"/>
        <w:rPr>
          <w:color w:val="auto"/>
          <w:sz w:val="24"/>
          <w:szCs w:val="24"/>
          <w:highlight w:val="none"/>
        </w:rPr>
      </w:pPr>
      <w:r>
        <w:rPr>
          <w:color w:val="auto"/>
          <w:sz w:val="24"/>
          <w:szCs w:val="24"/>
          <w:highlight w:val="none"/>
        </w:rPr>
        <w:t xml:space="preserve">7.6.5 </w:t>
      </w:r>
      <w:r>
        <w:rPr>
          <w:rFonts w:hint="eastAsia"/>
          <w:color w:val="auto"/>
          <w:sz w:val="24"/>
          <w:szCs w:val="24"/>
          <w:highlight w:val="none"/>
        </w:rPr>
        <w:t>评审会后，成交供应商、采购人之间擅自私下谈判、变更中标（成交）标的、价格及《磋商文件》《响应文件》实质性内容的，有关部门将按《中华人民共和国政府采购法》及相关法规的规定处理。</w:t>
      </w:r>
    </w:p>
    <w:p w14:paraId="64682564">
      <w:pPr>
        <w:widowControl w:val="0"/>
        <w:adjustRightInd w:val="0"/>
        <w:snapToGrid w:val="0"/>
        <w:spacing w:before="120" w:beforeLines="50" w:line="300" w:lineRule="auto"/>
        <w:ind w:firstLine="549"/>
        <w:rPr>
          <w:color w:val="auto"/>
          <w:sz w:val="24"/>
          <w:szCs w:val="24"/>
          <w:highlight w:val="none"/>
        </w:rPr>
      </w:pPr>
      <w:r>
        <w:rPr>
          <w:color w:val="auto"/>
          <w:sz w:val="24"/>
          <w:szCs w:val="24"/>
          <w:highlight w:val="none"/>
        </w:rPr>
        <w:t>7.6.</w:t>
      </w:r>
      <w:r>
        <w:rPr>
          <w:rFonts w:hint="eastAsia"/>
          <w:color w:val="auto"/>
          <w:sz w:val="24"/>
          <w:szCs w:val="24"/>
          <w:highlight w:val="none"/>
        </w:rPr>
        <w:t>6</w:t>
      </w:r>
      <w:r>
        <w:rPr>
          <w:color w:val="auto"/>
          <w:sz w:val="24"/>
          <w:szCs w:val="24"/>
          <w:highlight w:val="none"/>
        </w:rPr>
        <w:t xml:space="preserve"> </w:t>
      </w:r>
      <w:r>
        <w:rPr>
          <w:rFonts w:hint="eastAsia"/>
          <w:color w:val="auto"/>
          <w:sz w:val="24"/>
          <w:szCs w:val="24"/>
          <w:highlight w:val="none"/>
        </w:rPr>
        <w:t>采购人与成交供应商签订《政府采购合同》后，合同履行中产生的纠纷、争议，由采购人与成交供应商按合同条款及《中华人民共和国民法典》处理。</w:t>
      </w:r>
    </w:p>
    <w:p w14:paraId="67FA8551">
      <w:pPr>
        <w:widowControl w:val="0"/>
        <w:adjustRightInd w:val="0"/>
        <w:snapToGrid w:val="0"/>
        <w:spacing w:before="120" w:beforeLines="50" w:line="300" w:lineRule="auto"/>
        <w:ind w:firstLine="555"/>
        <w:rPr>
          <w:rFonts w:ascii="黑体" w:hAnsi="黑体" w:eastAsia="黑体" w:cs="楷体_GB2312"/>
          <w:b/>
          <w:color w:val="auto"/>
          <w:sz w:val="24"/>
          <w:highlight w:val="none"/>
          <w:lang w:val="zh-CN"/>
        </w:rPr>
      </w:pPr>
      <w:r>
        <w:rPr>
          <w:rFonts w:ascii="黑体" w:hAnsi="黑体" w:eastAsia="黑体" w:cs="楷体_GB2312"/>
          <w:b/>
          <w:color w:val="auto"/>
          <w:sz w:val="24"/>
          <w:highlight w:val="none"/>
          <w:lang w:val="zh-CN"/>
        </w:rPr>
        <w:t xml:space="preserve">7.7 </w:t>
      </w:r>
      <w:r>
        <w:rPr>
          <w:rFonts w:hint="eastAsia" w:ascii="黑体" w:hAnsi="黑体" w:eastAsia="黑体" w:cs="楷体_GB2312"/>
          <w:b/>
          <w:color w:val="auto"/>
          <w:sz w:val="24"/>
          <w:highlight w:val="none"/>
          <w:lang w:val="zh-CN"/>
        </w:rPr>
        <w:t>合同补充变更</w:t>
      </w:r>
    </w:p>
    <w:p w14:paraId="6CC19082">
      <w:pPr>
        <w:widowControl w:val="0"/>
        <w:adjustRightInd w:val="0"/>
        <w:snapToGrid w:val="0"/>
        <w:spacing w:before="120" w:beforeLines="50" w:line="300" w:lineRule="auto"/>
        <w:ind w:firstLine="555"/>
        <w:rPr>
          <w:color w:val="auto"/>
          <w:sz w:val="24"/>
          <w:szCs w:val="24"/>
          <w:highlight w:val="none"/>
        </w:rPr>
      </w:pPr>
      <w:r>
        <w:rPr>
          <w:color w:val="auto"/>
          <w:sz w:val="24"/>
          <w:szCs w:val="24"/>
          <w:highlight w:val="none"/>
        </w:rPr>
        <w:t xml:space="preserve">7.7.1 </w:t>
      </w:r>
      <w:r>
        <w:rPr>
          <w:rFonts w:hint="eastAsia"/>
          <w:color w:val="auto"/>
          <w:sz w:val="24"/>
          <w:szCs w:val="24"/>
          <w:highlight w:val="none"/>
        </w:rPr>
        <w:t>政府采购合同履行中，采购人需追加或减少与合同标的相同的货物</w:t>
      </w:r>
      <w:r>
        <w:rPr>
          <w:rFonts w:hint="eastAsia" w:ascii="宋体" w:hAnsi="宋体"/>
          <w:color w:val="auto"/>
          <w:sz w:val="24"/>
          <w:szCs w:val="24"/>
          <w:highlight w:val="none"/>
        </w:rPr>
        <w:t>、工程和服务的</w:t>
      </w:r>
      <w:r>
        <w:rPr>
          <w:rFonts w:hint="eastAsia"/>
          <w:color w:val="auto"/>
          <w:sz w:val="24"/>
          <w:szCs w:val="24"/>
          <w:highlight w:val="none"/>
        </w:rPr>
        <w:t>（即追加或减少原合同标的数量），在不改变合同条款（包括原合同单价）的前提下，双方可以协商签订补充合同，但所有补充合同总金额不得超过原合同采购金额的</w:t>
      </w:r>
      <w:r>
        <w:rPr>
          <w:color w:val="auto"/>
          <w:sz w:val="24"/>
          <w:szCs w:val="24"/>
          <w:highlight w:val="none"/>
        </w:rPr>
        <w:t>10%</w:t>
      </w:r>
      <w:r>
        <w:rPr>
          <w:rFonts w:hint="eastAsia"/>
          <w:color w:val="auto"/>
          <w:sz w:val="24"/>
          <w:szCs w:val="24"/>
          <w:highlight w:val="none"/>
        </w:rPr>
        <w:t>，不得调增原合同单价，不得超出项目预算，超过原合同采购金额的</w:t>
      </w:r>
      <w:r>
        <w:rPr>
          <w:color w:val="auto"/>
          <w:sz w:val="24"/>
          <w:szCs w:val="24"/>
          <w:highlight w:val="none"/>
        </w:rPr>
        <w:t>10%</w:t>
      </w:r>
      <w:r>
        <w:rPr>
          <w:rFonts w:hint="eastAsia"/>
          <w:color w:val="auto"/>
          <w:sz w:val="24"/>
          <w:szCs w:val="24"/>
          <w:highlight w:val="none"/>
        </w:rPr>
        <w:t>，应重新组织采购活动。</w:t>
      </w:r>
    </w:p>
    <w:p w14:paraId="3A32D134">
      <w:pPr>
        <w:widowControl w:val="0"/>
        <w:adjustRightInd w:val="0"/>
        <w:snapToGrid w:val="0"/>
        <w:spacing w:before="120" w:beforeLines="50" w:line="300" w:lineRule="auto"/>
        <w:ind w:firstLine="555"/>
        <w:rPr>
          <w:color w:val="auto"/>
          <w:sz w:val="24"/>
          <w:szCs w:val="24"/>
          <w:highlight w:val="none"/>
        </w:rPr>
      </w:pPr>
      <w:r>
        <w:rPr>
          <w:color w:val="auto"/>
          <w:sz w:val="24"/>
          <w:szCs w:val="24"/>
          <w:highlight w:val="none"/>
        </w:rPr>
        <w:t>7.7.2</w:t>
      </w:r>
      <w:r>
        <w:rPr>
          <w:rFonts w:hint="eastAsia"/>
          <w:color w:val="auto"/>
          <w:sz w:val="24"/>
          <w:szCs w:val="24"/>
          <w:highlight w:val="none"/>
        </w:rPr>
        <w:t>采购人需追加或减少的货物</w:t>
      </w:r>
      <w:r>
        <w:rPr>
          <w:rFonts w:hint="eastAsia" w:ascii="宋体" w:hAnsi="宋体"/>
          <w:color w:val="auto"/>
          <w:sz w:val="24"/>
          <w:szCs w:val="24"/>
          <w:highlight w:val="none"/>
        </w:rPr>
        <w:t>、工程和服务的</w:t>
      </w:r>
      <w:r>
        <w:rPr>
          <w:rFonts w:hint="eastAsia"/>
          <w:color w:val="auto"/>
          <w:sz w:val="24"/>
          <w:szCs w:val="24"/>
          <w:highlight w:val="none"/>
        </w:rPr>
        <w:t>金额达到</w:t>
      </w:r>
      <w:r>
        <w:rPr>
          <w:color w:val="auto"/>
          <w:sz w:val="24"/>
          <w:szCs w:val="24"/>
          <w:highlight w:val="none"/>
        </w:rPr>
        <w:t>50</w:t>
      </w:r>
      <w:r>
        <w:rPr>
          <w:rFonts w:hint="eastAsia"/>
          <w:color w:val="auto"/>
          <w:sz w:val="24"/>
          <w:szCs w:val="24"/>
          <w:highlight w:val="none"/>
        </w:rPr>
        <w:t>万元以上（含</w:t>
      </w:r>
      <w:r>
        <w:rPr>
          <w:color w:val="auto"/>
          <w:sz w:val="24"/>
          <w:szCs w:val="24"/>
          <w:highlight w:val="none"/>
        </w:rPr>
        <w:t>50</w:t>
      </w:r>
      <w:r>
        <w:rPr>
          <w:rFonts w:hint="eastAsia"/>
          <w:color w:val="auto"/>
          <w:sz w:val="24"/>
          <w:szCs w:val="24"/>
          <w:highlight w:val="none"/>
        </w:rPr>
        <w:t>万元）、且超过中标（成交）价</w:t>
      </w:r>
      <w:r>
        <w:rPr>
          <w:color w:val="auto"/>
          <w:sz w:val="24"/>
          <w:szCs w:val="24"/>
          <w:highlight w:val="none"/>
        </w:rPr>
        <w:t>3%</w:t>
      </w:r>
      <w:r>
        <w:rPr>
          <w:rFonts w:hint="eastAsia"/>
          <w:color w:val="auto"/>
          <w:sz w:val="24"/>
          <w:szCs w:val="24"/>
          <w:highlight w:val="none"/>
        </w:rPr>
        <w:t>的，采购人应当自确定变更之日起</w:t>
      </w:r>
      <w:r>
        <w:rPr>
          <w:color w:val="auto"/>
          <w:sz w:val="24"/>
          <w:szCs w:val="24"/>
          <w:highlight w:val="none"/>
        </w:rPr>
        <w:t>5</w:t>
      </w:r>
      <w:r>
        <w:rPr>
          <w:rFonts w:hint="eastAsia"/>
          <w:color w:val="auto"/>
          <w:sz w:val="24"/>
          <w:szCs w:val="24"/>
          <w:highlight w:val="none"/>
        </w:rPr>
        <w:t>个工作日内将变更情况及事由报送同级监察机关。</w:t>
      </w:r>
    </w:p>
    <w:p w14:paraId="50E955C2">
      <w:pPr>
        <w:widowControl w:val="0"/>
        <w:adjustRightInd w:val="0"/>
        <w:snapToGrid w:val="0"/>
        <w:spacing w:before="120" w:beforeLines="50" w:line="300" w:lineRule="auto"/>
        <w:ind w:firstLine="555"/>
        <w:rPr>
          <w:color w:val="auto"/>
          <w:sz w:val="24"/>
          <w:szCs w:val="24"/>
          <w:highlight w:val="none"/>
        </w:rPr>
      </w:pPr>
      <w:r>
        <w:rPr>
          <w:rFonts w:hint="eastAsia"/>
          <w:color w:val="auto"/>
          <w:sz w:val="24"/>
          <w:szCs w:val="24"/>
          <w:highlight w:val="none"/>
        </w:rPr>
        <w:t>采购项目在中标（成交）后经有关行政机关批准变更的，批准的行政机关应当自批准之日起</w:t>
      </w:r>
      <w:r>
        <w:rPr>
          <w:color w:val="auto"/>
          <w:sz w:val="24"/>
          <w:szCs w:val="24"/>
          <w:highlight w:val="none"/>
        </w:rPr>
        <w:t>3</w:t>
      </w:r>
      <w:r>
        <w:rPr>
          <w:rFonts w:hint="eastAsia"/>
          <w:color w:val="auto"/>
          <w:sz w:val="24"/>
          <w:szCs w:val="24"/>
          <w:highlight w:val="none"/>
        </w:rPr>
        <w:t>个工作日内将批准文件抄送同级监察机关备案。</w:t>
      </w:r>
    </w:p>
    <w:p w14:paraId="17F742BE">
      <w:pPr>
        <w:widowControl w:val="0"/>
        <w:adjustRightInd w:val="0"/>
        <w:snapToGrid w:val="0"/>
        <w:spacing w:before="120" w:beforeLines="50" w:line="300" w:lineRule="auto"/>
        <w:ind w:firstLine="555"/>
        <w:rPr>
          <w:color w:val="auto"/>
          <w:sz w:val="24"/>
          <w:szCs w:val="24"/>
          <w:highlight w:val="none"/>
        </w:rPr>
      </w:pPr>
    </w:p>
    <w:p w14:paraId="47BDACEB">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33" w:name="_Toc202883074"/>
      <w:r>
        <w:rPr>
          <w:rFonts w:ascii="黑体" w:hAnsi="黑体" w:eastAsia="黑体" w:cs="楷体_GB2312"/>
          <w:b/>
          <w:bCs/>
          <w:color w:val="auto"/>
          <w:sz w:val="28"/>
          <w:szCs w:val="28"/>
          <w:highlight w:val="none"/>
          <w:lang w:val="zh-CN"/>
        </w:rPr>
        <w:t xml:space="preserve">8. </w:t>
      </w:r>
      <w:r>
        <w:rPr>
          <w:rFonts w:hint="eastAsia" w:ascii="黑体" w:hAnsi="黑体" w:eastAsia="黑体" w:cs="楷体_GB2312"/>
          <w:b/>
          <w:bCs/>
          <w:color w:val="auto"/>
          <w:sz w:val="28"/>
          <w:szCs w:val="28"/>
          <w:highlight w:val="none"/>
          <w:lang w:val="zh-CN"/>
        </w:rPr>
        <w:t>验收</w:t>
      </w:r>
      <w:bookmarkEnd w:id="33"/>
    </w:p>
    <w:p w14:paraId="559AAC1A">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8.1</w:t>
      </w:r>
      <w:r>
        <w:rPr>
          <w:rFonts w:hint="eastAsia" w:ascii="宋体" w:hAnsi="宋体" w:cs="楷体_GB2312"/>
          <w:color w:val="auto"/>
          <w:sz w:val="24"/>
          <w:highlight w:val="none"/>
          <w:lang w:val="zh-CN"/>
        </w:rPr>
        <w:t>验收时间：项目具备验收条件时，由采购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355D26E8">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8.2</w:t>
      </w:r>
      <w:r>
        <w:rPr>
          <w:rFonts w:hint="eastAsia" w:ascii="宋体" w:hAnsi="宋体" w:cs="楷体_GB2312"/>
          <w:color w:val="auto"/>
          <w:sz w:val="24"/>
          <w:highlight w:val="none"/>
          <w:lang w:val="zh-CN"/>
        </w:rPr>
        <w:t>验收工作组：合同履约验收工作应成立验收工作组专门负责。</w:t>
      </w:r>
    </w:p>
    <w:p w14:paraId="348F5718">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15A32B5F">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3EE26981">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0A25FB15">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8.3验收时，验收小组按照采购合同的约定对每一项技术、服务、安全标准的履约情况进行确认。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223BF855">
      <w:pPr>
        <w:widowControl w:val="0"/>
        <w:adjustRightInd w:val="0"/>
        <w:snapToGrid w:val="0"/>
        <w:spacing w:before="120" w:beforeLines="50" w:line="300" w:lineRule="auto"/>
        <w:ind w:firstLine="561"/>
        <w:rPr>
          <w:rFonts w:ascii="宋体" w:hAnsi="宋体" w:cs="楷体_GB2312"/>
          <w:color w:val="auto"/>
          <w:sz w:val="24"/>
          <w:highlight w:val="none"/>
        </w:rPr>
      </w:pPr>
      <w:r>
        <w:rPr>
          <w:rFonts w:ascii="宋体" w:hAnsi="宋体" w:cs="楷体_GB2312"/>
          <w:color w:val="auto"/>
          <w:sz w:val="24"/>
          <w:highlight w:val="none"/>
          <w:lang w:val="zh-CN"/>
        </w:rPr>
        <w:t>8.</w:t>
      </w:r>
      <w:r>
        <w:rPr>
          <w:rFonts w:hint="eastAsia" w:ascii="宋体" w:hAnsi="宋体" w:cs="楷体_GB2312"/>
          <w:color w:val="auto"/>
          <w:sz w:val="24"/>
          <w:highlight w:val="none"/>
        </w:rPr>
        <w:t>4</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6A34B6F8">
      <w:pPr>
        <w:widowControl w:val="0"/>
        <w:adjustRightInd w:val="0"/>
        <w:snapToGrid w:val="0"/>
        <w:spacing w:before="120"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8.</w:t>
      </w: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6D3E424B">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8.6 验收公告的时限：采购人要在政府采购项目验收完成后1个工作日内登陆</w:t>
      </w:r>
      <w:r>
        <w:rPr>
          <w:rFonts w:hint="eastAsia" w:ascii="宋体" w:hAnsi="宋体" w:cs="楷体_GB2312"/>
          <w:color w:val="auto"/>
          <w:sz w:val="24"/>
          <w:highlight w:val="none"/>
          <w:lang w:val="en-US" w:eastAsia="zh-CN"/>
        </w:rPr>
        <w:t>安阳</w:t>
      </w:r>
      <w:r>
        <w:rPr>
          <w:rFonts w:hint="eastAsia" w:ascii="宋体" w:hAnsi="宋体" w:cs="楷体_GB2312"/>
          <w:color w:val="auto"/>
          <w:sz w:val="24"/>
          <w:highlight w:val="none"/>
          <w:lang w:val="zh-CN"/>
        </w:rPr>
        <w:t>市政府采购网进行验收公告。</w:t>
      </w:r>
    </w:p>
    <w:p w14:paraId="79683226">
      <w:pPr>
        <w:widowControl w:val="0"/>
        <w:adjustRightInd w:val="0"/>
        <w:snapToGrid w:val="0"/>
        <w:spacing w:before="120" w:beforeLines="50" w:line="300" w:lineRule="auto"/>
        <w:ind w:firstLine="561"/>
        <w:rPr>
          <w:rFonts w:ascii="宋体" w:cs="楷体_GB2312"/>
          <w:color w:val="auto"/>
          <w:sz w:val="24"/>
          <w:highlight w:val="none"/>
          <w:lang w:val="zh-CN"/>
        </w:rPr>
      </w:pPr>
    </w:p>
    <w:p w14:paraId="29EA546E">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34" w:name="_Toc202883075"/>
      <w:r>
        <w:rPr>
          <w:rFonts w:ascii="黑体" w:hAnsi="黑体" w:eastAsia="黑体" w:cs="楷体_GB2312"/>
          <w:b/>
          <w:bCs/>
          <w:color w:val="auto"/>
          <w:sz w:val="28"/>
          <w:szCs w:val="28"/>
          <w:highlight w:val="none"/>
          <w:lang w:val="zh-CN"/>
        </w:rPr>
        <w:t>9.</w:t>
      </w:r>
      <w:r>
        <w:rPr>
          <w:rFonts w:hint="eastAsia" w:ascii="黑体" w:hAnsi="黑体" w:eastAsia="黑体" w:cs="楷体_GB2312"/>
          <w:b/>
          <w:bCs/>
          <w:color w:val="auto"/>
          <w:sz w:val="28"/>
          <w:szCs w:val="28"/>
          <w:highlight w:val="none"/>
          <w:lang w:val="zh-CN"/>
        </w:rPr>
        <w:t>付款</w:t>
      </w:r>
      <w:bookmarkEnd w:id="34"/>
    </w:p>
    <w:p w14:paraId="20B428EA">
      <w:pPr>
        <w:widowControl w:val="0"/>
        <w:adjustRightInd w:val="0"/>
        <w:snapToGrid w:val="0"/>
        <w:spacing w:before="120" w:beforeLines="50" w:line="300" w:lineRule="auto"/>
        <w:ind w:firstLine="561"/>
        <w:rPr>
          <w:rFonts w:ascii="宋体" w:cs="楷体_GB2312"/>
          <w:color w:val="auto"/>
          <w:sz w:val="24"/>
          <w:highlight w:val="none"/>
          <w:lang w:val="zh-CN"/>
        </w:rPr>
      </w:pPr>
      <w:r>
        <w:rPr>
          <w:rFonts w:hint="eastAsia" w:ascii="宋体" w:hAnsi="宋体" w:cs="楷体_GB2312"/>
          <w:color w:val="auto"/>
          <w:sz w:val="24"/>
          <w:highlight w:val="none"/>
          <w:lang w:val="zh-CN"/>
        </w:rPr>
        <w:t>见供应商须知前附表</w:t>
      </w:r>
    </w:p>
    <w:p w14:paraId="77BABC94">
      <w:pPr>
        <w:widowControl w:val="0"/>
        <w:adjustRightInd w:val="0"/>
        <w:snapToGrid w:val="0"/>
        <w:spacing w:before="120" w:beforeLines="50" w:line="300" w:lineRule="auto"/>
        <w:ind w:firstLine="561"/>
        <w:rPr>
          <w:rFonts w:ascii="黑体" w:hAnsi="黑体" w:eastAsia="黑体" w:cs="楷体_GB2312"/>
          <w:b/>
          <w:bCs/>
          <w:color w:val="auto"/>
          <w:sz w:val="28"/>
          <w:szCs w:val="28"/>
          <w:highlight w:val="none"/>
          <w:lang w:val="zh-CN"/>
        </w:rPr>
      </w:pPr>
    </w:p>
    <w:p w14:paraId="1675DA2D">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35" w:name="_Toc202883076"/>
      <w:r>
        <w:rPr>
          <w:rFonts w:ascii="黑体" w:hAnsi="黑体" w:eastAsia="黑体" w:cs="楷体_GB2312"/>
          <w:b/>
          <w:bCs/>
          <w:color w:val="auto"/>
          <w:sz w:val="28"/>
          <w:szCs w:val="28"/>
          <w:highlight w:val="none"/>
          <w:lang w:val="zh-CN"/>
        </w:rPr>
        <w:t xml:space="preserve">10. </w:t>
      </w:r>
      <w:r>
        <w:rPr>
          <w:rFonts w:hint="eastAsia" w:ascii="黑体" w:hAnsi="黑体" w:eastAsia="黑体" w:cs="楷体_GB2312"/>
          <w:b/>
          <w:bCs/>
          <w:color w:val="auto"/>
          <w:sz w:val="28"/>
          <w:szCs w:val="28"/>
          <w:highlight w:val="none"/>
          <w:lang w:val="zh-CN"/>
        </w:rPr>
        <w:t>其他</w:t>
      </w:r>
      <w:bookmarkEnd w:id="35"/>
    </w:p>
    <w:p w14:paraId="331A158E">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10.1</w:t>
      </w:r>
      <w:r>
        <w:rPr>
          <w:rFonts w:hint="eastAsia" w:ascii="宋体" w:hAnsi="宋体" w:cs="楷体_GB2312"/>
          <w:color w:val="auto"/>
          <w:sz w:val="24"/>
          <w:highlight w:val="none"/>
          <w:lang w:val="zh-CN"/>
        </w:rPr>
        <w:t>中标服务费等：见供应商须知前附表</w:t>
      </w:r>
    </w:p>
    <w:p w14:paraId="5DB62EB9">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ascii="宋体" w:cs="楷体_GB2312"/>
          <w:color w:val="auto"/>
          <w:sz w:val="24"/>
          <w:highlight w:val="none"/>
          <w:lang w:val="zh-CN"/>
        </w:rPr>
        <w:t>0</w:t>
      </w:r>
      <w:r>
        <w:rPr>
          <w:rFonts w:ascii="宋体" w:hAnsi="宋体" w:cs="楷体_GB2312"/>
          <w:color w:val="auto"/>
          <w:sz w:val="24"/>
          <w:highlight w:val="none"/>
          <w:lang w:val="zh-CN"/>
        </w:rPr>
        <w:t xml:space="preserve">.2 </w:t>
      </w:r>
      <w:r>
        <w:rPr>
          <w:rFonts w:hint="eastAsia" w:ascii="宋体" w:hAnsi="宋体" w:cs="楷体_GB2312"/>
          <w:color w:val="auto"/>
          <w:sz w:val="24"/>
          <w:highlight w:val="none"/>
          <w:lang w:val="zh-CN"/>
        </w:rPr>
        <w:t>近义解释。《磋商文件》中：“投标”同义“递交《响应文件》”，“供应商”同义“递交《响应文件》的供应商”，“《响应文件》”同义“《投标文件》”，“中标”同义“成交”，“中标供应商”同义“成交供应商</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《响应文件》开启”同义“《响应文件》的开启</w:t>
      </w:r>
      <w:r>
        <w:rPr>
          <w:rFonts w:hint="eastAsia" w:ascii="宋体" w:cs="楷体_GB2312"/>
          <w:color w:val="auto"/>
          <w:sz w:val="24"/>
          <w:highlight w:val="none"/>
          <w:lang w:val="zh-CN"/>
        </w:rPr>
        <w:t>”</w:t>
      </w:r>
      <w:r>
        <w:rPr>
          <w:rFonts w:hint="eastAsia" w:ascii="宋体" w:hAnsi="宋体" w:cs="楷体_GB2312"/>
          <w:color w:val="auto"/>
          <w:sz w:val="24"/>
          <w:highlight w:val="none"/>
          <w:lang w:val="zh-CN"/>
        </w:rPr>
        <w:t>。</w:t>
      </w:r>
    </w:p>
    <w:p w14:paraId="41FE3291">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 xml:space="preserve">10.3 </w:t>
      </w:r>
      <w:r>
        <w:rPr>
          <w:rFonts w:hint="eastAsia" w:ascii="宋体" w:hAnsi="宋体" w:cs="楷体_GB2312"/>
          <w:color w:val="auto"/>
          <w:sz w:val="24"/>
          <w:highlight w:val="none"/>
          <w:lang w:val="zh-CN"/>
        </w:rPr>
        <w:t>供应商资格条件中包含非法人单位的，《磋商文件》中法定代表人一词相应包含表示证照标示的负责人；</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供应商资格条件中包含自然人的，《磋商文件》中法定代表人一词相应包含表示自然人，自然人应由其本人签署《响应文件》、参加投标，不应再授权他人。</w:t>
      </w:r>
    </w:p>
    <w:p w14:paraId="3C592602">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highlight w:val="none"/>
          <w:lang w:val="zh-CN"/>
        </w:rPr>
      </w:pPr>
      <w:r>
        <w:rPr>
          <w:rFonts w:ascii="宋体" w:hAnsi="宋体" w:cs="楷体_GB2312"/>
          <w:color w:val="auto"/>
          <w:sz w:val="24"/>
          <w:highlight w:val="none"/>
          <w:lang w:val="zh-CN"/>
        </w:rPr>
        <w:t xml:space="preserve">10.4  </w:t>
      </w:r>
      <w:r>
        <w:rPr>
          <w:rFonts w:hint="eastAsia" w:ascii="宋体" w:hAnsi="宋体" w:cs="楷体_GB2312"/>
          <w:color w:val="auto"/>
          <w:sz w:val="24"/>
          <w:highlight w:val="none"/>
          <w:lang w:val="zh-CN"/>
        </w:rPr>
        <w:t>《磋商文件》第一章至第四章各章中，用序号标示条、款、项、目，例如：</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 xml:space="preserve">1 </w:t>
      </w:r>
      <w:r>
        <w:rPr>
          <w:rFonts w:hint="eastAsia" w:ascii="宋体" w:hAnsi="宋体" w:cs="楷体_GB2312"/>
          <w:color w:val="auto"/>
          <w:sz w:val="24"/>
          <w:highlight w:val="none"/>
          <w:lang w:val="zh-CN"/>
        </w:rPr>
        <w:t>条，</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款（简称</w:t>
      </w:r>
      <w:r>
        <w:rPr>
          <w:rFonts w:ascii="宋体" w:hAnsi="宋体" w:cs="楷体_GB2312"/>
          <w:color w:val="auto"/>
          <w:sz w:val="24"/>
          <w:highlight w:val="none"/>
          <w:lang w:val="zh-CN"/>
        </w:rPr>
        <w:t>1.1</w:t>
      </w:r>
      <w:r>
        <w:rPr>
          <w:rFonts w:hint="eastAsia" w:ascii="宋体" w:hAnsi="宋体" w:cs="楷体_GB2312"/>
          <w:color w:val="auto"/>
          <w:sz w:val="24"/>
          <w:highlight w:val="none"/>
          <w:lang w:val="zh-CN"/>
        </w:rPr>
        <w:t>款），</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为第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条第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款第</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项（简称</w:t>
      </w:r>
      <w:r>
        <w:rPr>
          <w:rFonts w:ascii="宋体" w:hAnsi="宋体" w:cs="楷体_GB2312"/>
          <w:color w:val="auto"/>
          <w:sz w:val="24"/>
          <w:highlight w:val="none"/>
          <w:lang w:val="zh-CN"/>
        </w:rPr>
        <w:t>1.1.1</w:t>
      </w:r>
      <w:r>
        <w:rPr>
          <w:rFonts w:hint="eastAsia" w:ascii="宋体" w:hAnsi="宋体" w:cs="楷体_GB2312"/>
          <w:color w:val="auto"/>
          <w:sz w:val="24"/>
          <w:highlight w:val="none"/>
          <w:lang w:val="zh-CN"/>
        </w:rPr>
        <w:t>项）。“条”包含款、项、目；“款”包含项、目；“项”包含目。</w:t>
      </w:r>
    </w:p>
    <w:p w14:paraId="469CD38A">
      <w:pPr>
        <w:widowControl w:val="0"/>
        <w:autoSpaceDE w:val="0"/>
        <w:autoSpaceDN w:val="0"/>
        <w:adjustRightInd w:val="0"/>
        <w:spacing w:before="120" w:beforeLines="50" w:line="300" w:lineRule="auto"/>
        <w:ind w:firstLine="480" w:firstLineChars="200"/>
        <w:jc w:val="left"/>
        <w:textAlignment w:val="auto"/>
        <w:rPr>
          <w:rFonts w:ascii="宋体" w:hAnsi="宋体" w:cs="楷体_GB2312"/>
          <w:color w:val="auto"/>
          <w:sz w:val="24"/>
          <w:highlight w:val="none"/>
          <w:lang w:val="zh-CN"/>
        </w:rPr>
      </w:pPr>
    </w:p>
    <w:p w14:paraId="272B515C">
      <w:pPr>
        <w:widowControl w:val="0"/>
        <w:adjustRightInd w:val="0"/>
        <w:snapToGrid w:val="0"/>
        <w:spacing w:before="120" w:beforeLines="50" w:line="300" w:lineRule="auto"/>
        <w:ind w:firstLine="561"/>
        <w:outlineLvl w:val="1"/>
        <w:rPr>
          <w:rFonts w:ascii="黑体" w:hAnsi="黑体" w:eastAsia="黑体" w:cs="楷体_GB2312"/>
          <w:b/>
          <w:bCs/>
          <w:color w:val="auto"/>
          <w:sz w:val="28"/>
          <w:szCs w:val="28"/>
          <w:highlight w:val="none"/>
          <w:lang w:val="zh-CN"/>
        </w:rPr>
      </w:pPr>
      <w:bookmarkStart w:id="36" w:name="_Toc202883077"/>
      <w:bookmarkStart w:id="37" w:name="_Toc58855443"/>
      <w:r>
        <w:rPr>
          <w:rFonts w:ascii="黑体" w:hAnsi="黑体" w:eastAsia="黑体" w:cs="楷体_GB2312"/>
          <w:b/>
          <w:bCs/>
          <w:color w:val="auto"/>
          <w:sz w:val="28"/>
          <w:szCs w:val="28"/>
          <w:highlight w:val="none"/>
          <w:lang w:val="zh-CN"/>
        </w:rPr>
        <w:t>1</w:t>
      </w:r>
      <w:r>
        <w:rPr>
          <w:rFonts w:hint="eastAsia" w:ascii="黑体" w:hAnsi="黑体" w:eastAsia="黑体" w:cs="楷体_GB2312"/>
          <w:b/>
          <w:bCs/>
          <w:color w:val="auto"/>
          <w:sz w:val="28"/>
          <w:szCs w:val="28"/>
          <w:highlight w:val="none"/>
          <w:lang w:val="zh-CN"/>
        </w:rPr>
        <w:t>1</w:t>
      </w:r>
      <w:r>
        <w:rPr>
          <w:rFonts w:ascii="黑体" w:hAnsi="黑体" w:eastAsia="黑体" w:cs="楷体_GB2312"/>
          <w:b/>
          <w:bCs/>
          <w:color w:val="auto"/>
          <w:sz w:val="28"/>
          <w:szCs w:val="28"/>
          <w:highlight w:val="none"/>
          <w:lang w:val="zh-CN"/>
        </w:rPr>
        <w:t>.</w:t>
      </w:r>
      <w:r>
        <w:rPr>
          <w:rFonts w:hint="eastAsia" w:ascii="黑体" w:hAnsi="黑体" w:eastAsia="黑体" w:cs="楷体_GB2312"/>
          <w:b/>
          <w:bCs/>
          <w:color w:val="auto"/>
          <w:sz w:val="28"/>
          <w:szCs w:val="28"/>
          <w:highlight w:val="none"/>
          <w:lang w:val="zh-CN"/>
        </w:rPr>
        <w:t xml:space="preserve"> 河南省政府采购合同融资政策告知函</w:t>
      </w:r>
      <w:bookmarkEnd w:id="36"/>
      <w:bookmarkEnd w:id="37"/>
    </w:p>
    <w:p w14:paraId="7B348FF6">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各供应商：</w:t>
      </w:r>
    </w:p>
    <w:p w14:paraId="46631CE5">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欢迎贵公司参与河南省政府采购活动！</w:t>
      </w:r>
    </w:p>
    <w:p w14:paraId="53AB8581">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29BB17D">
      <w:pPr>
        <w:widowControl w:val="0"/>
        <w:adjustRightInd w:val="0"/>
        <w:snapToGrid w:val="0"/>
        <w:spacing w:before="120" w:beforeLines="50" w:line="300" w:lineRule="auto"/>
        <w:ind w:firstLine="555"/>
        <w:rPr>
          <w:rFonts w:ascii="宋体" w:hAnsi="宋体"/>
          <w:color w:val="auto"/>
          <w:sz w:val="24"/>
          <w:szCs w:val="24"/>
          <w:highlight w:val="none"/>
        </w:rPr>
      </w:pPr>
      <w:r>
        <w:rPr>
          <w:rFonts w:hint="eastAsia" w:ascii="宋体" w:hAnsi="宋体"/>
          <w:color w:val="auto"/>
          <w:sz w:val="24"/>
          <w:szCs w:val="24"/>
          <w:highlight w:val="none"/>
        </w:rPr>
        <w:t>贷款渠道和提供贷款的金融机构，可在河南省政府采购网“河南省政府采购合同融资平台”查询联系。</w:t>
      </w:r>
    </w:p>
    <w:p w14:paraId="61A99E12">
      <w:pPr>
        <w:widowControl w:val="0"/>
        <w:snapToGrid w:val="0"/>
        <w:spacing w:line="560" w:lineRule="exact"/>
        <w:jc w:val="left"/>
        <w:rPr>
          <w:color w:val="auto"/>
          <w:sz w:val="24"/>
          <w:szCs w:val="24"/>
          <w:highlight w:val="none"/>
        </w:rPr>
      </w:pPr>
      <w:r>
        <w:rPr>
          <w:rFonts w:eastAsia="黑体"/>
          <w:b/>
          <w:color w:val="auto"/>
          <w:sz w:val="44"/>
          <w:highlight w:val="none"/>
        </w:rPr>
        <w:br w:type="page"/>
      </w:r>
      <w:r>
        <w:rPr>
          <w:color w:val="auto"/>
          <w:sz w:val="24"/>
          <w:szCs w:val="24"/>
          <w:highlight w:val="none"/>
        </w:rPr>
        <w:t xml:space="preserve"> </w:t>
      </w:r>
    </w:p>
    <w:p w14:paraId="7298BED2">
      <w:pPr>
        <w:widowControl w:val="0"/>
        <w:snapToGrid w:val="0"/>
        <w:spacing w:line="360" w:lineRule="auto"/>
        <w:ind w:firstLine="567"/>
        <w:jc w:val="center"/>
        <w:outlineLvl w:val="0"/>
        <w:rPr>
          <w:rFonts w:ascii="黑体" w:hAnsi="黑体" w:eastAsia="黑体"/>
          <w:b/>
          <w:color w:val="auto"/>
          <w:sz w:val="36"/>
          <w:szCs w:val="36"/>
          <w:highlight w:val="none"/>
          <w:lang w:val="zh-CN"/>
        </w:rPr>
      </w:pPr>
      <w:bookmarkStart w:id="38" w:name="_Toc202883078"/>
      <w:r>
        <w:rPr>
          <w:rFonts w:hint="eastAsia" w:ascii="黑体" w:hAnsi="黑体" w:eastAsia="黑体"/>
          <w:b/>
          <w:color w:val="auto"/>
          <w:sz w:val="36"/>
          <w:szCs w:val="36"/>
          <w:highlight w:val="none"/>
          <w:lang w:val="zh-CN"/>
        </w:rPr>
        <w:t>第四章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评审办法</w:t>
      </w:r>
      <w:bookmarkEnd w:id="38"/>
    </w:p>
    <w:p w14:paraId="1A66F999">
      <w:pPr>
        <w:widowControl w:val="0"/>
        <w:snapToGrid w:val="0"/>
        <w:spacing w:line="360" w:lineRule="auto"/>
        <w:ind w:firstLine="567"/>
        <w:jc w:val="center"/>
        <w:outlineLvl w:val="0"/>
        <w:rPr>
          <w:b/>
          <w:color w:val="auto"/>
          <w:sz w:val="24"/>
          <w:szCs w:val="24"/>
          <w:highlight w:val="none"/>
        </w:rPr>
      </w:pPr>
    </w:p>
    <w:p w14:paraId="47C9C173">
      <w:pPr>
        <w:spacing w:line="500" w:lineRule="exact"/>
        <w:jc w:val="left"/>
        <w:outlineLvl w:val="1"/>
        <w:rPr>
          <w:rFonts w:ascii="黑体" w:hAnsi="黑体" w:eastAsia="黑体"/>
          <w:b/>
          <w:color w:val="auto"/>
          <w:sz w:val="28"/>
          <w:szCs w:val="28"/>
          <w:highlight w:val="none"/>
          <w:lang w:val="zh-CN"/>
        </w:rPr>
      </w:pPr>
      <w:bookmarkStart w:id="39" w:name="_Toc202883079"/>
      <w:r>
        <w:rPr>
          <w:rFonts w:hint="eastAsia" w:ascii="黑体" w:hAnsi="黑体" w:eastAsia="黑体"/>
          <w:b/>
          <w:color w:val="auto"/>
          <w:sz w:val="28"/>
          <w:szCs w:val="28"/>
          <w:highlight w:val="none"/>
        </w:rPr>
        <w:t>评审办法前附表</w:t>
      </w:r>
      <w:bookmarkEnd w:id="39"/>
    </w:p>
    <w:tbl>
      <w:tblPr>
        <w:tblStyle w:val="9"/>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14:paraId="4AC0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14:paraId="1CBF6342">
            <w:pPr>
              <w:pStyle w:val="15"/>
              <w:jc w:val="center"/>
              <w:rPr>
                <w:rFonts w:hAnsi="宋体"/>
                <w:b/>
                <w:color w:val="auto"/>
                <w:szCs w:val="24"/>
                <w:highlight w:val="none"/>
              </w:rPr>
            </w:pPr>
            <w:r>
              <w:rPr>
                <w:rFonts w:hint="eastAsia" w:hAnsi="宋体"/>
                <w:b/>
                <w:color w:val="auto"/>
                <w:szCs w:val="24"/>
                <w:highlight w:val="none"/>
              </w:rPr>
              <w:t>条款号</w:t>
            </w:r>
          </w:p>
        </w:tc>
        <w:tc>
          <w:tcPr>
            <w:tcW w:w="3177" w:type="dxa"/>
            <w:gridSpan w:val="2"/>
            <w:vAlign w:val="center"/>
          </w:tcPr>
          <w:p w14:paraId="184BF7E2">
            <w:pPr>
              <w:pStyle w:val="15"/>
              <w:jc w:val="center"/>
              <w:rPr>
                <w:rFonts w:hAnsi="宋体"/>
                <w:b/>
                <w:color w:val="auto"/>
                <w:szCs w:val="24"/>
                <w:highlight w:val="none"/>
              </w:rPr>
            </w:pPr>
            <w:r>
              <w:rPr>
                <w:rFonts w:hint="eastAsia" w:hAnsi="宋体"/>
                <w:b/>
                <w:color w:val="auto"/>
                <w:szCs w:val="24"/>
                <w:highlight w:val="none"/>
              </w:rPr>
              <w:t>评审因素</w:t>
            </w:r>
          </w:p>
        </w:tc>
        <w:tc>
          <w:tcPr>
            <w:tcW w:w="5736" w:type="dxa"/>
            <w:vAlign w:val="center"/>
          </w:tcPr>
          <w:p w14:paraId="343AA70E">
            <w:pPr>
              <w:pStyle w:val="15"/>
              <w:jc w:val="center"/>
              <w:rPr>
                <w:rFonts w:hAnsi="宋体"/>
                <w:b/>
                <w:color w:val="auto"/>
                <w:szCs w:val="24"/>
                <w:highlight w:val="none"/>
              </w:rPr>
            </w:pPr>
            <w:r>
              <w:rPr>
                <w:rFonts w:hint="eastAsia" w:hAnsi="宋体"/>
                <w:b/>
                <w:color w:val="auto"/>
                <w:szCs w:val="24"/>
                <w:highlight w:val="none"/>
              </w:rPr>
              <w:t>评审标准</w:t>
            </w:r>
          </w:p>
        </w:tc>
      </w:tr>
      <w:tr w14:paraId="0DCC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14:paraId="31C83081">
            <w:pPr>
              <w:pStyle w:val="15"/>
              <w:spacing w:line="360" w:lineRule="auto"/>
              <w:ind w:right="-101" w:rightChars="-48"/>
              <w:jc w:val="center"/>
              <w:rPr>
                <w:rFonts w:hAnsi="宋体"/>
                <w:color w:val="auto"/>
                <w:szCs w:val="24"/>
                <w:highlight w:val="none"/>
              </w:rPr>
            </w:pPr>
            <w:r>
              <w:rPr>
                <w:rFonts w:hAnsi="宋体"/>
                <w:color w:val="auto"/>
                <w:szCs w:val="24"/>
                <w:highlight w:val="none"/>
              </w:rPr>
              <w:t>2.1.1</w:t>
            </w:r>
          </w:p>
        </w:tc>
        <w:tc>
          <w:tcPr>
            <w:tcW w:w="560" w:type="dxa"/>
            <w:vMerge w:val="restart"/>
            <w:vAlign w:val="center"/>
          </w:tcPr>
          <w:p w14:paraId="786127D8">
            <w:pPr>
              <w:pStyle w:val="15"/>
              <w:jc w:val="center"/>
              <w:rPr>
                <w:rFonts w:hAnsi="宋体"/>
                <w:color w:val="auto"/>
                <w:szCs w:val="24"/>
                <w:highlight w:val="none"/>
              </w:rPr>
            </w:pPr>
            <w:r>
              <w:rPr>
                <w:rFonts w:hint="eastAsia" w:hAnsi="宋体"/>
                <w:color w:val="auto"/>
                <w:szCs w:val="24"/>
                <w:highlight w:val="none"/>
              </w:rPr>
              <w:t>资</w:t>
            </w:r>
          </w:p>
          <w:p w14:paraId="5958C191">
            <w:pPr>
              <w:pStyle w:val="15"/>
              <w:jc w:val="center"/>
              <w:rPr>
                <w:rFonts w:hAnsi="宋体"/>
                <w:color w:val="auto"/>
                <w:szCs w:val="24"/>
                <w:highlight w:val="none"/>
              </w:rPr>
            </w:pPr>
            <w:r>
              <w:rPr>
                <w:rFonts w:hint="eastAsia" w:hAnsi="宋体"/>
                <w:color w:val="auto"/>
                <w:szCs w:val="24"/>
                <w:highlight w:val="none"/>
              </w:rPr>
              <w:t>格</w:t>
            </w:r>
          </w:p>
          <w:p w14:paraId="53FFD46B">
            <w:pPr>
              <w:pStyle w:val="15"/>
              <w:jc w:val="center"/>
              <w:rPr>
                <w:rFonts w:hAnsi="宋体"/>
                <w:color w:val="auto"/>
                <w:szCs w:val="24"/>
                <w:highlight w:val="none"/>
              </w:rPr>
            </w:pPr>
            <w:r>
              <w:rPr>
                <w:rFonts w:hint="eastAsia" w:hAnsi="宋体"/>
                <w:color w:val="auto"/>
                <w:szCs w:val="24"/>
                <w:highlight w:val="none"/>
              </w:rPr>
              <w:t>性</w:t>
            </w:r>
          </w:p>
          <w:p w14:paraId="53628A86">
            <w:pPr>
              <w:pStyle w:val="15"/>
              <w:jc w:val="center"/>
              <w:rPr>
                <w:rFonts w:hAnsi="宋体"/>
                <w:color w:val="auto"/>
                <w:szCs w:val="24"/>
                <w:highlight w:val="none"/>
              </w:rPr>
            </w:pPr>
            <w:r>
              <w:rPr>
                <w:rFonts w:hint="eastAsia" w:hAnsi="宋体"/>
                <w:color w:val="auto"/>
                <w:szCs w:val="24"/>
                <w:highlight w:val="none"/>
              </w:rPr>
              <w:t>审</w:t>
            </w:r>
          </w:p>
          <w:p w14:paraId="1497BD43">
            <w:pPr>
              <w:pStyle w:val="15"/>
              <w:jc w:val="center"/>
              <w:rPr>
                <w:rFonts w:hAnsi="宋体"/>
                <w:color w:val="auto"/>
                <w:szCs w:val="24"/>
                <w:highlight w:val="none"/>
              </w:rPr>
            </w:pPr>
            <w:r>
              <w:rPr>
                <w:rFonts w:hint="eastAsia" w:hAnsi="宋体"/>
                <w:color w:val="auto"/>
                <w:szCs w:val="24"/>
                <w:highlight w:val="none"/>
              </w:rPr>
              <w:t>查</w:t>
            </w:r>
          </w:p>
        </w:tc>
        <w:tc>
          <w:tcPr>
            <w:tcW w:w="3177" w:type="dxa"/>
            <w:gridSpan w:val="2"/>
            <w:vAlign w:val="center"/>
          </w:tcPr>
          <w:p w14:paraId="0182DE3D">
            <w:pPr>
              <w:widowControl w:val="0"/>
              <w:snapToGrid w:val="0"/>
              <w:spacing w:line="240" w:lineRule="auto"/>
              <w:rPr>
                <w:rFonts w:ascii="宋体"/>
                <w:color w:val="auto"/>
                <w:sz w:val="24"/>
                <w:szCs w:val="24"/>
                <w:highlight w:val="none"/>
              </w:rPr>
            </w:pPr>
            <w:r>
              <w:rPr>
                <w:rFonts w:hint="eastAsia"/>
                <w:color w:val="auto"/>
                <w:sz w:val="24"/>
                <w:szCs w:val="24"/>
                <w:highlight w:val="none"/>
              </w:rPr>
              <w:t>第一章“竞争性磋商公告”第</w:t>
            </w:r>
            <w:r>
              <w:rPr>
                <w:color w:val="auto"/>
                <w:sz w:val="24"/>
                <w:szCs w:val="24"/>
                <w:highlight w:val="none"/>
              </w:rPr>
              <w:t>2</w:t>
            </w:r>
            <w:r>
              <w:rPr>
                <w:rFonts w:hint="eastAsia"/>
                <w:color w:val="auto"/>
                <w:sz w:val="24"/>
                <w:szCs w:val="24"/>
                <w:highlight w:val="none"/>
              </w:rPr>
              <w:t>条各项资格要求</w:t>
            </w:r>
          </w:p>
        </w:tc>
        <w:tc>
          <w:tcPr>
            <w:tcW w:w="5736" w:type="dxa"/>
            <w:vAlign w:val="center"/>
          </w:tcPr>
          <w:p w14:paraId="3169DD99">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符合第一章“竞争性磋商公告”第</w:t>
            </w:r>
            <w:r>
              <w:rPr>
                <w:rFonts w:ascii="宋体" w:hAnsi="宋体"/>
                <w:color w:val="auto"/>
                <w:sz w:val="24"/>
                <w:szCs w:val="24"/>
                <w:highlight w:val="none"/>
              </w:rPr>
              <w:t>2</w:t>
            </w:r>
            <w:r>
              <w:rPr>
                <w:rFonts w:hint="eastAsia" w:ascii="宋体" w:hAnsi="宋体"/>
                <w:color w:val="auto"/>
                <w:sz w:val="24"/>
                <w:szCs w:val="24"/>
                <w:highlight w:val="none"/>
              </w:rPr>
              <w:t>条各项</w:t>
            </w:r>
            <w:r>
              <w:rPr>
                <w:rFonts w:hint="eastAsia"/>
                <w:color w:val="auto"/>
                <w:sz w:val="24"/>
                <w:szCs w:val="24"/>
                <w:highlight w:val="none"/>
              </w:rPr>
              <w:t>资格要求所需证件材料及证明材料</w:t>
            </w:r>
          </w:p>
        </w:tc>
      </w:tr>
      <w:tr w14:paraId="3353A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14:paraId="490B3573">
            <w:pPr>
              <w:pStyle w:val="15"/>
              <w:spacing w:line="360" w:lineRule="auto"/>
              <w:jc w:val="center"/>
              <w:rPr>
                <w:rFonts w:hAnsi="宋体"/>
                <w:color w:val="auto"/>
                <w:szCs w:val="24"/>
                <w:highlight w:val="none"/>
              </w:rPr>
            </w:pPr>
          </w:p>
        </w:tc>
        <w:tc>
          <w:tcPr>
            <w:tcW w:w="560" w:type="dxa"/>
            <w:vMerge w:val="continue"/>
            <w:vAlign w:val="center"/>
          </w:tcPr>
          <w:p w14:paraId="11187771">
            <w:pPr>
              <w:pStyle w:val="15"/>
              <w:spacing w:line="360" w:lineRule="auto"/>
              <w:jc w:val="center"/>
              <w:rPr>
                <w:rFonts w:hAnsi="宋体"/>
                <w:color w:val="auto"/>
                <w:szCs w:val="24"/>
                <w:highlight w:val="none"/>
              </w:rPr>
            </w:pPr>
          </w:p>
        </w:tc>
        <w:tc>
          <w:tcPr>
            <w:tcW w:w="3177" w:type="dxa"/>
            <w:gridSpan w:val="2"/>
            <w:vAlign w:val="center"/>
          </w:tcPr>
          <w:p w14:paraId="3AA5FCAF">
            <w:pPr>
              <w:widowControl w:val="0"/>
              <w:snapToGrid w:val="0"/>
              <w:spacing w:line="240" w:lineRule="auto"/>
              <w:rPr>
                <w:color w:val="auto"/>
                <w:sz w:val="24"/>
                <w:szCs w:val="24"/>
                <w:highlight w:val="none"/>
              </w:rPr>
            </w:pPr>
            <w:r>
              <w:rPr>
                <w:rFonts w:hint="eastAsia"/>
                <w:color w:val="auto"/>
                <w:sz w:val="24"/>
                <w:szCs w:val="24"/>
                <w:highlight w:val="none"/>
              </w:rPr>
              <w:t>投标承诺函</w:t>
            </w:r>
          </w:p>
          <w:p w14:paraId="6FDA7ADF">
            <w:pPr>
              <w:rPr>
                <w:color w:val="auto"/>
                <w:sz w:val="24"/>
                <w:szCs w:val="24"/>
                <w:highlight w:val="none"/>
              </w:rPr>
            </w:pPr>
            <w:r>
              <w:rPr>
                <w:rFonts w:hint="eastAsia"/>
                <w:color w:val="auto"/>
                <w:sz w:val="24"/>
                <w:szCs w:val="24"/>
                <w:highlight w:val="none"/>
              </w:rPr>
              <w:t>(替代投标保证金)</w:t>
            </w:r>
          </w:p>
        </w:tc>
        <w:tc>
          <w:tcPr>
            <w:tcW w:w="5736" w:type="dxa"/>
            <w:vAlign w:val="center"/>
          </w:tcPr>
          <w:p w14:paraId="6E25F4C9">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符合第三章“供应商须知”</w:t>
            </w:r>
            <w:r>
              <w:rPr>
                <w:rFonts w:ascii="宋体" w:hAnsi="宋体"/>
                <w:color w:val="auto"/>
                <w:sz w:val="24"/>
                <w:szCs w:val="24"/>
                <w:highlight w:val="none"/>
              </w:rPr>
              <w:t>3.5</w:t>
            </w:r>
            <w:r>
              <w:rPr>
                <w:rFonts w:hint="eastAsia" w:ascii="宋体" w:hAnsi="宋体"/>
                <w:color w:val="auto"/>
                <w:sz w:val="24"/>
                <w:szCs w:val="24"/>
                <w:highlight w:val="none"/>
              </w:rPr>
              <w:t>款规定</w:t>
            </w:r>
          </w:p>
        </w:tc>
      </w:tr>
      <w:tr w14:paraId="44AB9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14:paraId="585697DC">
            <w:pPr>
              <w:pStyle w:val="15"/>
              <w:spacing w:line="360" w:lineRule="auto"/>
              <w:jc w:val="center"/>
              <w:rPr>
                <w:rFonts w:hAnsi="宋体"/>
                <w:color w:val="auto"/>
                <w:szCs w:val="24"/>
                <w:highlight w:val="none"/>
              </w:rPr>
            </w:pPr>
          </w:p>
        </w:tc>
        <w:tc>
          <w:tcPr>
            <w:tcW w:w="560" w:type="dxa"/>
            <w:vMerge w:val="continue"/>
            <w:vAlign w:val="center"/>
          </w:tcPr>
          <w:p w14:paraId="5C44DF8C">
            <w:pPr>
              <w:pStyle w:val="15"/>
              <w:spacing w:line="360" w:lineRule="auto"/>
              <w:jc w:val="center"/>
              <w:rPr>
                <w:rFonts w:hAnsi="宋体"/>
                <w:color w:val="auto"/>
                <w:szCs w:val="24"/>
                <w:highlight w:val="none"/>
              </w:rPr>
            </w:pPr>
          </w:p>
        </w:tc>
        <w:tc>
          <w:tcPr>
            <w:tcW w:w="3177" w:type="dxa"/>
            <w:gridSpan w:val="2"/>
            <w:vAlign w:val="center"/>
          </w:tcPr>
          <w:p w14:paraId="2AD2898E">
            <w:pPr>
              <w:widowControl w:val="0"/>
              <w:snapToGrid w:val="0"/>
              <w:spacing w:line="240" w:lineRule="auto"/>
              <w:rPr>
                <w:color w:val="auto"/>
                <w:sz w:val="24"/>
                <w:szCs w:val="24"/>
                <w:highlight w:val="none"/>
              </w:rPr>
            </w:pPr>
            <w:r>
              <w:rPr>
                <w:rFonts w:hint="eastAsia"/>
                <w:color w:val="auto"/>
                <w:sz w:val="24"/>
                <w:szCs w:val="24"/>
                <w:highlight w:val="none"/>
              </w:rPr>
              <w:t>联合体（如有）</w:t>
            </w:r>
          </w:p>
        </w:tc>
        <w:tc>
          <w:tcPr>
            <w:tcW w:w="5736" w:type="dxa"/>
            <w:vAlign w:val="center"/>
          </w:tcPr>
          <w:p w14:paraId="12FE579B">
            <w:pPr>
              <w:widowControl w:val="0"/>
              <w:snapToGrid w:val="0"/>
              <w:spacing w:line="240" w:lineRule="auto"/>
              <w:rPr>
                <w:rFonts w:ascii="宋体"/>
                <w:color w:val="auto"/>
                <w:sz w:val="24"/>
                <w:szCs w:val="24"/>
                <w:highlight w:val="none"/>
              </w:rPr>
            </w:pPr>
            <w:r>
              <w:rPr>
                <w:rFonts w:hint="eastAsia" w:ascii="宋体" w:hAnsi="宋体"/>
                <w:color w:val="auto"/>
                <w:sz w:val="24"/>
                <w:szCs w:val="24"/>
                <w:highlight w:val="none"/>
              </w:rPr>
              <w:t>符合第三章“供应商须知”</w:t>
            </w:r>
            <w:r>
              <w:rPr>
                <w:rFonts w:ascii="宋体" w:hAnsi="宋体"/>
                <w:color w:val="auto"/>
                <w:sz w:val="24"/>
                <w:szCs w:val="24"/>
                <w:highlight w:val="none"/>
              </w:rPr>
              <w:t>1.4</w:t>
            </w:r>
            <w:r>
              <w:rPr>
                <w:rFonts w:hint="eastAsia" w:ascii="宋体" w:hAnsi="宋体"/>
                <w:color w:val="auto"/>
                <w:sz w:val="24"/>
                <w:szCs w:val="24"/>
                <w:highlight w:val="none"/>
              </w:rPr>
              <w:t>款规定</w:t>
            </w:r>
          </w:p>
        </w:tc>
      </w:tr>
      <w:tr w14:paraId="3834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14:paraId="19CEB580">
            <w:pPr>
              <w:pStyle w:val="15"/>
              <w:spacing w:line="360" w:lineRule="auto"/>
              <w:ind w:right="-160" w:rightChars="-76"/>
              <w:jc w:val="center"/>
              <w:rPr>
                <w:rFonts w:hAnsi="宋体"/>
                <w:color w:val="auto"/>
                <w:szCs w:val="24"/>
                <w:highlight w:val="none"/>
              </w:rPr>
            </w:pPr>
            <w:r>
              <w:rPr>
                <w:rFonts w:hAnsi="宋体"/>
                <w:color w:val="auto"/>
                <w:szCs w:val="24"/>
                <w:highlight w:val="none"/>
              </w:rPr>
              <w:t>2.1.2</w:t>
            </w:r>
          </w:p>
        </w:tc>
        <w:tc>
          <w:tcPr>
            <w:tcW w:w="560" w:type="dxa"/>
            <w:vMerge w:val="restart"/>
            <w:vAlign w:val="center"/>
          </w:tcPr>
          <w:p w14:paraId="2ACAA00D">
            <w:pPr>
              <w:pStyle w:val="15"/>
              <w:spacing w:line="360" w:lineRule="auto"/>
              <w:jc w:val="center"/>
              <w:rPr>
                <w:rFonts w:hAnsi="宋体"/>
                <w:color w:val="auto"/>
                <w:szCs w:val="24"/>
                <w:highlight w:val="none"/>
              </w:rPr>
            </w:pPr>
            <w:r>
              <w:rPr>
                <w:rFonts w:hint="eastAsia" w:hAnsi="宋体"/>
                <w:color w:val="auto"/>
                <w:szCs w:val="24"/>
                <w:highlight w:val="none"/>
              </w:rPr>
              <w:t>符</w:t>
            </w:r>
          </w:p>
          <w:p w14:paraId="3A11BBC2">
            <w:pPr>
              <w:pStyle w:val="15"/>
              <w:spacing w:line="360" w:lineRule="auto"/>
              <w:jc w:val="center"/>
              <w:rPr>
                <w:rFonts w:hAnsi="宋体"/>
                <w:color w:val="auto"/>
                <w:szCs w:val="24"/>
                <w:highlight w:val="none"/>
              </w:rPr>
            </w:pPr>
            <w:r>
              <w:rPr>
                <w:rFonts w:hint="eastAsia" w:hAnsi="宋体"/>
                <w:color w:val="auto"/>
                <w:szCs w:val="24"/>
                <w:highlight w:val="none"/>
              </w:rPr>
              <w:t>合</w:t>
            </w:r>
          </w:p>
          <w:p w14:paraId="5CCBCE30">
            <w:pPr>
              <w:pStyle w:val="15"/>
              <w:spacing w:line="360" w:lineRule="auto"/>
              <w:jc w:val="center"/>
              <w:rPr>
                <w:rFonts w:hAnsi="宋体"/>
                <w:color w:val="auto"/>
                <w:szCs w:val="24"/>
                <w:highlight w:val="none"/>
              </w:rPr>
            </w:pPr>
            <w:r>
              <w:rPr>
                <w:rFonts w:hint="eastAsia" w:hAnsi="宋体"/>
                <w:color w:val="auto"/>
                <w:szCs w:val="24"/>
                <w:highlight w:val="none"/>
              </w:rPr>
              <w:t>性</w:t>
            </w:r>
          </w:p>
          <w:p w14:paraId="72CDFA96">
            <w:pPr>
              <w:pStyle w:val="15"/>
              <w:spacing w:line="360" w:lineRule="auto"/>
              <w:jc w:val="center"/>
              <w:rPr>
                <w:rFonts w:hAnsi="宋体"/>
                <w:color w:val="auto"/>
                <w:szCs w:val="24"/>
                <w:highlight w:val="none"/>
              </w:rPr>
            </w:pPr>
            <w:r>
              <w:rPr>
                <w:rFonts w:hint="eastAsia" w:hAnsi="宋体"/>
                <w:color w:val="auto"/>
                <w:szCs w:val="24"/>
                <w:highlight w:val="none"/>
              </w:rPr>
              <w:t>审</w:t>
            </w:r>
          </w:p>
          <w:p w14:paraId="5CF6419D">
            <w:pPr>
              <w:pStyle w:val="15"/>
              <w:spacing w:line="360" w:lineRule="auto"/>
              <w:jc w:val="center"/>
              <w:rPr>
                <w:rFonts w:hAnsi="宋体"/>
                <w:color w:val="auto"/>
                <w:szCs w:val="24"/>
                <w:highlight w:val="none"/>
              </w:rPr>
            </w:pPr>
            <w:r>
              <w:rPr>
                <w:rFonts w:hint="eastAsia" w:hAnsi="宋体"/>
                <w:color w:val="auto"/>
                <w:szCs w:val="24"/>
                <w:highlight w:val="none"/>
              </w:rPr>
              <w:t>查</w:t>
            </w:r>
          </w:p>
        </w:tc>
        <w:tc>
          <w:tcPr>
            <w:tcW w:w="960" w:type="dxa"/>
            <w:vMerge w:val="restart"/>
            <w:vAlign w:val="center"/>
          </w:tcPr>
          <w:p w14:paraId="0D2BBE11">
            <w:pPr>
              <w:pStyle w:val="15"/>
              <w:adjustRightInd/>
              <w:snapToGrid w:val="0"/>
              <w:jc w:val="center"/>
              <w:rPr>
                <w:rFonts w:hAnsi="宋体"/>
                <w:color w:val="auto"/>
                <w:szCs w:val="24"/>
                <w:highlight w:val="none"/>
              </w:rPr>
            </w:pPr>
            <w:r>
              <w:rPr>
                <w:rFonts w:hint="eastAsia" w:hAnsi="宋体"/>
                <w:color w:val="auto"/>
                <w:szCs w:val="24"/>
                <w:highlight w:val="none"/>
              </w:rPr>
              <w:t>有效性</w:t>
            </w:r>
          </w:p>
        </w:tc>
        <w:tc>
          <w:tcPr>
            <w:tcW w:w="2217" w:type="dxa"/>
            <w:vAlign w:val="center"/>
          </w:tcPr>
          <w:p w14:paraId="0034A1F7">
            <w:pPr>
              <w:pStyle w:val="15"/>
              <w:adjustRightInd/>
              <w:snapToGrid w:val="0"/>
              <w:jc w:val="center"/>
              <w:rPr>
                <w:rFonts w:hAnsi="宋体"/>
                <w:color w:val="auto"/>
                <w:szCs w:val="24"/>
                <w:highlight w:val="none"/>
              </w:rPr>
            </w:pPr>
            <w:r>
              <w:rPr>
                <w:rFonts w:hint="eastAsia" w:hAnsi="宋体"/>
                <w:color w:val="auto"/>
                <w:szCs w:val="24"/>
                <w:highlight w:val="none"/>
              </w:rPr>
              <w:t>供应商名称</w:t>
            </w:r>
          </w:p>
        </w:tc>
        <w:tc>
          <w:tcPr>
            <w:tcW w:w="5736" w:type="dxa"/>
            <w:vAlign w:val="center"/>
          </w:tcPr>
          <w:p w14:paraId="167024C5">
            <w:pPr>
              <w:pStyle w:val="15"/>
              <w:adjustRightInd/>
              <w:snapToGrid w:val="0"/>
              <w:rPr>
                <w:rFonts w:hAnsi="宋体"/>
                <w:color w:val="auto"/>
                <w:szCs w:val="24"/>
                <w:highlight w:val="none"/>
              </w:rPr>
            </w:pPr>
            <w:r>
              <w:rPr>
                <w:rFonts w:hint="eastAsia" w:hAnsi="宋体"/>
                <w:color w:val="auto"/>
                <w:szCs w:val="24"/>
                <w:highlight w:val="none"/>
              </w:rPr>
              <w:t>与营业执照证等证照及签章一致</w:t>
            </w:r>
          </w:p>
        </w:tc>
      </w:tr>
      <w:tr w14:paraId="01B9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14:paraId="66F3D3D2">
            <w:pPr>
              <w:pStyle w:val="15"/>
              <w:spacing w:line="360" w:lineRule="auto"/>
              <w:jc w:val="center"/>
              <w:rPr>
                <w:rFonts w:hAnsi="宋体"/>
                <w:color w:val="auto"/>
                <w:szCs w:val="24"/>
                <w:highlight w:val="none"/>
              </w:rPr>
            </w:pPr>
          </w:p>
        </w:tc>
        <w:tc>
          <w:tcPr>
            <w:tcW w:w="560" w:type="dxa"/>
            <w:vMerge w:val="continue"/>
            <w:vAlign w:val="center"/>
          </w:tcPr>
          <w:p w14:paraId="59A63AD1">
            <w:pPr>
              <w:pStyle w:val="15"/>
              <w:spacing w:line="360" w:lineRule="auto"/>
              <w:jc w:val="center"/>
              <w:rPr>
                <w:rFonts w:hAnsi="宋体"/>
                <w:color w:val="auto"/>
                <w:szCs w:val="24"/>
                <w:highlight w:val="none"/>
              </w:rPr>
            </w:pPr>
          </w:p>
        </w:tc>
        <w:tc>
          <w:tcPr>
            <w:tcW w:w="960" w:type="dxa"/>
            <w:vMerge w:val="continue"/>
            <w:vAlign w:val="center"/>
          </w:tcPr>
          <w:p w14:paraId="1B0CE554">
            <w:pPr>
              <w:pStyle w:val="15"/>
              <w:adjustRightInd/>
              <w:snapToGrid w:val="0"/>
              <w:jc w:val="center"/>
              <w:rPr>
                <w:rFonts w:hAnsi="宋体"/>
                <w:color w:val="auto"/>
                <w:szCs w:val="24"/>
                <w:highlight w:val="none"/>
              </w:rPr>
            </w:pPr>
          </w:p>
        </w:tc>
        <w:tc>
          <w:tcPr>
            <w:tcW w:w="2217" w:type="dxa"/>
            <w:vAlign w:val="center"/>
          </w:tcPr>
          <w:p w14:paraId="4FA04222">
            <w:pPr>
              <w:pStyle w:val="15"/>
              <w:adjustRightInd/>
              <w:snapToGrid w:val="0"/>
              <w:jc w:val="center"/>
              <w:rPr>
                <w:rFonts w:hAnsi="宋体"/>
                <w:color w:val="auto"/>
                <w:szCs w:val="24"/>
                <w:highlight w:val="none"/>
              </w:rPr>
            </w:pPr>
            <w:r>
              <w:rPr>
                <w:rFonts w:hint="eastAsia" w:hAnsi="宋体"/>
                <w:color w:val="auto"/>
                <w:szCs w:val="24"/>
                <w:highlight w:val="none"/>
              </w:rPr>
              <w:t>签字或盖章</w:t>
            </w:r>
          </w:p>
        </w:tc>
        <w:tc>
          <w:tcPr>
            <w:tcW w:w="5736" w:type="dxa"/>
            <w:vAlign w:val="center"/>
          </w:tcPr>
          <w:p w14:paraId="7E692E59">
            <w:pPr>
              <w:pStyle w:val="15"/>
              <w:adjustRightInd/>
              <w:snapToGrid w:val="0"/>
              <w:rPr>
                <w:rFonts w:hAnsi="宋体"/>
                <w:color w:val="auto"/>
                <w:szCs w:val="24"/>
                <w:highlight w:val="none"/>
              </w:rPr>
            </w:pPr>
            <w:r>
              <w:rPr>
                <w:rFonts w:hint="eastAsia" w:hAnsi="宋体"/>
                <w:color w:val="auto"/>
                <w:szCs w:val="24"/>
                <w:highlight w:val="none"/>
              </w:rPr>
              <w:t>符合第三章“供应商须知”</w:t>
            </w:r>
            <w:r>
              <w:rPr>
                <w:rFonts w:hAnsi="宋体"/>
                <w:color w:val="auto"/>
                <w:szCs w:val="24"/>
                <w:highlight w:val="none"/>
              </w:rPr>
              <w:t>3.7.</w:t>
            </w:r>
            <w:r>
              <w:rPr>
                <w:rFonts w:hint="eastAsia" w:hAnsi="宋体"/>
                <w:color w:val="auto"/>
                <w:szCs w:val="24"/>
                <w:highlight w:val="none"/>
              </w:rPr>
              <w:t>4项规定</w:t>
            </w:r>
          </w:p>
        </w:tc>
      </w:tr>
      <w:tr w14:paraId="0FAE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33428DB3">
            <w:pPr>
              <w:pStyle w:val="15"/>
              <w:spacing w:line="360" w:lineRule="auto"/>
              <w:jc w:val="center"/>
              <w:rPr>
                <w:rFonts w:hAnsi="宋体"/>
                <w:color w:val="auto"/>
                <w:szCs w:val="24"/>
                <w:highlight w:val="none"/>
              </w:rPr>
            </w:pPr>
          </w:p>
        </w:tc>
        <w:tc>
          <w:tcPr>
            <w:tcW w:w="560" w:type="dxa"/>
            <w:vMerge w:val="continue"/>
            <w:vAlign w:val="center"/>
          </w:tcPr>
          <w:p w14:paraId="6EA9DA71">
            <w:pPr>
              <w:pStyle w:val="15"/>
              <w:spacing w:line="360" w:lineRule="auto"/>
              <w:jc w:val="center"/>
              <w:rPr>
                <w:rFonts w:hAnsi="宋体"/>
                <w:color w:val="auto"/>
                <w:szCs w:val="24"/>
                <w:highlight w:val="none"/>
              </w:rPr>
            </w:pPr>
          </w:p>
        </w:tc>
        <w:tc>
          <w:tcPr>
            <w:tcW w:w="960" w:type="dxa"/>
            <w:vAlign w:val="center"/>
          </w:tcPr>
          <w:p w14:paraId="0BD87DB0">
            <w:pPr>
              <w:pStyle w:val="15"/>
              <w:adjustRightInd/>
              <w:snapToGrid w:val="0"/>
              <w:jc w:val="center"/>
              <w:rPr>
                <w:rFonts w:hAnsi="宋体"/>
                <w:color w:val="auto"/>
                <w:szCs w:val="24"/>
                <w:highlight w:val="none"/>
              </w:rPr>
            </w:pPr>
            <w:r>
              <w:rPr>
                <w:rFonts w:hint="eastAsia" w:hAnsi="宋体"/>
                <w:color w:val="auto"/>
                <w:szCs w:val="24"/>
                <w:highlight w:val="none"/>
              </w:rPr>
              <w:t>完整性</w:t>
            </w:r>
          </w:p>
        </w:tc>
        <w:tc>
          <w:tcPr>
            <w:tcW w:w="2217" w:type="dxa"/>
            <w:vAlign w:val="center"/>
          </w:tcPr>
          <w:p w14:paraId="3C96AC95">
            <w:pPr>
              <w:pStyle w:val="15"/>
              <w:adjustRightInd/>
              <w:snapToGrid w:val="0"/>
              <w:jc w:val="center"/>
              <w:rPr>
                <w:rFonts w:hAnsi="宋体"/>
                <w:color w:val="auto"/>
                <w:szCs w:val="24"/>
                <w:highlight w:val="none"/>
              </w:rPr>
            </w:pPr>
            <w:r>
              <w:rPr>
                <w:rFonts w:hint="eastAsia" w:hAnsi="宋体"/>
                <w:color w:val="auto"/>
                <w:szCs w:val="24"/>
                <w:highlight w:val="none"/>
              </w:rPr>
              <w:t>《响应文件》组成</w:t>
            </w:r>
          </w:p>
        </w:tc>
        <w:tc>
          <w:tcPr>
            <w:tcW w:w="5736" w:type="dxa"/>
            <w:vAlign w:val="center"/>
          </w:tcPr>
          <w:p w14:paraId="7F116ED0">
            <w:pPr>
              <w:pStyle w:val="15"/>
              <w:adjustRightInd/>
              <w:snapToGrid w:val="0"/>
              <w:rPr>
                <w:rFonts w:hAnsi="宋体"/>
                <w:color w:val="auto"/>
                <w:szCs w:val="24"/>
                <w:highlight w:val="none"/>
              </w:rPr>
            </w:pPr>
            <w:r>
              <w:rPr>
                <w:rFonts w:hint="eastAsia" w:hAnsi="宋体"/>
                <w:color w:val="auto"/>
                <w:szCs w:val="24"/>
                <w:highlight w:val="none"/>
              </w:rPr>
              <w:t>符合第三章“供应商须知”</w:t>
            </w:r>
            <w:r>
              <w:rPr>
                <w:rFonts w:hAnsi="宋体"/>
                <w:color w:val="auto"/>
                <w:szCs w:val="24"/>
                <w:highlight w:val="none"/>
              </w:rPr>
              <w:t>3.2</w:t>
            </w:r>
            <w:r>
              <w:rPr>
                <w:rFonts w:hint="eastAsia" w:hAnsi="宋体"/>
                <w:color w:val="auto"/>
                <w:szCs w:val="24"/>
                <w:highlight w:val="none"/>
              </w:rPr>
              <w:t>款规定</w:t>
            </w:r>
          </w:p>
        </w:tc>
      </w:tr>
      <w:tr w14:paraId="1FD4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1E310344">
            <w:pPr>
              <w:pStyle w:val="15"/>
              <w:spacing w:line="360" w:lineRule="auto"/>
              <w:jc w:val="center"/>
              <w:rPr>
                <w:rFonts w:hAnsi="宋体"/>
                <w:color w:val="auto"/>
                <w:szCs w:val="24"/>
                <w:highlight w:val="none"/>
              </w:rPr>
            </w:pPr>
          </w:p>
        </w:tc>
        <w:tc>
          <w:tcPr>
            <w:tcW w:w="560" w:type="dxa"/>
            <w:vMerge w:val="continue"/>
            <w:vAlign w:val="center"/>
          </w:tcPr>
          <w:p w14:paraId="2630288B">
            <w:pPr>
              <w:pStyle w:val="15"/>
              <w:spacing w:line="360" w:lineRule="auto"/>
              <w:jc w:val="center"/>
              <w:rPr>
                <w:rFonts w:hAnsi="宋体"/>
                <w:color w:val="auto"/>
                <w:szCs w:val="24"/>
                <w:highlight w:val="none"/>
              </w:rPr>
            </w:pPr>
          </w:p>
        </w:tc>
        <w:tc>
          <w:tcPr>
            <w:tcW w:w="960" w:type="dxa"/>
            <w:vMerge w:val="restart"/>
            <w:vAlign w:val="center"/>
          </w:tcPr>
          <w:p w14:paraId="3E7F93E0">
            <w:pPr>
              <w:pStyle w:val="15"/>
              <w:snapToGrid w:val="0"/>
              <w:jc w:val="center"/>
              <w:rPr>
                <w:rFonts w:hAnsi="宋体"/>
                <w:color w:val="auto"/>
                <w:szCs w:val="24"/>
                <w:highlight w:val="none"/>
              </w:rPr>
            </w:pPr>
            <w:r>
              <w:rPr>
                <w:rFonts w:hint="eastAsia" w:hAnsi="宋体"/>
                <w:color w:val="auto"/>
                <w:szCs w:val="24"/>
                <w:highlight w:val="none"/>
              </w:rPr>
              <w:t>响应程度</w:t>
            </w:r>
          </w:p>
        </w:tc>
        <w:tc>
          <w:tcPr>
            <w:tcW w:w="2217" w:type="dxa"/>
            <w:vAlign w:val="center"/>
          </w:tcPr>
          <w:p w14:paraId="22BDEF2B">
            <w:pPr>
              <w:pStyle w:val="15"/>
              <w:adjustRightInd/>
              <w:snapToGrid w:val="0"/>
              <w:jc w:val="center"/>
              <w:rPr>
                <w:rFonts w:hAnsi="宋体"/>
                <w:color w:val="auto"/>
                <w:szCs w:val="24"/>
                <w:highlight w:val="none"/>
              </w:rPr>
            </w:pPr>
            <w:r>
              <w:rPr>
                <w:rFonts w:hint="eastAsia" w:hAnsi="宋体"/>
                <w:color w:val="auto"/>
                <w:szCs w:val="24"/>
                <w:highlight w:val="none"/>
              </w:rPr>
              <w:t>磋商报价</w:t>
            </w:r>
          </w:p>
        </w:tc>
        <w:tc>
          <w:tcPr>
            <w:tcW w:w="5736" w:type="dxa"/>
            <w:vAlign w:val="center"/>
          </w:tcPr>
          <w:p w14:paraId="7F8F5238">
            <w:pPr>
              <w:pStyle w:val="15"/>
              <w:adjustRightInd/>
              <w:snapToGrid w:val="0"/>
              <w:rPr>
                <w:rFonts w:hAnsi="宋体"/>
                <w:color w:val="auto"/>
                <w:szCs w:val="24"/>
                <w:highlight w:val="none"/>
              </w:rPr>
            </w:pPr>
            <w:r>
              <w:rPr>
                <w:rFonts w:hint="eastAsia" w:hAnsi="宋体"/>
                <w:color w:val="auto"/>
                <w:szCs w:val="24"/>
                <w:highlight w:val="none"/>
              </w:rPr>
              <w:t>符合第二章“采购项目及服务要求”</w:t>
            </w:r>
            <w:r>
              <w:rPr>
                <w:rFonts w:hAnsi="宋体"/>
                <w:color w:val="auto"/>
                <w:szCs w:val="24"/>
                <w:highlight w:val="none"/>
              </w:rPr>
              <w:t>1.3</w:t>
            </w:r>
            <w:r>
              <w:rPr>
                <w:rFonts w:hint="eastAsia" w:hAnsi="宋体"/>
                <w:color w:val="auto"/>
                <w:szCs w:val="24"/>
                <w:highlight w:val="none"/>
              </w:rPr>
              <w:t>款规定</w:t>
            </w:r>
          </w:p>
        </w:tc>
      </w:tr>
      <w:tr w14:paraId="1B6C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4544EE88">
            <w:pPr>
              <w:pStyle w:val="15"/>
              <w:spacing w:line="360" w:lineRule="auto"/>
              <w:jc w:val="center"/>
              <w:rPr>
                <w:rFonts w:hAnsi="宋体"/>
                <w:color w:val="auto"/>
                <w:szCs w:val="24"/>
                <w:highlight w:val="none"/>
              </w:rPr>
            </w:pPr>
          </w:p>
        </w:tc>
        <w:tc>
          <w:tcPr>
            <w:tcW w:w="560" w:type="dxa"/>
            <w:vMerge w:val="continue"/>
            <w:vAlign w:val="center"/>
          </w:tcPr>
          <w:p w14:paraId="0F98AD4F">
            <w:pPr>
              <w:pStyle w:val="15"/>
              <w:spacing w:line="360" w:lineRule="auto"/>
              <w:jc w:val="center"/>
              <w:rPr>
                <w:rFonts w:hAnsi="宋体"/>
                <w:color w:val="auto"/>
                <w:szCs w:val="24"/>
                <w:highlight w:val="none"/>
              </w:rPr>
            </w:pPr>
          </w:p>
        </w:tc>
        <w:tc>
          <w:tcPr>
            <w:tcW w:w="960" w:type="dxa"/>
            <w:vMerge w:val="continue"/>
            <w:vAlign w:val="center"/>
          </w:tcPr>
          <w:p w14:paraId="601EDE61">
            <w:pPr>
              <w:pStyle w:val="15"/>
              <w:snapToGrid w:val="0"/>
              <w:jc w:val="center"/>
              <w:rPr>
                <w:rFonts w:hAnsi="宋体"/>
                <w:color w:val="auto"/>
                <w:szCs w:val="24"/>
                <w:highlight w:val="none"/>
              </w:rPr>
            </w:pPr>
          </w:p>
        </w:tc>
        <w:tc>
          <w:tcPr>
            <w:tcW w:w="2217" w:type="dxa"/>
            <w:vAlign w:val="center"/>
          </w:tcPr>
          <w:p w14:paraId="4D8B6ACE">
            <w:pPr>
              <w:pStyle w:val="15"/>
              <w:adjustRightInd/>
              <w:snapToGrid w:val="0"/>
              <w:jc w:val="center"/>
              <w:rPr>
                <w:rFonts w:hAnsi="宋体"/>
                <w:color w:val="auto"/>
                <w:szCs w:val="24"/>
                <w:highlight w:val="none"/>
              </w:rPr>
            </w:pPr>
            <w:r>
              <w:rPr>
                <w:rFonts w:hint="eastAsia" w:hAnsi="宋体"/>
                <w:color w:val="auto"/>
                <w:szCs w:val="24"/>
                <w:highlight w:val="none"/>
              </w:rPr>
              <w:t>响应内容（范围）、服务要求</w:t>
            </w:r>
          </w:p>
        </w:tc>
        <w:tc>
          <w:tcPr>
            <w:tcW w:w="5736" w:type="dxa"/>
            <w:vAlign w:val="center"/>
          </w:tcPr>
          <w:p w14:paraId="36EB5144">
            <w:pPr>
              <w:pStyle w:val="15"/>
              <w:adjustRightInd/>
              <w:snapToGrid w:val="0"/>
              <w:rPr>
                <w:rFonts w:hAnsi="宋体"/>
                <w:color w:val="auto"/>
                <w:szCs w:val="24"/>
                <w:highlight w:val="none"/>
              </w:rPr>
            </w:pPr>
            <w:r>
              <w:rPr>
                <w:rFonts w:hint="eastAsia" w:hAnsi="宋体"/>
                <w:color w:val="auto"/>
                <w:szCs w:val="24"/>
                <w:highlight w:val="none"/>
              </w:rPr>
              <w:t>符合第二章“采购项目及服务要求”第</w:t>
            </w:r>
            <w:r>
              <w:rPr>
                <w:rFonts w:hAnsi="宋体"/>
                <w:color w:val="auto"/>
                <w:szCs w:val="24"/>
                <w:highlight w:val="none"/>
              </w:rPr>
              <w:t>2</w:t>
            </w:r>
            <w:r>
              <w:rPr>
                <w:rFonts w:hint="eastAsia" w:hAnsi="宋体"/>
                <w:color w:val="auto"/>
                <w:szCs w:val="24"/>
                <w:highlight w:val="none"/>
              </w:rPr>
              <w:t>条规定</w:t>
            </w:r>
          </w:p>
        </w:tc>
      </w:tr>
      <w:tr w14:paraId="30FC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jc w:val="center"/>
        </w:trPr>
        <w:tc>
          <w:tcPr>
            <w:tcW w:w="564" w:type="dxa"/>
            <w:vMerge w:val="continue"/>
            <w:vAlign w:val="center"/>
          </w:tcPr>
          <w:p w14:paraId="696308F6">
            <w:pPr>
              <w:pStyle w:val="15"/>
              <w:spacing w:line="360" w:lineRule="auto"/>
              <w:jc w:val="center"/>
              <w:rPr>
                <w:rFonts w:hAnsi="宋体"/>
                <w:color w:val="auto"/>
                <w:szCs w:val="24"/>
                <w:highlight w:val="none"/>
              </w:rPr>
            </w:pPr>
          </w:p>
        </w:tc>
        <w:tc>
          <w:tcPr>
            <w:tcW w:w="560" w:type="dxa"/>
            <w:vMerge w:val="continue"/>
            <w:vAlign w:val="center"/>
          </w:tcPr>
          <w:p w14:paraId="754D5AA0">
            <w:pPr>
              <w:pStyle w:val="15"/>
              <w:spacing w:line="360" w:lineRule="auto"/>
              <w:jc w:val="center"/>
              <w:rPr>
                <w:rFonts w:hAnsi="宋体"/>
                <w:color w:val="auto"/>
                <w:szCs w:val="24"/>
                <w:highlight w:val="none"/>
              </w:rPr>
            </w:pPr>
          </w:p>
        </w:tc>
        <w:tc>
          <w:tcPr>
            <w:tcW w:w="960" w:type="dxa"/>
            <w:vMerge w:val="continue"/>
            <w:vAlign w:val="center"/>
          </w:tcPr>
          <w:p w14:paraId="2304F3A6">
            <w:pPr>
              <w:pStyle w:val="15"/>
              <w:snapToGrid w:val="0"/>
              <w:jc w:val="center"/>
              <w:rPr>
                <w:rFonts w:hAnsi="宋体"/>
                <w:color w:val="auto"/>
                <w:szCs w:val="24"/>
                <w:highlight w:val="none"/>
              </w:rPr>
            </w:pPr>
          </w:p>
        </w:tc>
        <w:tc>
          <w:tcPr>
            <w:tcW w:w="2217" w:type="dxa"/>
            <w:vAlign w:val="center"/>
          </w:tcPr>
          <w:p w14:paraId="785B6D19">
            <w:pPr>
              <w:pStyle w:val="15"/>
              <w:adjustRightInd/>
              <w:snapToGrid w:val="0"/>
              <w:jc w:val="center"/>
              <w:rPr>
                <w:rFonts w:hAnsi="宋体"/>
                <w:color w:val="auto"/>
                <w:szCs w:val="24"/>
                <w:highlight w:val="none"/>
              </w:rPr>
            </w:pPr>
            <w:r>
              <w:rPr>
                <w:rFonts w:hint="eastAsia" w:hAnsi="宋体"/>
                <w:color w:val="auto"/>
                <w:szCs w:val="24"/>
                <w:highlight w:val="none"/>
              </w:rPr>
              <w:t>服务期、服务地</w:t>
            </w:r>
          </w:p>
        </w:tc>
        <w:tc>
          <w:tcPr>
            <w:tcW w:w="5736" w:type="dxa"/>
            <w:vAlign w:val="center"/>
          </w:tcPr>
          <w:p w14:paraId="6F26BB2B">
            <w:pPr>
              <w:pStyle w:val="15"/>
              <w:adjustRightInd/>
              <w:snapToGrid w:val="0"/>
              <w:jc w:val="both"/>
              <w:rPr>
                <w:rFonts w:hAnsi="宋体"/>
                <w:color w:val="auto"/>
                <w:szCs w:val="24"/>
                <w:highlight w:val="none"/>
              </w:rPr>
            </w:pPr>
            <w:r>
              <w:rPr>
                <w:rFonts w:hint="eastAsia" w:hAnsi="宋体"/>
                <w:color w:val="auto"/>
                <w:szCs w:val="24"/>
                <w:highlight w:val="none"/>
              </w:rPr>
              <w:t>符合第二章“采购项目及服务要求”</w:t>
            </w:r>
            <w:r>
              <w:rPr>
                <w:rFonts w:hAnsi="宋体"/>
                <w:color w:val="auto"/>
                <w:szCs w:val="24"/>
                <w:highlight w:val="none"/>
              </w:rPr>
              <w:t>1.2</w:t>
            </w:r>
            <w:r>
              <w:rPr>
                <w:rFonts w:hint="eastAsia" w:hAnsi="宋体"/>
                <w:color w:val="auto"/>
                <w:szCs w:val="24"/>
                <w:highlight w:val="none"/>
              </w:rPr>
              <w:t>款规定</w:t>
            </w:r>
          </w:p>
        </w:tc>
      </w:tr>
      <w:tr w14:paraId="49DB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564" w:type="dxa"/>
            <w:vMerge w:val="continue"/>
            <w:vAlign w:val="center"/>
          </w:tcPr>
          <w:p w14:paraId="302C20F2">
            <w:pPr>
              <w:pStyle w:val="15"/>
              <w:spacing w:line="360" w:lineRule="auto"/>
              <w:jc w:val="center"/>
              <w:rPr>
                <w:rFonts w:hAnsi="宋体"/>
                <w:color w:val="auto"/>
                <w:szCs w:val="24"/>
                <w:highlight w:val="none"/>
              </w:rPr>
            </w:pPr>
          </w:p>
        </w:tc>
        <w:tc>
          <w:tcPr>
            <w:tcW w:w="560" w:type="dxa"/>
            <w:vMerge w:val="continue"/>
            <w:vAlign w:val="center"/>
          </w:tcPr>
          <w:p w14:paraId="0690681E">
            <w:pPr>
              <w:pStyle w:val="15"/>
              <w:spacing w:line="360" w:lineRule="auto"/>
              <w:jc w:val="center"/>
              <w:rPr>
                <w:rFonts w:hAnsi="宋体"/>
                <w:color w:val="auto"/>
                <w:szCs w:val="24"/>
                <w:highlight w:val="none"/>
              </w:rPr>
            </w:pPr>
          </w:p>
        </w:tc>
        <w:tc>
          <w:tcPr>
            <w:tcW w:w="960" w:type="dxa"/>
            <w:vMerge w:val="continue"/>
            <w:vAlign w:val="center"/>
          </w:tcPr>
          <w:p w14:paraId="30AB7A21">
            <w:pPr>
              <w:pStyle w:val="15"/>
              <w:adjustRightInd/>
              <w:snapToGrid w:val="0"/>
              <w:jc w:val="center"/>
              <w:rPr>
                <w:rFonts w:hAnsi="宋体"/>
                <w:color w:val="auto"/>
                <w:szCs w:val="24"/>
                <w:highlight w:val="none"/>
              </w:rPr>
            </w:pPr>
          </w:p>
        </w:tc>
        <w:tc>
          <w:tcPr>
            <w:tcW w:w="2217" w:type="dxa"/>
            <w:vAlign w:val="center"/>
          </w:tcPr>
          <w:p w14:paraId="1937F2C9">
            <w:pPr>
              <w:pStyle w:val="15"/>
              <w:adjustRightInd/>
              <w:snapToGrid w:val="0"/>
              <w:jc w:val="center"/>
              <w:rPr>
                <w:rFonts w:hAnsi="宋体"/>
                <w:color w:val="auto"/>
                <w:szCs w:val="24"/>
                <w:highlight w:val="none"/>
              </w:rPr>
            </w:pPr>
            <w:r>
              <w:rPr>
                <w:rFonts w:hint="eastAsia" w:hAnsi="宋体"/>
                <w:color w:val="auto"/>
                <w:szCs w:val="24"/>
                <w:highlight w:val="none"/>
              </w:rPr>
              <w:t>响应有效期</w:t>
            </w:r>
          </w:p>
        </w:tc>
        <w:tc>
          <w:tcPr>
            <w:tcW w:w="5736" w:type="dxa"/>
            <w:vAlign w:val="center"/>
          </w:tcPr>
          <w:p w14:paraId="53525D6A">
            <w:pPr>
              <w:snapToGrid w:val="0"/>
              <w:spacing w:line="240" w:lineRule="auto"/>
              <w:rPr>
                <w:rFonts w:ascii="宋体"/>
                <w:color w:val="auto"/>
                <w:sz w:val="24"/>
                <w:highlight w:val="none"/>
              </w:rPr>
            </w:pPr>
            <w:r>
              <w:rPr>
                <w:rFonts w:hint="eastAsia" w:ascii="宋体" w:hAnsi="宋体"/>
                <w:color w:val="auto"/>
                <w:sz w:val="24"/>
                <w:highlight w:val="none"/>
              </w:rPr>
              <w:t>符合第三章“供应商须知”</w:t>
            </w:r>
            <w:r>
              <w:rPr>
                <w:rFonts w:ascii="宋体" w:hAnsi="宋体"/>
                <w:color w:val="auto"/>
                <w:sz w:val="24"/>
                <w:highlight w:val="none"/>
              </w:rPr>
              <w:t>3.4</w:t>
            </w:r>
            <w:r>
              <w:rPr>
                <w:rFonts w:hint="eastAsia" w:ascii="宋体" w:hAnsi="宋体"/>
                <w:color w:val="auto"/>
                <w:sz w:val="24"/>
                <w:highlight w:val="none"/>
              </w:rPr>
              <w:t>款规定</w:t>
            </w:r>
          </w:p>
        </w:tc>
      </w:tr>
      <w:tr w14:paraId="6C67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564" w:type="dxa"/>
            <w:vMerge w:val="continue"/>
            <w:vAlign w:val="center"/>
          </w:tcPr>
          <w:p w14:paraId="67F128EB">
            <w:pPr>
              <w:pStyle w:val="15"/>
              <w:spacing w:line="360" w:lineRule="auto"/>
              <w:jc w:val="center"/>
              <w:rPr>
                <w:rFonts w:hAnsi="宋体"/>
                <w:color w:val="auto"/>
                <w:szCs w:val="24"/>
                <w:highlight w:val="none"/>
              </w:rPr>
            </w:pPr>
          </w:p>
        </w:tc>
        <w:tc>
          <w:tcPr>
            <w:tcW w:w="560" w:type="dxa"/>
            <w:vMerge w:val="continue"/>
            <w:vAlign w:val="center"/>
          </w:tcPr>
          <w:p w14:paraId="282AEB2D">
            <w:pPr>
              <w:pStyle w:val="15"/>
              <w:spacing w:line="360" w:lineRule="auto"/>
              <w:jc w:val="center"/>
              <w:rPr>
                <w:rFonts w:hAnsi="宋体"/>
                <w:color w:val="auto"/>
                <w:szCs w:val="24"/>
                <w:highlight w:val="none"/>
              </w:rPr>
            </w:pPr>
          </w:p>
        </w:tc>
        <w:tc>
          <w:tcPr>
            <w:tcW w:w="960" w:type="dxa"/>
            <w:vMerge w:val="continue"/>
            <w:vAlign w:val="center"/>
          </w:tcPr>
          <w:p w14:paraId="51FFE930">
            <w:pPr>
              <w:pStyle w:val="15"/>
              <w:adjustRightInd/>
              <w:snapToGrid w:val="0"/>
              <w:jc w:val="center"/>
              <w:rPr>
                <w:rFonts w:hAnsi="宋体"/>
                <w:color w:val="auto"/>
                <w:szCs w:val="24"/>
                <w:highlight w:val="none"/>
              </w:rPr>
            </w:pPr>
          </w:p>
        </w:tc>
        <w:tc>
          <w:tcPr>
            <w:tcW w:w="2217" w:type="dxa"/>
            <w:vAlign w:val="center"/>
          </w:tcPr>
          <w:p w14:paraId="14842465">
            <w:pPr>
              <w:pStyle w:val="15"/>
              <w:adjustRightInd/>
              <w:snapToGrid w:val="0"/>
              <w:jc w:val="center"/>
              <w:rPr>
                <w:rFonts w:hAnsi="宋体"/>
                <w:color w:val="auto"/>
                <w:szCs w:val="24"/>
                <w:highlight w:val="none"/>
              </w:rPr>
            </w:pPr>
            <w:r>
              <w:rPr>
                <w:rFonts w:hint="eastAsia" w:hAnsi="宋体"/>
                <w:color w:val="auto"/>
                <w:szCs w:val="24"/>
                <w:highlight w:val="none"/>
              </w:rPr>
              <w:t>《响应文件》格式</w:t>
            </w:r>
          </w:p>
        </w:tc>
        <w:tc>
          <w:tcPr>
            <w:tcW w:w="5736" w:type="dxa"/>
            <w:vAlign w:val="center"/>
          </w:tcPr>
          <w:p w14:paraId="416865E4">
            <w:pPr>
              <w:pStyle w:val="15"/>
              <w:adjustRightInd/>
              <w:snapToGrid w:val="0"/>
              <w:rPr>
                <w:rFonts w:hAnsi="宋体"/>
                <w:color w:val="auto"/>
                <w:szCs w:val="24"/>
                <w:highlight w:val="none"/>
              </w:rPr>
            </w:pPr>
            <w:r>
              <w:rPr>
                <w:rFonts w:hint="eastAsia" w:hAnsi="宋体"/>
                <w:color w:val="auto"/>
                <w:szCs w:val="24"/>
                <w:highlight w:val="none"/>
              </w:rPr>
              <w:t>符合第六章“《响应文件》格式”规定</w:t>
            </w:r>
          </w:p>
        </w:tc>
      </w:tr>
      <w:tr w14:paraId="450E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1751643D">
            <w:pPr>
              <w:pStyle w:val="15"/>
              <w:spacing w:line="360" w:lineRule="auto"/>
              <w:jc w:val="center"/>
              <w:rPr>
                <w:rFonts w:hAnsi="宋体"/>
                <w:color w:val="auto"/>
                <w:szCs w:val="24"/>
                <w:highlight w:val="none"/>
              </w:rPr>
            </w:pPr>
          </w:p>
        </w:tc>
        <w:tc>
          <w:tcPr>
            <w:tcW w:w="560" w:type="dxa"/>
            <w:vMerge w:val="continue"/>
            <w:vAlign w:val="center"/>
          </w:tcPr>
          <w:p w14:paraId="79F9E765">
            <w:pPr>
              <w:pStyle w:val="15"/>
              <w:spacing w:line="360" w:lineRule="auto"/>
              <w:jc w:val="center"/>
              <w:rPr>
                <w:rFonts w:hAnsi="宋体"/>
                <w:color w:val="auto"/>
                <w:szCs w:val="24"/>
                <w:highlight w:val="none"/>
              </w:rPr>
            </w:pPr>
          </w:p>
        </w:tc>
        <w:tc>
          <w:tcPr>
            <w:tcW w:w="960" w:type="dxa"/>
            <w:vMerge w:val="continue"/>
            <w:vAlign w:val="center"/>
          </w:tcPr>
          <w:p w14:paraId="110CC5E0">
            <w:pPr>
              <w:pStyle w:val="15"/>
              <w:adjustRightInd/>
              <w:snapToGrid w:val="0"/>
              <w:jc w:val="center"/>
              <w:rPr>
                <w:rFonts w:hAnsi="宋体"/>
                <w:color w:val="auto"/>
                <w:szCs w:val="24"/>
                <w:highlight w:val="none"/>
              </w:rPr>
            </w:pPr>
          </w:p>
        </w:tc>
        <w:tc>
          <w:tcPr>
            <w:tcW w:w="2217" w:type="dxa"/>
            <w:vAlign w:val="center"/>
          </w:tcPr>
          <w:p w14:paraId="430A48AE">
            <w:pPr>
              <w:pStyle w:val="15"/>
              <w:adjustRightInd/>
              <w:snapToGrid w:val="0"/>
              <w:jc w:val="center"/>
              <w:rPr>
                <w:rFonts w:hAnsi="宋体"/>
                <w:color w:val="auto"/>
                <w:szCs w:val="24"/>
                <w:highlight w:val="none"/>
              </w:rPr>
            </w:pPr>
            <w:r>
              <w:rPr>
                <w:rFonts w:hint="eastAsia" w:hAnsi="宋体"/>
                <w:color w:val="auto"/>
                <w:highlight w:val="none"/>
              </w:rPr>
              <w:t>付款</w:t>
            </w:r>
          </w:p>
        </w:tc>
        <w:tc>
          <w:tcPr>
            <w:tcW w:w="5736" w:type="dxa"/>
            <w:vAlign w:val="center"/>
          </w:tcPr>
          <w:p w14:paraId="5BBA27F5">
            <w:pPr>
              <w:snapToGrid w:val="0"/>
              <w:spacing w:line="240" w:lineRule="auto"/>
              <w:rPr>
                <w:rFonts w:ascii="宋体"/>
                <w:color w:val="auto"/>
                <w:sz w:val="24"/>
                <w:highlight w:val="none"/>
              </w:rPr>
            </w:pPr>
            <w:r>
              <w:rPr>
                <w:rFonts w:hint="eastAsia" w:ascii="宋体" w:hAnsi="宋体"/>
                <w:color w:val="auto"/>
                <w:sz w:val="24"/>
                <w:highlight w:val="none"/>
              </w:rPr>
              <w:t>符合第三章“供应商须知”第9条规定</w:t>
            </w:r>
          </w:p>
        </w:tc>
      </w:tr>
      <w:tr w14:paraId="353F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14:paraId="6C7E6B4F">
            <w:pPr>
              <w:pStyle w:val="15"/>
              <w:spacing w:line="360" w:lineRule="auto"/>
              <w:jc w:val="center"/>
              <w:rPr>
                <w:rFonts w:hAnsi="宋体"/>
                <w:color w:val="auto"/>
                <w:szCs w:val="24"/>
                <w:highlight w:val="none"/>
              </w:rPr>
            </w:pPr>
          </w:p>
        </w:tc>
        <w:tc>
          <w:tcPr>
            <w:tcW w:w="560" w:type="dxa"/>
            <w:vMerge w:val="continue"/>
            <w:vAlign w:val="center"/>
          </w:tcPr>
          <w:p w14:paraId="4719E696">
            <w:pPr>
              <w:pStyle w:val="15"/>
              <w:spacing w:line="360" w:lineRule="auto"/>
              <w:jc w:val="center"/>
              <w:rPr>
                <w:rFonts w:hAnsi="宋体"/>
                <w:color w:val="auto"/>
                <w:szCs w:val="24"/>
                <w:highlight w:val="none"/>
              </w:rPr>
            </w:pPr>
          </w:p>
        </w:tc>
        <w:tc>
          <w:tcPr>
            <w:tcW w:w="960" w:type="dxa"/>
            <w:vMerge w:val="continue"/>
            <w:vAlign w:val="center"/>
          </w:tcPr>
          <w:p w14:paraId="7ED48435">
            <w:pPr>
              <w:pStyle w:val="15"/>
              <w:adjustRightInd/>
              <w:snapToGrid w:val="0"/>
              <w:jc w:val="center"/>
              <w:rPr>
                <w:rFonts w:hAnsi="宋体"/>
                <w:color w:val="auto"/>
                <w:szCs w:val="24"/>
                <w:highlight w:val="none"/>
              </w:rPr>
            </w:pPr>
          </w:p>
        </w:tc>
        <w:tc>
          <w:tcPr>
            <w:tcW w:w="2217" w:type="dxa"/>
            <w:vAlign w:val="center"/>
          </w:tcPr>
          <w:p w14:paraId="38C99215">
            <w:pPr>
              <w:pStyle w:val="15"/>
              <w:adjustRightInd/>
              <w:snapToGrid w:val="0"/>
              <w:jc w:val="center"/>
              <w:rPr>
                <w:rFonts w:hAnsi="宋体"/>
                <w:color w:val="auto"/>
                <w:highlight w:val="none"/>
              </w:rPr>
            </w:pPr>
            <w:r>
              <w:rPr>
                <w:rFonts w:hint="eastAsia" w:hAnsi="宋体"/>
                <w:color w:val="auto"/>
                <w:highlight w:val="none"/>
              </w:rPr>
              <w:t>偏差描述</w:t>
            </w:r>
          </w:p>
        </w:tc>
        <w:tc>
          <w:tcPr>
            <w:tcW w:w="5736" w:type="dxa"/>
            <w:vAlign w:val="center"/>
          </w:tcPr>
          <w:p w14:paraId="26431878">
            <w:pPr>
              <w:snapToGrid w:val="0"/>
              <w:spacing w:line="240" w:lineRule="auto"/>
              <w:rPr>
                <w:rFonts w:ascii="宋体"/>
                <w:color w:val="auto"/>
                <w:sz w:val="24"/>
                <w:highlight w:val="none"/>
              </w:rPr>
            </w:pPr>
            <w:r>
              <w:rPr>
                <w:rFonts w:hint="eastAsia" w:ascii="宋体" w:hAnsi="宋体"/>
                <w:color w:val="auto"/>
                <w:sz w:val="24"/>
                <w:highlight w:val="none"/>
              </w:rPr>
              <w:t>符合第三章“供应商须知”</w:t>
            </w:r>
            <w:r>
              <w:rPr>
                <w:rFonts w:ascii="宋体" w:hAnsi="宋体"/>
                <w:color w:val="auto"/>
                <w:sz w:val="24"/>
                <w:highlight w:val="none"/>
              </w:rPr>
              <w:t>3.7.3</w:t>
            </w:r>
            <w:r>
              <w:rPr>
                <w:rFonts w:hint="eastAsia" w:ascii="宋体" w:hAnsi="宋体"/>
                <w:color w:val="auto"/>
                <w:sz w:val="24"/>
                <w:highlight w:val="none"/>
              </w:rPr>
              <w:t>项规定</w:t>
            </w:r>
          </w:p>
        </w:tc>
      </w:tr>
      <w:tr w14:paraId="2A3F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564" w:type="dxa"/>
            <w:vMerge w:val="continue"/>
            <w:vAlign w:val="center"/>
          </w:tcPr>
          <w:p w14:paraId="70245701">
            <w:pPr>
              <w:pStyle w:val="15"/>
              <w:spacing w:line="360" w:lineRule="auto"/>
              <w:jc w:val="center"/>
              <w:rPr>
                <w:rFonts w:hAnsi="宋体"/>
                <w:color w:val="auto"/>
                <w:szCs w:val="24"/>
                <w:highlight w:val="none"/>
              </w:rPr>
            </w:pPr>
          </w:p>
        </w:tc>
        <w:tc>
          <w:tcPr>
            <w:tcW w:w="560" w:type="dxa"/>
            <w:vMerge w:val="continue"/>
            <w:vAlign w:val="center"/>
          </w:tcPr>
          <w:p w14:paraId="03FD4A32">
            <w:pPr>
              <w:pStyle w:val="15"/>
              <w:spacing w:line="360" w:lineRule="auto"/>
              <w:jc w:val="center"/>
              <w:rPr>
                <w:rFonts w:hAnsi="宋体"/>
                <w:color w:val="auto"/>
                <w:szCs w:val="24"/>
                <w:highlight w:val="none"/>
              </w:rPr>
            </w:pPr>
          </w:p>
        </w:tc>
        <w:tc>
          <w:tcPr>
            <w:tcW w:w="960" w:type="dxa"/>
            <w:vMerge w:val="continue"/>
            <w:vAlign w:val="center"/>
          </w:tcPr>
          <w:p w14:paraId="0E03E055">
            <w:pPr>
              <w:snapToGrid w:val="0"/>
              <w:spacing w:line="240" w:lineRule="auto"/>
              <w:jc w:val="center"/>
              <w:rPr>
                <w:rFonts w:ascii="宋体"/>
                <w:color w:val="auto"/>
                <w:sz w:val="24"/>
                <w:highlight w:val="none"/>
              </w:rPr>
            </w:pPr>
          </w:p>
        </w:tc>
        <w:tc>
          <w:tcPr>
            <w:tcW w:w="2217" w:type="dxa"/>
            <w:vAlign w:val="center"/>
          </w:tcPr>
          <w:p w14:paraId="03926FC8">
            <w:pPr>
              <w:snapToGrid w:val="0"/>
              <w:spacing w:line="240" w:lineRule="auto"/>
              <w:jc w:val="center"/>
              <w:rPr>
                <w:rFonts w:ascii="宋体"/>
                <w:color w:val="auto"/>
                <w:sz w:val="24"/>
                <w:highlight w:val="none"/>
              </w:rPr>
            </w:pPr>
            <w:r>
              <w:rPr>
                <w:rFonts w:hint="eastAsia" w:ascii="宋体" w:hAnsi="宋体"/>
                <w:color w:val="auto"/>
                <w:sz w:val="24"/>
                <w:highlight w:val="none"/>
              </w:rPr>
              <w:t>《磋商文件》总体响应</w:t>
            </w:r>
          </w:p>
        </w:tc>
        <w:tc>
          <w:tcPr>
            <w:tcW w:w="5736" w:type="dxa"/>
            <w:vAlign w:val="center"/>
          </w:tcPr>
          <w:p w14:paraId="3278CE92">
            <w:pPr>
              <w:autoSpaceDE w:val="0"/>
              <w:autoSpaceDN w:val="0"/>
              <w:snapToGrid w:val="0"/>
              <w:spacing w:line="240" w:lineRule="auto"/>
              <w:rPr>
                <w:rFonts w:ascii="宋体"/>
                <w:color w:val="auto"/>
                <w:sz w:val="24"/>
                <w:highlight w:val="none"/>
              </w:rPr>
            </w:pPr>
            <w:r>
              <w:rPr>
                <w:rFonts w:hint="eastAsia" w:ascii="宋体" w:hAnsi="宋体"/>
                <w:color w:val="auto"/>
                <w:sz w:val="24"/>
                <w:highlight w:val="none"/>
              </w:rPr>
              <w:t>符合第三章“供应商须知”</w:t>
            </w:r>
            <w:r>
              <w:rPr>
                <w:rFonts w:ascii="宋体" w:hAnsi="宋体"/>
                <w:color w:val="auto"/>
                <w:sz w:val="24"/>
                <w:highlight w:val="none"/>
              </w:rPr>
              <w:t>1.3</w:t>
            </w:r>
            <w:r>
              <w:rPr>
                <w:rFonts w:hint="eastAsia" w:ascii="宋体" w:hAnsi="宋体"/>
                <w:color w:val="auto"/>
                <w:sz w:val="24"/>
                <w:highlight w:val="none"/>
              </w:rPr>
              <w:t>项规定</w:t>
            </w:r>
          </w:p>
        </w:tc>
      </w:tr>
    </w:tbl>
    <w:p w14:paraId="63BA4C87">
      <w:pPr>
        <w:autoSpaceDE w:val="0"/>
        <w:autoSpaceDN w:val="0"/>
        <w:adjustRightInd w:val="0"/>
        <w:snapToGrid w:val="0"/>
        <w:spacing w:before="120" w:beforeLines="50" w:line="300" w:lineRule="auto"/>
        <w:ind w:firstLine="539"/>
        <w:rPr>
          <w:rFonts w:ascii="宋体" w:cs="楷体_GB2312"/>
          <w:color w:val="auto"/>
          <w:sz w:val="24"/>
          <w:highlight w:val="none"/>
          <w:lang w:val="zh-CN"/>
        </w:rPr>
      </w:pPr>
      <w:r>
        <w:rPr>
          <w:rFonts w:hint="eastAsia" w:ascii="宋体" w:cs="楷体_GB2312"/>
          <w:color w:val="auto"/>
          <w:sz w:val="24"/>
          <w:highlight w:val="none"/>
          <w:lang w:val="zh-CN"/>
        </w:rPr>
        <w:t>注：磋商小组将依据第六章14-1附件“证明材料查询核验工作的清单及要求”对核验证明材料进行形式要件审核。</w:t>
      </w:r>
    </w:p>
    <w:p w14:paraId="661A71EB">
      <w:pPr>
        <w:autoSpaceDE w:val="0"/>
        <w:autoSpaceDN w:val="0"/>
        <w:adjustRightInd w:val="0"/>
        <w:spacing w:line="360" w:lineRule="auto"/>
        <w:jc w:val="left"/>
        <w:rPr>
          <w:rFonts w:ascii="黑体" w:hAnsi="黑体" w:eastAsia="黑体" w:cs="楷体_GB2312"/>
          <w:b/>
          <w:bCs/>
          <w:color w:val="auto"/>
          <w:sz w:val="28"/>
          <w:szCs w:val="28"/>
          <w:highlight w:val="none"/>
          <w:lang w:val="zh-CN"/>
        </w:rPr>
      </w:pPr>
    </w:p>
    <w:p w14:paraId="0A715431">
      <w:pPr>
        <w:spacing w:line="240" w:lineRule="auto"/>
        <w:ind w:firstLine="419"/>
        <w:jc w:val="left"/>
        <w:textAlignment w:val="auto"/>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br w:type="page"/>
      </w:r>
      <w:r>
        <w:rPr>
          <w:rFonts w:ascii="黑体" w:hAnsi="黑体" w:eastAsia="黑体" w:cs="楷体_GB2312"/>
          <w:b/>
          <w:bCs/>
          <w:color w:val="auto"/>
          <w:sz w:val="28"/>
          <w:szCs w:val="28"/>
          <w:highlight w:val="none"/>
          <w:lang w:val="zh-CN"/>
        </w:rPr>
        <w:t xml:space="preserve"> </w:t>
      </w:r>
    </w:p>
    <w:p w14:paraId="7941CCF7">
      <w:pPr>
        <w:spacing w:line="500" w:lineRule="exact"/>
        <w:ind w:firstLine="419"/>
        <w:jc w:val="left"/>
        <w:rPr>
          <w:rFonts w:ascii="黑体" w:hAnsi="黑体" w:eastAsia="黑体"/>
          <w:b/>
          <w:color w:val="auto"/>
          <w:sz w:val="28"/>
          <w:szCs w:val="28"/>
          <w:highlight w:val="none"/>
        </w:rPr>
      </w:pPr>
      <w:r>
        <w:rPr>
          <w:rFonts w:hint="eastAsia" w:ascii="黑体" w:hAnsi="黑体" w:eastAsia="黑体"/>
          <w:b/>
          <w:color w:val="auto"/>
          <w:sz w:val="28"/>
          <w:szCs w:val="28"/>
          <w:highlight w:val="none"/>
        </w:rPr>
        <w:t>评审办法前附表</w:t>
      </w:r>
      <w:r>
        <w:rPr>
          <w:rFonts w:ascii="黑体" w:hAnsi="黑体" w:eastAsia="黑体"/>
          <w:b/>
          <w:color w:val="auto"/>
          <w:sz w:val="28"/>
          <w:szCs w:val="28"/>
          <w:highlight w:val="none"/>
        </w:rPr>
        <w:t>-----</w:t>
      </w:r>
      <w:r>
        <w:rPr>
          <w:rFonts w:hint="eastAsia" w:ascii="黑体" w:hAnsi="黑体" w:eastAsia="黑体"/>
          <w:b/>
          <w:color w:val="auto"/>
          <w:sz w:val="28"/>
          <w:szCs w:val="28"/>
          <w:highlight w:val="none"/>
        </w:rPr>
        <w:t>分值构成与评分标准</w:t>
      </w:r>
      <w:r>
        <w:rPr>
          <w:rFonts w:ascii="黑体" w:hAnsi="黑体" w:eastAsia="黑体"/>
          <w:b/>
          <w:color w:val="auto"/>
          <w:sz w:val="28"/>
          <w:szCs w:val="28"/>
          <w:highlight w:val="none"/>
        </w:rPr>
        <w:t xml:space="preserve">  </w:t>
      </w:r>
    </w:p>
    <w:tbl>
      <w:tblPr>
        <w:tblStyle w:val="9"/>
        <w:tblW w:w="10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1193"/>
        <w:gridCol w:w="1200"/>
        <w:gridCol w:w="6461"/>
      </w:tblGrid>
      <w:tr w14:paraId="1A01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76" w:type="dxa"/>
            <w:vAlign w:val="center"/>
          </w:tcPr>
          <w:p w14:paraId="0D169872">
            <w:pPr>
              <w:widowControl w:val="0"/>
              <w:autoSpaceDE w:val="0"/>
              <w:autoSpaceDN w:val="0"/>
              <w:adjustRightInd w:val="0"/>
              <w:spacing w:line="276"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193" w:type="dxa"/>
            <w:vAlign w:val="center"/>
          </w:tcPr>
          <w:p w14:paraId="5DEFCF87">
            <w:pPr>
              <w:spacing w:line="276"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条款内容</w:t>
            </w:r>
          </w:p>
        </w:tc>
        <w:tc>
          <w:tcPr>
            <w:tcW w:w="7661" w:type="dxa"/>
            <w:gridSpan w:val="2"/>
            <w:vAlign w:val="center"/>
          </w:tcPr>
          <w:p w14:paraId="407F6005">
            <w:pPr>
              <w:spacing w:line="276"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14:paraId="4D11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176" w:type="dxa"/>
            <w:vAlign w:val="center"/>
          </w:tcPr>
          <w:p w14:paraId="44B1BFF1">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2.2.1</w:t>
            </w:r>
          </w:p>
        </w:tc>
        <w:tc>
          <w:tcPr>
            <w:tcW w:w="1193" w:type="dxa"/>
            <w:vAlign w:val="center"/>
          </w:tcPr>
          <w:p w14:paraId="5032A65B">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分值构成</w:t>
            </w:r>
          </w:p>
          <w:p w14:paraId="36BCDCAA">
            <w:pPr>
              <w:widowControl w:val="0"/>
              <w:snapToGrid w:val="0"/>
              <w:spacing w:line="276" w:lineRule="auto"/>
              <w:jc w:val="center"/>
              <w:rPr>
                <w:rFonts w:ascii="宋体" w:hAnsi="宋体"/>
                <w:color w:val="auto"/>
                <w:sz w:val="24"/>
                <w:szCs w:val="24"/>
                <w:highlight w:val="none"/>
              </w:rPr>
            </w:pPr>
            <w:r>
              <w:rPr>
                <w:rFonts w:hint="eastAsia" w:ascii="宋体" w:hAnsi="宋体" w:cs="TimesNewRomanPSMT"/>
                <w:color w:val="auto"/>
                <w:sz w:val="24"/>
                <w:szCs w:val="24"/>
                <w:highlight w:val="none"/>
              </w:rPr>
              <w:t>（</w:t>
            </w:r>
            <w:r>
              <w:rPr>
                <w:rFonts w:hint="eastAsia" w:ascii="宋体" w:hAnsi="宋体" w:cs="宋体"/>
                <w:color w:val="auto"/>
                <w:sz w:val="24"/>
                <w:szCs w:val="24"/>
                <w:highlight w:val="none"/>
              </w:rPr>
              <w:t>总分</w:t>
            </w:r>
            <w:r>
              <w:rPr>
                <w:rFonts w:ascii="宋体" w:hAnsi="宋体" w:cs="TimesNewRomanPSMT"/>
                <w:color w:val="auto"/>
                <w:sz w:val="24"/>
                <w:szCs w:val="24"/>
                <w:highlight w:val="none"/>
              </w:rPr>
              <w:t xml:space="preserve">100 </w:t>
            </w:r>
            <w:r>
              <w:rPr>
                <w:rFonts w:hint="eastAsia" w:ascii="宋体" w:hAnsi="宋体" w:cs="宋体"/>
                <w:color w:val="auto"/>
                <w:sz w:val="24"/>
                <w:szCs w:val="24"/>
                <w:highlight w:val="none"/>
              </w:rPr>
              <w:t>分）</w:t>
            </w:r>
          </w:p>
        </w:tc>
        <w:tc>
          <w:tcPr>
            <w:tcW w:w="7661" w:type="dxa"/>
            <w:gridSpan w:val="2"/>
            <w:vAlign w:val="center"/>
          </w:tcPr>
          <w:p w14:paraId="1C5B53AC">
            <w:pPr>
              <w:widowControl w:val="0"/>
              <w:snapToGrid w:val="0"/>
              <w:spacing w:line="276"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价格：</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20</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分</w:t>
            </w:r>
          </w:p>
          <w:p w14:paraId="2F617C60">
            <w:pPr>
              <w:widowControl w:val="0"/>
              <w:autoSpaceDE w:val="0"/>
              <w:autoSpaceDN w:val="0"/>
              <w:adjustRightInd w:val="0"/>
              <w:snapToGrid w:val="0"/>
              <w:spacing w:line="276" w:lineRule="auto"/>
              <w:textAlignment w:val="auto"/>
              <w:rPr>
                <w:rFonts w:ascii="宋体" w:hAnsi="宋体" w:cs="宋体"/>
                <w:b/>
                <w:color w:val="auto"/>
                <w:sz w:val="24"/>
                <w:szCs w:val="24"/>
                <w:highlight w:val="none"/>
              </w:rPr>
            </w:pPr>
            <w:r>
              <w:rPr>
                <w:rFonts w:hint="eastAsia" w:ascii="宋体" w:hAnsi="宋体" w:cs="宋体"/>
                <w:color w:val="auto"/>
                <w:sz w:val="24"/>
                <w:szCs w:val="24"/>
                <w:highlight w:val="none"/>
              </w:rPr>
              <w:t>技术：</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rPr>
              <w:t>分</w:t>
            </w:r>
          </w:p>
          <w:p w14:paraId="00B53804">
            <w:pPr>
              <w:widowControl w:val="0"/>
              <w:snapToGrid w:val="0"/>
              <w:spacing w:line="276" w:lineRule="auto"/>
              <w:rPr>
                <w:rFonts w:ascii="宋体" w:hAnsi="宋体" w:cs="宋体"/>
                <w:color w:val="auto"/>
                <w:sz w:val="24"/>
                <w:szCs w:val="24"/>
                <w:highlight w:val="none"/>
              </w:rPr>
            </w:pPr>
            <w:r>
              <w:rPr>
                <w:rFonts w:hint="eastAsia" w:ascii="宋体" w:hAnsi="宋体" w:cs="宋体"/>
                <w:color w:val="auto"/>
                <w:sz w:val="24"/>
                <w:szCs w:val="24"/>
                <w:highlight w:val="none"/>
              </w:rPr>
              <w:t>履约能力：</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5</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rPr>
              <w:t>分</w:t>
            </w:r>
          </w:p>
        </w:tc>
      </w:tr>
      <w:tr w14:paraId="0756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76" w:type="dxa"/>
            <w:vAlign w:val="center"/>
          </w:tcPr>
          <w:p w14:paraId="1D414528">
            <w:pPr>
              <w:widowControl w:val="0"/>
              <w:autoSpaceDE w:val="0"/>
              <w:autoSpaceDN w:val="0"/>
              <w:adjustRightInd w:val="0"/>
              <w:spacing w:line="276" w:lineRule="auto"/>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193" w:type="dxa"/>
            <w:vAlign w:val="center"/>
          </w:tcPr>
          <w:p w14:paraId="5B86BCAF">
            <w:pPr>
              <w:widowControl w:val="0"/>
              <w:snapToGrid w:val="0"/>
              <w:spacing w:line="276" w:lineRule="auto"/>
              <w:ind w:hanging="13"/>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评分因素</w:t>
            </w:r>
          </w:p>
        </w:tc>
        <w:tc>
          <w:tcPr>
            <w:tcW w:w="7661" w:type="dxa"/>
            <w:gridSpan w:val="2"/>
            <w:vAlign w:val="center"/>
          </w:tcPr>
          <w:p w14:paraId="497D6192">
            <w:pPr>
              <w:widowControl w:val="0"/>
              <w:snapToGrid w:val="0"/>
              <w:spacing w:line="276"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评分标准</w:t>
            </w:r>
          </w:p>
        </w:tc>
      </w:tr>
      <w:tr w14:paraId="603DC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76" w:type="dxa"/>
            <w:vAlign w:val="center"/>
          </w:tcPr>
          <w:p w14:paraId="36E14CDD">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2.2.2.1</w:t>
            </w:r>
          </w:p>
        </w:tc>
        <w:tc>
          <w:tcPr>
            <w:tcW w:w="1193" w:type="dxa"/>
            <w:vAlign w:val="center"/>
          </w:tcPr>
          <w:p w14:paraId="3C5A9160">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价格</w:t>
            </w:r>
          </w:p>
        </w:tc>
        <w:tc>
          <w:tcPr>
            <w:tcW w:w="7661" w:type="dxa"/>
            <w:gridSpan w:val="2"/>
            <w:vAlign w:val="center"/>
          </w:tcPr>
          <w:p w14:paraId="172BFF04">
            <w:pPr>
              <w:widowControl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）按第四章“评标办法”第</w:t>
            </w:r>
            <w:r>
              <w:rPr>
                <w:rFonts w:ascii="宋体" w:hAnsi="宋体"/>
                <w:color w:val="auto"/>
                <w:sz w:val="24"/>
                <w:szCs w:val="24"/>
                <w:highlight w:val="none"/>
              </w:rPr>
              <w:t>4</w:t>
            </w:r>
            <w:r>
              <w:rPr>
                <w:rFonts w:hint="eastAsia" w:ascii="宋体" w:hAnsi="宋体"/>
                <w:color w:val="auto"/>
                <w:sz w:val="24"/>
                <w:szCs w:val="24"/>
                <w:highlight w:val="none"/>
              </w:rPr>
              <w:t>条规定，评审小微企业价格扣除</w:t>
            </w:r>
          </w:p>
          <w:p w14:paraId="5492E2A7">
            <w:pPr>
              <w:widowControl w:val="0"/>
              <w:snapToGrid w:val="0"/>
              <w:spacing w:line="240" w:lineRule="auto"/>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）价格因素评分</w:t>
            </w:r>
          </w:p>
          <w:p w14:paraId="21109587">
            <w:pPr>
              <w:widowControl w:val="0"/>
              <w:snapToGrid w:val="0"/>
              <w:spacing w:line="240" w:lineRule="auto"/>
              <w:ind w:firstLine="555"/>
              <w:rPr>
                <w:rFonts w:ascii="宋体" w:hAnsi="宋体"/>
                <w:color w:val="auto"/>
                <w:sz w:val="24"/>
                <w:szCs w:val="24"/>
                <w:highlight w:val="none"/>
              </w:rPr>
            </w:pPr>
            <w:r>
              <w:rPr>
                <w:rFonts w:hint="eastAsia" w:ascii="宋体" w:hAnsi="宋体"/>
                <w:color w:val="auto"/>
                <w:sz w:val="24"/>
                <w:szCs w:val="24"/>
                <w:highlight w:val="none"/>
              </w:rPr>
              <w:t>所有有效供应商的磋商报价（扣除经评审合格的“价格扣除”）中，价格最低的磋商报价（扣除经评审合格的“价格扣除”）为磋商基准价。</w:t>
            </w:r>
          </w:p>
          <w:p w14:paraId="2CB5DD95">
            <w:pPr>
              <w:widowControl w:val="0"/>
              <w:snapToGrid w:val="0"/>
              <w:spacing w:line="240" w:lineRule="auto"/>
              <w:ind w:firstLine="555"/>
              <w:rPr>
                <w:rFonts w:ascii="宋体" w:hAnsi="宋体"/>
                <w:color w:val="auto"/>
                <w:sz w:val="24"/>
                <w:szCs w:val="24"/>
                <w:highlight w:val="none"/>
              </w:rPr>
            </w:pPr>
            <w:r>
              <w:rPr>
                <w:rFonts w:hint="eastAsia" w:ascii="宋体" w:hAnsi="宋体"/>
                <w:color w:val="auto"/>
                <w:sz w:val="24"/>
                <w:szCs w:val="24"/>
                <w:highlight w:val="none"/>
              </w:rPr>
              <w:t>有效磋商报价（扣除经评审合格的“价格扣除”）等于磋商基准价的得20分。</w:t>
            </w:r>
          </w:p>
          <w:p w14:paraId="54669A09">
            <w:pPr>
              <w:widowControl w:val="0"/>
              <w:snapToGrid w:val="0"/>
              <w:spacing w:line="276" w:lineRule="auto"/>
              <w:ind w:firstLine="555"/>
              <w:rPr>
                <w:rFonts w:ascii="宋体" w:hAnsi="宋体"/>
                <w:color w:val="auto"/>
                <w:sz w:val="24"/>
                <w:szCs w:val="24"/>
                <w:highlight w:val="none"/>
              </w:rPr>
            </w:pPr>
            <w:r>
              <w:rPr>
                <w:rFonts w:hint="eastAsia" w:ascii="宋体" w:hAnsi="宋体"/>
                <w:color w:val="auto"/>
                <w:sz w:val="24"/>
                <w:szCs w:val="24"/>
                <w:highlight w:val="none"/>
              </w:rPr>
              <w:t>其他供应商磋商报价（扣除经评审合格的“价格扣除”）得分</w:t>
            </w:r>
            <w:r>
              <w:rPr>
                <w:rFonts w:ascii="宋体" w:hAnsi="宋体"/>
                <w:color w:val="auto"/>
                <w:sz w:val="24"/>
                <w:szCs w:val="24"/>
                <w:highlight w:val="none"/>
              </w:rPr>
              <w:t>=</w:t>
            </w:r>
            <w:r>
              <w:rPr>
                <w:rFonts w:hint="eastAsia" w:ascii="宋体" w:hAnsi="宋体"/>
                <w:color w:val="auto"/>
                <w:sz w:val="24"/>
                <w:szCs w:val="24"/>
                <w:highlight w:val="none"/>
              </w:rPr>
              <w:t>（磋商基准价</w:t>
            </w:r>
            <w:r>
              <w:rPr>
                <w:rFonts w:ascii="宋体" w:hAnsi="宋体"/>
                <w:color w:val="auto"/>
                <w:sz w:val="24"/>
                <w:szCs w:val="24"/>
                <w:highlight w:val="none"/>
              </w:rPr>
              <w:t>/</w:t>
            </w:r>
            <w:r>
              <w:rPr>
                <w:rFonts w:hint="eastAsia" w:ascii="宋体" w:hAnsi="宋体"/>
                <w:color w:val="auto"/>
                <w:sz w:val="24"/>
                <w:szCs w:val="24"/>
                <w:highlight w:val="none"/>
              </w:rPr>
              <w:t>最后磋商报价</w:t>
            </w:r>
            <w:r>
              <w:rPr>
                <w:rFonts w:ascii="宋体" w:hAnsi="宋体"/>
                <w:color w:val="auto"/>
                <w:sz w:val="24"/>
                <w:szCs w:val="24"/>
                <w:highlight w:val="none"/>
              </w:rPr>
              <w:t>&lt;</w:t>
            </w:r>
            <w:r>
              <w:rPr>
                <w:rFonts w:hint="eastAsia" w:ascii="宋体" w:hAnsi="宋体"/>
                <w:color w:val="auto"/>
                <w:sz w:val="24"/>
                <w:szCs w:val="24"/>
                <w:highlight w:val="none"/>
              </w:rPr>
              <w:t>扣除经评审合格的“价格扣除”</w:t>
            </w:r>
            <w:r>
              <w:rPr>
                <w:rFonts w:ascii="宋体" w:hAnsi="宋体"/>
                <w:color w:val="auto"/>
                <w:sz w:val="24"/>
                <w:szCs w:val="24"/>
                <w:highlight w:val="none"/>
              </w:rPr>
              <w:t>&gt;</w:t>
            </w:r>
            <w:r>
              <w:rPr>
                <w:rFonts w:hint="eastAsia" w:ascii="宋体" w:hAnsi="宋体"/>
                <w:color w:val="auto"/>
                <w:sz w:val="24"/>
                <w:szCs w:val="24"/>
                <w:highlight w:val="none"/>
              </w:rPr>
              <w:t>）×</w:t>
            </w:r>
            <w:r>
              <w:rPr>
                <w:rFonts w:ascii="宋体" w:hAnsi="宋体"/>
                <w:color w:val="auto"/>
                <w:sz w:val="24"/>
                <w:szCs w:val="24"/>
                <w:highlight w:val="none"/>
              </w:rPr>
              <w:t>0.</w:t>
            </w:r>
            <w:r>
              <w:rPr>
                <w:rFonts w:hint="eastAsia" w:ascii="宋体" w:hAnsi="宋体"/>
                <w:color w:val="auto"/>
                <w:sz w:val="24"/>
                <w:szCs w:val="24"/>
                <w:highlight w:val="none"/>
              </w:rPr>
              <w:t>2×</w:t>
            </w:r>
            <w:r>
              <w:rPr>
                <w:rFonts w:ascii="宋体" w:hAnsi="宋体"/>
                <w:color w:val="auto"/>
                <w:sz w:val="24"/>
                <w:szCs w:val="24"/>
                <w:highlight w:val="none"/>
              </w:rPr>
              <w:t>100</w:t>
            </w:r>
            <w:r>
              <w:rPr>
                <w:rFonts w:hint="eastAsia" w:ascii="宋体" w:hAnsi="宋体"/>
                <w:color w:val="auto"/>
                <w:sz w:val="24"/>
                <w:szCs w:val="24"/>
                <w:highlight w:val="none"/>
              </w:rPr>
              <w:t>。</w:t>
            </w:r>
          </w:p>
        </w:tc>
      </w:tr>
      <w:tr w14:paraId="5B38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176" w:type="dxa"/>
            <w:vMerge w:val="restart"/>
            <w:vAlign w:val="center"/>
          </w:tcPr>
          <w:p w14:paraId="05D862E5">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2.2.2.2</w:t>
            </w:r>
          </w:p>
        </w:tc>
        <w:tc>
          <w:tcPr>
            <w:tcW w:w="1193" w:type="dxa"/>
            <w:vMerge w:val="restart"/>
            <w:vAlign w:val="center"/>
          </w:tcPr>
          <w:p w14:paraId="5EA646C5">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技术</w:t>
            </w:r>
          </w:p>
        </w:tc>
        <w:tc>
          <w:tcPr>
            <w:tcW w:w="1200" w:type="dxa"/>
            <w:vAlign w:val="center"/>
          </w:tcPr>
          <w:p w14:paraId="0615579C">
            <w:pPr>
              <w:tabs>
                <w:tab w:val="left" w:pos="0"/>
              </w:tabs>
              <w:spacing w:line="276" w:lineRule="auto"/>
              <w:ind w:left="17" w:hanging="16" w:hangingChars="7"/>
              <w:jc w:val="center"/>
              <w:rPr>
                <w:rFonts w:ascii="宋体" w:hAnsi="宋体" w:cs="宋体"/>
                <w:color w:val="auto"/>
                <w:sz w:val="24"/>
                <w:szCs w:val="24"/>
                <w:highlight w:val="none"/>
              </w:rPr>
            </w:pPr>
            <w:r>
              <w:rPr>
                <w:rFonts w:hint="eastAsia" w:ascii="宋体" w:hAnsi="宋体" w:cs="宋体"/>
                <w:color w:val="auto"/>
                <w:sz w:val="24"/>
                <w:szCs w:val="24"/>
                <w:highlight w:val="none"/>
              </w:rPr>
              <w:t>设备配置及技术指标（1</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tc>
        <w:tc>
          <w:tcPr>
            <w:tcW w:w="6461" w:type="dxa"/>
            <w:vAlign w:val="center"/>
          </w:tcPr>
          <w:p w14:paraId="5B6B8B25">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产品技术参数完全满足磋商文件要求的得基本分1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69D228F3">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“技术要求”中标“★”的重要性技术参数指标每1处负偏离扣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分，未标注符号的一般性技术参数指标每1处负偏离扣1分，扣完为止。</w:t>
            </w:r>
          </w:p>
          <w:p w14:paraId="23DC30B2">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注：重要性技术参数硬件方面的需提供第三方权威机构检测报告予以佐证；重要性能技术指标软件方面的需提供软件平台功能可实现截图予以佐证。否则不得分</w:t>
            </w:r>
          </w:p>
        </w:tc>
      </w:tr>
      <w:tr w14:paraId="5F8A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176" w:type="dxa"/>
            <w:vMerge w:val="continue"/>
            <w:vAlign w:val="center"/>
          </w:tcPr>
          <w:p w14:paraId="127A819C">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193" w:type="dxa"/>
            <w:vMerge w:val="continue"/>
            <w:vAlign w:val="center"/>
          </w:tcPr>
          <w:p w14:paraId="130CD0F5">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200" w:type="dxa"/>
            <w:vMerge w:val="restart"/>
            <w:vAlign w:val="center"/>
          </w:tcPr>
          <w:p w14:paraId="4E17996C">
            <w:pPr>
              <w:spacing w:line="276"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服务方案（10分）</w:t>
            </w:r>
          </w:p>
        </w:tc>
        <w:tc>
          <w:tcPr>
            <w:tcW w:w="6461" w:type="dxa"/>
            <w:vAlign w:val="center"/>
          </w:tcPr>
          <w:p w14:paraId="390157C2">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供应商具有切实可行、完整性、准确性、合理性总体实施方案,包括对本次招标项目工作现状的调查情况说明、原因分析及对策等。</w:t>
            </w:r>
          </w:p>
          <w:p w14:paraId="67731CC9">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方案内容科学、详尽、全面的，得2分；</w:t>
            </w:r>
          </w:p>
          <w:p w14:paraId="6457569C">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方案内容基本合理、完整、可行的，得1分；</w:t>
            </w:r>
          </w:p>
          <w:p w14:paraId="1C29C86D">
            <w:pPr>
              <w:widowControl w:val="0"/>
              <w:snapToGrid w:val="0"/>
              <w:spacing w:line="27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方案内容一般，仅能满足项目基本需求的，得0.5分；</w:t>
            </w:r>
          </w:p>
          <w:p w14:paraId="33FA79A6">
            <w:pPr>
              <w:widowControl w:val="0"/>
              <w:snapToGrid w:val="0"/>
              <w:spacing w:line="276"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未提供方案的不得分。</w:t>
            </w:r>
          </w:p>
        </w:tc>
      </w:tr>
      <w:tr w14:paraId="68D8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176" w:type="dxa"/>
            <w:vMerge w:val="continue"/>
            <w:vAlign w:val="center"/>
          </w:tcPr>
          <w:p w14:paraId="233969AF">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193" w:type="dxa"/>
            <w:vMerge w:val="continue"/>
            <w:vAlign w:val="center"/>
          </w:tcPr>
          <w:p w14:paraId="4C2B8195">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200" w:type="dxa"/>
            <w:vMerge w:val="continue"/>
            <w:vAlign w:val="center"/>
          </w:tcPr>
          <w:p w14:paraId="2BA8085A">
            <w:pPr>
              <w:widowControl w:val="0"/>
              <w:snapToGrid w:val="0"/>
              <w:spacing w:line="276" w:lineRule="auto"/>
              <w:ind w:firstLine="480" w:firstLineChars="200"/>
              <w:rPr>
                <w:rFonts w:ascii="宋体" w:hAnsi="宋体"/>
                <w:color w:val="auto"/>
                <w:sz w:val="24"/>
                <w:szCs w:val="24"/>
                <w:highlight w:val="none"/>
              </w:rPr>
            </w:pPr>
          </w:p>
        </w:tc>
        <w:tc>
          <w:tcPr>
            <w:tcW w:w="6461" w:type="dxa"/>
            <w:vAlign w:val="center"/>
          </w:tcPr>
          <w:p w14:paraId="326AB319">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进度控制措施</w:t>
            </w:r>
          </w:p>
          <w:p w14:paraId="21B3784E">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内容周到、全面、过程控制控制合理、可行,人员配备、设备及工具（通讯、交通设备等）配备计划合理； 得2分；</w:t>
            </w:r>
          </w:p>
          <w:p w14:paraId="617EC58E">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过程控制控制相对合理、可行,人员配备、设备及工具（通讯、交通设备等）配备计划基本合理；基本全面得1分；</w:t>
            </w:r>
          </w:p>
          <w:p w14:paraId="4DB0E044">
            <w:pPr>
              <w:widowControl w:val="0"/>
              <w:snapToGrid w:val="0"/>
              <w:spacing w:line="27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进控制措施一般的得0.5分；</w:t>
            </w:r>
          </w:p>
          <w:p w14:paraId="52D99098">
            <w:pPr>
              <w:widowControl w:val="0"/>
              <w:snapToGrid w:val="0"/>
              <w:spacing w:line="27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未提供方案的不得分。</w:t>
            </w:r>
          </w:p>
        </w:tc>
      </w:tr>
      <w:tr w14:paraId="4A00E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176" w:type="dxa"/>
            <w:vMerge w:val="continue"/>
            <w:vAlign w:val="center"/>
          </w:tcPr>
          <w:p w14:paraId="7A439D5B">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193" w:type="dxa"/>
            <w:vMerge w:val="continue"/>
            <w:vAlign w:val="center"/>
          </w:tcPr>
          <w:p w14:paraId="0FE2B43B">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200" w:type="dxa"/>
            <w:vMerge w:val="continue"/>
            <w:vAlign w:val="center"/>
          </w:tcPr>
          <w:p w14:paraId="53B39D3D">
            <w:pPr>
              <w:widowControl w:val="0"/>
              <w:snapToGrid w:val="0"/>
              <w:spacing w:line="276" w:lineRule="auto"/>
              <w:ind w:firstLine="480" w:firstLineChars="200"/>
              <w:rPr>
                <w:rFonts w:ascii="宋体" w:hAnsi="宋体"/>
                <w:color w:val="auto"/>
                <w:sz w:val="24"/>
                <w:szCs w:val="24"/>
                <w:highlight w:val="none"/>
              </w:rPr>
            </w:pPr>
          </w:p>
        </w:tc>
        <w:tc>
          <w:tcPr>
            <w:tcW w:w="6461" w:type="dxa"/>
            <w:vAlign w:val="center"/>
          </w:tcPr>
          <w:p w14:paraId="022D5074">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设备及平台运行维护方案内容全面、流程清晰、配备计划合理可行、保障平台运行不间断、数据不断档的得2分；</w:t>
            </w:r>
          </w:p>
          <w:p w14:paraId="1BF1BD91">
            <w:pPr>
              <w:widowControl w:val="0"/>
              <w:snapToGrid w:val="0"/>
              <w:spacing w:line="27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设备及平台运行维护方案内容一般的得1分；</w:t>
            </w:r>
          </w:p>
          <w:p w14:paraId="014D90A5">
            <w:pPr>
              <w:widowControl w:val="0"/>
              <w:snapToGrid w:val="0"/>
              <w:spacing w:line="276"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未提供方案的不得分。</w:t>
            </w:r>
          </w:p>
        </w:tc>
      </w:tr>
      <w:tr w14:paraId="7CDC9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jc w:val="center"/>
        </w:trPr>
        <w:tc>
          <w:tcPr>
            <w:tcW w:w="1176" w:type="dxa"/>
            <w:vMerge w:val="continue"/>
            <w:vAlign w:val="center"/>
          </w:tcPr>
          <w:p w14:paraId="28B28683">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193" w:type="dxa"/>
            <w:vMerge w:val="continue"/>
            <w:vAlign w:val="center"/>
          </w:tcPr>
          <w:p w14:paraId="4576D39B">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200" w:type="dxa"/>
            <w:vMerge w:val="continue"/>
            <w:vAlign w:val="center"/>
          </w:tcPr>
          <w:p w14:paraId="16D6AF2F">
            <w:pPr>
              <w:widowControl w:val="0"/>
              <w:snapToGrid w:val="0"/>
              <w:spacing w:line="276" w:lineRule="auto"/>
              <w:ind w:firstLine="480" w:firstLineChars="200"/>
              <w:rPr>
                <w:rFonts w:ascii="宋体" w:hAnsi="宋体"/>
                <w:color w:val="auto"/>
                <w:sz w:val="24"/>
                <w:szCs w:val="24"/>
                <w:highlight w:val="none"/>
              </w:rPr>
            </w:pPr>
          </w:p>
        </w:tc>
        <w:tc>
          <w:tcPr>
            <w:tcW w:w="6461" w:type="dxa"/>
            <w:vAlign w:val="center"/>
          </w:tcPr>
          <w:p w14:paraId="67EA7375">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培训方案内容完整、计划清晰、目标明确、针对性强的得2分；</w:t>
            </w:r>
          </w:p>
          <w:p w14:paraId="010066EE">
            <w:pPr>
              <w:widowControl w:val="0"/>
              <w:snapToGrid w:val="0"/>
              <w:spacing w:line="27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培训方案内容合理、完整、可行的得1分；</w:t>
            </w:r>
          </w:p>
          <w:p w14:paraId="121C450B">
            <w:pPr>
              <w:widowControl w:val="0"/>
              <w:snapToGrid w:val="0"/>
              <w:spacing w:line="276"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未提供方案的不得分。</w:t>
            </w:r>
          </w:p>
        </w:tc>
      </w:tr>
      <w:tr w14:paraId="4995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76" w:type="dxa"/>
            <w:vMerge w:val="continue"/>
            <w:vAlign w:val="center"/>
          </w:tcPr>
          <w:p w14:paraId="336642EB">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193" w:type="dxa"/>
            <w:vMerge w:val="continue"/>
            <w:vAlign w:val="center"/>
          </w:tcPr>
          <w:p w14:paraId="3E555FC8">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200" w:type="dxa"/>
            <w:vMerge w:val="continue"/>
            <w:vAlign w:val="center"/>
          </w:tcPr>
          <w:p w14:paraId="3F2CD3B6">
            <w:pPr>
              <w:widowControl w:val="0"/>
              <w:snapToGrid w:val="0"/>
              <w:spacing w:line="276" w:lineRule="auto"/>
              <w:ind w:firstLine="480" w:firstLineChars="200"/>
              <w:rPr>
                <w:rFonts w:ascii="宋体" w:hAnsi="宋体"/>
                <w:color w:val="auto"/>
                <w:sz w:val="24"/>
                <w:szCs w:val="24"/>
                <w:highlight w:val="none"/>
              </w:rPr>
            </w:pPr>
          </w:p>
        </w:tc>
        <w:tc>
          <w:tcPr>
            <w:tcW w:w="6461" w:type="dxa"/>
            <w:vAlign w:val="center"/>
          </w:tcPr>
          <w:p w14:paraId="2F71160B">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应急保障服务方案内容全面、不利因素应急处理措施切实、全面的得2分；</w:t>
            </w:r>
          </w:p>
          <w:p w14:paraId="5AF2961A">
            <w:pPr>
              <w:widowControl w:val="0"/>
              <w:snapToGrid w:val="0"/>
              <w:spacing w:line="276"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应急保障服务方案一般的得1分；</w:t>
            </w:r>
          </w:p>
          <w:p w14:paraId="68A6B6EC">
            <w:pPr>
              <w:widowControl w:val="0"/>
              <w:snapToGrid w:val="0"/>
              <w:spacing w:line="276" w:lineRule="auto"/>
              <w:ind w:firstLine="480" w:firstLineChars="200"/>
              <w:rPr>
                <w:rFonts w:ascii="宋体" w:hAnsi="宋体"/>
                <w:color w:val="auto"/>
                <w:sz w:val="24"/>
                <w:szCs w:val="24"/>
                <w:highlight w:val="none"/>
              </w:rPr>
            </w:pPr>
            <w:r>
              <w:rPr>
                <w:rFonts w:hint="eastAsia" w:ascii="宋体" w:hAnsi="宋体" w:cs="宋体"/>
                <w:color w:val="auto"/>
                <w:sz w:val="24"/>
                <w:szCs w:val="24"/>
                <w:highlight w:val="none"/>
              </w:rPr>
              <w:t>未提供方案的不得分。</w:t>
            </w:r>
          </w:p>
        </w:tc>
      </w:tr>
      <w:tr w14:paraId="48A2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76" w:type="dxa"/>
            <w:vMerge w:val="restart"/>
            <w:vAlign w:val="center"/>
          </w:tcPr>
          <w:p w14:paraId="0AC77D85">
            <w:pPr>
              <w:widowControl w:val="0"/>
              <w:autoSpaceDE w:val="0"/>
              <w:autoSpaceDN w:val="0"/>
              <w:adjustRightInd w:val="0"/>
              <w:spacing w:line="276" w:lineRule="auto"/>
              <w:jc w:val="center"/>
              <w:textAlignment w:val="auto"/>
              <w:rPr>
                <w:rFonts w:ascii="宋体" w:hAnsi="宋体" w:cs="宋体"/>
                <w:color w:val="auto"/>
                <w:sz w:val="24"/>
                <w:szCs w:val="24"/>
                <w:highlight w:val="none"/>
              </w:rPr>
            </w:pPr>
            <w:r>
              <w:rPr>
                <w:rFonts w:ascii="宋体" w:hAnsi="宋体" w:cs="宋体"/>
                <w:color w:val="auto"/>
                <w:sz w:val="24"/>
                <w:szCs w:val="24"/>
                <w:highlight w:val="none"/>
              </w:rPr>
              <w:t>2.2.2.3</w:t>
            </w:r>
          </w:p>
        </w:tc>
        <w:tc>
          <w:tcPr>
            <w:tcW w:w="1193" w:type="dxa"/>
            <w:vMerge w:val="restart"/>
            <w:vAlign w:val="center"/>
          </w:tcPr>
          <w:p w14:paraId="68D5E0A4">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履约能力</w:t>
            </w:r>
          </w:p>
        </w:tc>
        <w:tc>
          <w:tcPr>
            <w:tcW w:w="1200" w:type="dxa"/>
            <w:vAlign w:val="center"/>
          </w:tcPr>
          <w:p w14:paraId="14A7A3C9">
            <w:pPr>
              <w:snapToGrid w:val="0"/>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业绩</w:t>
            </w:r>
          </w:p>
          <w:p w14:paraId="02471BB4">
            <w:pPr>
              <w:snapToGrid w:val="0"/>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分）</w:t>
            </w:r>
          </w:p>
        </w:tc>
        <w:tc>
          <w:tcPr>
            <w:tcW w:w="6461" w:type="dxa"/>
            <w:vAlign w:val="center"/>
          </w:tcPr>
          <w:p w14:paraId="0DE6AEC4">
            <w:pPr>
              <w:pStyle w:val="16"/>
              <w:spacing w:line="276"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年1月1日（以合同签订时间为准）以来完成的类似项目业绩（类似项目指：车</w:t>
            </w:r>
            <w:r>
              <w:rPr>
                <w:rFonts w:hint="eastAsia" w:ascii="宋体" w:hAnsi="宋体" w:eastAsia="宋体" w:cs="宋体"/>
                <w:color w:val="auto"/>
                <w:sz w:val="24"/>
                <w:szCs w:val="24"/>
                <w:highlight w:val="none"/>
                <w:lang w:val="en-US" w:eastAsia="zh-CN"/>
              </w:rPr>
              <w:t>辆</w:t>
            </w:r>
            <w:r>
              <w:rPr>
                <w:rFonts w:hint="eastAsia" w:ascii="宋体" w:hAnsi="宋体" w:eastAsia="宋体" w:cs="宋体"/>
                <w:color w:val="auto"/>
                <w:sz w:val="24"/>
                <w:szCs w:val="24"/>
                <w:highlight w:val="none"/>
                <w:lang w:eastAsia="zh-CN"/>
              </w:rPr>
              <w:t>车载</w:t>
            </w:r>
            <w:r>
              <w:rPr>
                <w:rFonts w:hint="eastAsia" w:ascii="宋体" w:hAnsi="宋体" w:eastAsia="宋体" w:cs="宋体"/>
                <w:color w:val="auto"/>
                <w:sz w:val="24"/>
                <w:szCs w:val="24"/>
                <w:highlight w:val="none"/>
                <w:lang w:val="en-US" w:eastAsia="zh-CN"/>
              </w:rPr>
              <w:t>定位</w:t>
            </w:r>
            <w:r>
              <w:rPr>
                <w:rFonts w:hint="eastAsia" w:ascii="宋体" w:hAnsi="宋体" w:eastAsia="宋体" w:cs="宋体"/>
                <w:color w:val="auto"/>
                <w:sz w:val="24"/>
                <w:szCs w:val="24"/>
                <w:highlight w:val="none"/>
                <w:lang w:eastAsia="zh-CN"/>
              </w:rPr>
              <w:t>终端运维服务或车辆监控管理类服务），每提供一份完全符合要求的业绩材料得4分，最高得2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w:t>
            </w:r>
          </w:p>
          <w:p w14:paraId="28816824">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每个业绩应提供齐全的合同以及对应合同的任一发票，否则不得分。</w:t>
            </w:r>
          </w:p>
        </w:tc>
      </w:tr>
      <w:tr w14:paraId="15E4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76" w:type="dxa"/>
            <w:vMerge w:val="continue"/>
            <w:vAlign w:val="center"/>
          </w:tcPr>
          <w:p w14:paraId="769AB0AD">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193" w:type="dxa"/>
            <w:vMerge w:val="continue"/>
            <w:vAlign w:val="center"/>
          </w:tcPr>
          <w:p w14:paraId="41104E99">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200" w:type="dxa"/>
            <w:shd w:val="clear" w:color="auto" w:fill="auto"/>
            <w:vAlign w:val="center"/>
          </w:tcPr>
          <w:p w14:paraId="5EBF895E">
            <w:pPr>
              <w:snapToGrid w:val="0"/>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人员团队（1</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分）</w:t>
            </w:r>
          </w:p>
        </w:tc>
        <w:tc>
          <w:tcPr>
            <w:tcW w:w="6461" w:type="dxa"/>
            <w:shd w:val="clear" w:color="auto" w:fill="auto"/>
            <w:vAlign w:val="center"/>
          </w:tcPr>
          <w:p w14:paraId="17C56392">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1、拟派项目负责人（须为本单位正式员工，提供相关人员2025年以来在本单位连续3个月依法缴纳社会保障资金的参保证明材料），具有</w:t>
            </w:r>
            <w:r>
              <w:rPr>
                <w:rFonts w:hint="eastAsia" w:ascii="宋体" w:hAnsi="宋体" w:eastAsia="宋体" w:cs="宋体"/>
                <w:color w:val="auto"/>
                <w:sz w:val="24"/>
                <w:szCs w:val="24"/>
                <w:highlight w:val="none"/>
                <w:lang w:val="en-US" w:eastAsia="zh-CN"/>
              </w:rPr>
              <w:t>人社部门颁发的高</w:t>
            </w:r>
            <w:r>
              <w:rPr>
                <w:rFonts w:hint="eastAsia" w:ascii="宋体" w:hAnsi="宋体" w:eastAsia="宋体" w:cs="宋体"/>
                <w:color w:val="auto"/>
                <w:sz w:val="24"/>
                <w:szCs w:val="24"/>
                <w:highlight w:val="none"/>
                <w:lang w:eastAsia="zh-CN"/>
              </w:rPr>
              <w:t>级</w:t>
            </w:r>
            <w:r>
              <w:rPr>
                <w:rFonts w:hint="eastAsia" w:ascii="宋体" w:hAnsi="宋体" w:eastAsia="宋体" w:cs="宋体"/>
                <w:color w:val="auto"/>
                <w:sz w:val="24"/>
                <w:szCs w:val="24"/>
                <w:highlight w:val="none"/>
                <w:lang w:val="en-US" w:eastAsia="zh-CN"/>
              </w:rPr>
              <w:t>工程师</w:t>
            </w:r>
            <w:r>
              <w:rPr>
                <w:rFonts w:hint="eastAsia" w:ascii="宋体" w:hAnsi="宋体" w:eastAsia="宋体" w:cs="宋体"/>
                <w:color w:val="auto"/>
                <w:sz w:val="24"/>
                <w:szCs w:val="24"/>
                <w:highlight w:val="none"/>
                <w:lang w:eastAsia="zh-CN"/>
              </w:rPr>
              <w:t>职称（</w:t>
            </w:r>
            <w:r>
              <w:rPr>
                <w:rFonts w:hint="eastAsia" w:ascii="宋体" w:hAnsi="宋体" w:eastAsia="宋体" w:cs="宋体"/>
                <w:color w:val="auto"/>
                <w:sz w:val="24"/>
                <w:szCs w:val="24"/>
                <w:highlight w:val="none"/>
                <w:lang w:val="en-US" w:eastAsia="zh-CN"/>
              </w:rPr>
              <w:t>资格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电子技术、软件系统类或信息通信类相关专业</w:t>
            </w:r>
            <w:r>
              <w:rPr>
                <w:rFonts w:hint="eastAsia" w:ascii="宋体" w:hAnsi="宋体" w:eastAsia="宋体" w:cs="宋体"/>
                <w:color w:val="auto"/>
                <w:sz w:val="24"/>
                <w:szCs w:val="24"/>
                <w:highlight w:val="none"/>
                <w:lang w:eastAsia="zh-CN"/>
              </w:rPr>
              <w:t>）的，得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分。提供职称（</w:t>
            </w:r>
            <w:r>
              <w:rPr>
                <w:rFonts w:hint="eastAsia" w:ascii="宋体" w:hAnsi="宋体" w:eastAsia="宋体" w:cs="宋体"/>
                <w:color w:val="auto"/>
                <w:sz w:val="24"/>
                <w:szCs w:val="24"/>
                <w:highlight w:val="none"/>
                <w:lang w:val="en-US" w:eastAsia="zh-CN"/>
              </w:rPr>
              <w:t>资格</w:t>
            </w:r>
            <w:r>
              <w:rPr>
                <w:rFonts w:hint="eastAsia" w:ascii="宋体" w:hAnsi="宋体" w:eastAsia="宋体" w:cs="宋体"/>
                <w:color w:val="auto"/>
                <w:sz w:val="24"/>
                <w:szCs w:val="24"/>
                <w:highlight w:val="none"/>
                <w:lang w:eastAsia="zh-CN"/>
              </w:rPr>
              <w:t>）证书。</w:t>
            </w:r>
          </w:p>
          <w:p w14:paraId="202DFEEB">
            <w:pPr>
              <w:pStyle w:val="16"/>
              <w:spacing w:line="276"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2、除项目负责人外，拟派项目人员（须为本单位正式员工，提供相关人员2025年以来在本单位连续3个月依法缴纳社会保障资金的参保证明材料），具有</w:t>
            </w:r>
            <w:r>
              <w:rPr>
                <w:rFonts w:hint="eastAsia" w:ascii="宋体" w:hAnsi="宋体" w:eastAsia="宋体" w:cs="宋体"/>
                <w:color w:val="auto"/>
                <w:sz w:val="24"/>
                <w:szCs w:val="24"/>
                <w:highlight w:val="none"/>
                <w:lang w:val="en-US" w:eastAsia="zh-CN"/>
              </w:rPr>
              <w:t>人社部门颁发的中</w:t>
            </w:r>
            <w:r>
              <w:rPr>
                <w:rFonts w:hint="eastAsia" w:ascii="宋体" w:hAnsi="宋体" w:eastAsia="宋体" w:cs="宋体"/>
                <w:color w:val="auto"/>
                <w:sz w:val="24"/>
                <w:szCs w:val="24"/>
                <w:highlight w:val="none"/>
                <w:lang w:eastAsia="zh-CN"/>
              </w:rPr>
              <w:t>级</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lang w:eastAsia="zh-CN"/>
              </w:rPr>
              <w:t>职称（</w:t>
            </w:r>
            <w:r>
              <w:rPr>
                <w:rFonts w:hint="eastAsia" w:ascii="宋体" w:hAnsi="宋体" w:eastAsia="宋体" w:cs="宋体"/>
                <w:color w:val="auto"/>
                <w:sz w:val="24"/>
                <w:szCs w:val="24"/>
                <w:highlight w:val="none"/>
                <w:lang w:val="en-US" w:eastAsia="zh-CN"/>
              </w:rPr>
              <w:t>资格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电子技术、软件系统类或信息通信类相关专业</w:t>
            </w:r>
            <w:r>
              <w:rPr>
                <w:rFonts w:hint="eastAsia" w:ascii="宋体" w:hAnsi="宋体" w:eastAsia="宋体" w:cs="宋体"/>
                <w:color w:val="auto"/>
                <w:sz w:val="24"/>
                <w:szCs w:val="24"/>
                <w:highlight w:val="none"/>
                <w:lang w:eastAsia="zh-CN"/>
              </w:rPr>
              <w:t>）的，每1人，得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分，本项最多得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分。提供职称（</w:t>
            </w:r>
            <w:r>
              <w:rPr>
                <w:rFonts w:hint="eastAsia" w:ascii="宋体" w:hAnsi="宋体" w:eastAsia="宋体" w:cs="宋体"/>
                <w:color w:val="auto"/>
                <w:sz w:val="24"/>
                <w:szCs w:val="24"/>
                <w:highlight w:val="none"/>
                <w:lang w:val="en-US" w:eastAsia="zh-CN"/>
              </w:rPr>
              <w:t>资格</w:t>
            </w:r>
            <w:r>
              <w:rPr>
                <w:rFonts w:hint="eastAsia" w:ascii="宋体" w:hAnsi="宋体" w:eastAsia="宋体" w:cs="宋体"/>
                <w:color w:val="auto"/>
                <w:sz w:val="24"/>
                <w:szCs w:val="24"/>
                <w:highlight w:val="none"/>
                <w:lang w:eastAsia="zh-CN"/>
              </w:rPr>
              <w:t>）证书。同一人员具有不同类别证书不重复计分。</w:t>
            </w:r>
          </w:p>
          <w:p w14:paraId="5DAE4022">
            <w:pPr>
              <w:pStyle w:val="16"/>
              <w:spacing w:line="276"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3、具有车辆维修专业人员的，得3分。提供相应技能资格证书及相关人员2025年以来在本单位连续3个月依法缴纳社会保障资金的参保证明材料。</w:t>
            </w:r>
          </w:p>
        </w:tc>
      </w:tr>
      <w:tr w14:paraId="3D29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176" w:type="dxa"/>
            <w:vMerge w:val="continue"/>
            <w:vAlign w:val="center"/>
          </w:tcPr>
          <w:p w14:paraId="48783660">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193" w:type="dxa"/>
            <w:vMerge w:val="continue"/>
            <w:vAlign w:val="center"/>
          </w:tcPr>
          <w:p w14:paraId="39EAEC2B">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200" w:type="dxa"/>
            <w:vMerge w:val="restart"/>
            <w:vAlign w:val="center"/>
          </w:tcPr>
          <w:p w14:paraId="41CC77B9">
            <w:pPr>
              <w:snapToGrid w:val="0"/>
              <w:spacing w:line="276" w:lineRule="auto"/>
              <w:jc w:val="center"/>
              <w:rPr>
                <w:rFonts w:ascii="宋体" w:hAnsi="宋体"/>
                <w:color w:val="auto"/>
                <w:sz w:val="24"/>
                <w:szCs w:val="24"/>
                <w:highlight w:val="none"/>
              </w:rPr>
            </w:pPr>
            <w:r>
              <w:rPr>
                <w:rFonts w:hint="eastAsia" w:ascii="宋体" w:hAnsi="宋体"/>
                <w:color w:val="auto"/>
                <w:sz w:val="24"/>
                <w:szCs w:val="24"/>
                <w:highlight w:val="none"/>
              </w:rPr>
              <w:t>信誉（</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分）</w:t>
            </w:r>
          </w:p>
        </w:tc>
        <w:tc>
          <w:tcPr>
            <w:tcW w:w="6461" w:type="dxa"/>
            <w:vAlign w:val="center"/>
          </w:tcPr>
          <w:p w14:paraId="6833546F">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供应商具有ISO9001质量管理体系认证、ISO14001环境管理体系认证、ISO27001信息安全管理体系认证、ISO45001职业健康安全管理体系认证证书，每项认证得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分，最高得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分。提供证书。</w:t>
            </w:r>
          </w:p>
        </w:tc>
      </w:tr>
      <w:tr w14:paraId="277E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76" w:type="dxa"/>
            <w:vMerge w:val="continue"/>
            <w:vAlign w:val="center"/>
          </w:tcPr>
          <w:p w14:paraId="58D636BC">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193" w:type="dxa"/>
            <w:vMerge w:val="continue"/>
            <w:vAlign w:val="center"/>
          </w:tcPr>
          <w:p w14:paraId="3EA7E6B4">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200" w:type="dxa"/>
            <w:vMerge w:val="continue"/>
            <w:vAlign w:val="center"/>
          </w:tcPr>
          <w:p w14:paraId="1E81EF82">
            <w:pPr>
              <w:snapToGrid w:val="0"/>
              <w:spacing w:line="276" w:lineRule="auto"/>
              <w:jc w:val="center"/>
              <w:rPr>
                <w:rFonts w:ascii="宋体" w:hAnsi="宋体"/>
                <w:color w:val="auto"/>
                <w:sz w:val="24"/>
                <w:szCs w:val="24"/>
                <w:highlight w:val="none"/>
              </w:rPr>
            </w:pPr>
          </w:p>
        </w:tc>
        <w:tc>
          <w:tcPr>
            <w:tcW w:w="6461" w:type="dxa"/>
            <w:vAlign w:val="center"/>
          </w:tcPr>
          <w:p w14:paraId="565887C3">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供应商具有</w:t>
            </w:r>
            <w:r>
              <w:rPr>
                <w:rFonts w:hint="eastAsia" w:ascii="宋体" w:hAnsi="宋体" w:eastAsia="宋体" w:cs="宋体"/>
                <w:color w:val="auto"/>
                <w:sz w:val="24"/>
                <w:szCs w:val="24"/>
                <w:highlight w:val="none"/>
                <w:lang w:val="en-US" w:eastAsia="zh-CN"/>
              </w:rPr>
              <w:t>车辆监控管理</w:t>
            </w:r>
            <w:r>
              <w:rPr>
                <w:rFonts w:hint="eastAsia" w:ascii="宋体" w:hAnsi="宋体" w:eastAsia="宋体" w:cs="宋体"/>
                <w:color w:val="auto"/>
                <w:sz w:val="24"/>
                <w:szCs w:val="24"/>
                <w:highlight w:val="none"/>
                <w:lang w:eastAsia="zh-CN"/>
              </w:rPr>
              <w:t>相关软件类著作权登记证书的，得3分。提供证书。</w:t>
            </w:r>
          </w:p>
        </w:tc>
      </w:tr>
      <w:tr w14:paraId="03B5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76" w:type="dxa"/>
            <w:vMerge w:val="continue"/>
            <w:vAlign w:val="center"/>
          </w:tcPr>
          <w:p w14:paraId="35151718">
            <w:pPr>
              <w:widowControl w:val="0"/>
              <w:autoSpaceDE w:val="0"/>
              <w:autoSpaceDN w:val="0"/>
              <w:adjustRightInd w:val="0"/>
              <w:spacing w:line="276" w:lineRule="auto"/>
              <w:jc w:val="center"/>
              <w:textAlignment w:val="auto"/>
              <w:rPr>
                <w:rFonts w:ascii="宋体" w:hAnsi="宋体" w:cs="宋体"/>
                <w:color w:val="auto"/>
                <w:sz w:val="24"/>
                <w:szCs w:val="24"/>
                <w:highlight w:val="none"/>
              </w:rPr>
            </w:pPr>
          </w:p>
        </w:tc>
        <w:tc>
          <w:tcPr>
            <w:tcW w:w="1193" w:type="dxa"/>
            <w:vMerge w:val="continue"/>
            <w:vAlign w:val="center"/>
          </w:tcPr>
          <w:p w14:paraId="01860D4C">
            <w:pPr>
              <w:widowControl w:val="0"/>
              <w:autoSpaceDE w:val="0"/>
              <w:autoSpaceDN w:val="0"/>
              <w:adjustRightInd w:val="0"/>
              <w:snapToGrid w:val="0"/>
              <w:spacing w:line="276" w:lineRule="auto"/>
              <w:jc w:val="center"/>
              <w:textAlignment w:val="auto"/>
              <w:rPr>
                <w:rFonts w:ascii="宋体" w:hAnsi="宋体" w:cs="宋体"/>
                <w:color w:val="auto"/>
                <w:sz w:val="24"/>
                <w:szCs w:val="24"/>
                <w:highlight w:val="none"/>
              </w:rPr>
            </w:pPr>
          </w:p>
        </w:tc>
        <w:tc>
          <w:tcPr>
            <w:tcW w:w="1200" w:type="dxa"/>
            <w:vMerge w:val="continue"/>
            <w:vAlign w:val="center"/>
          </w:tcPr>
          <w:p w14:paraId="3689B21E">
            <w:pPr>
              <w:snapToGrid w:val="0"/>
              <w:spacing w:line="276" w:lineRule="auto"/>
              <w:jc w:val="center"/>
              <w:rPr>
                <w:rFonts w:ascii="宋体" w:hAnsi="宋体"/>
                <w:color w:val="auto"/>
                <w:sz w:val="24"/>
                <w:szCs w:val="24"/>
                <w:highlight w:val="none"/>
              </w:rPr>
            </w:pPr>
          </w:p>
        </w:tc>
        <w:tc>
          <w:tcPr>
            <w:tcW w:w="6461" w:type="dxa"/>
            <w:vAlign w:val="center"/>
          </w:tcPr>
          <w:p w14:paraId="2FC046D3">
            <w:pPr>
              <w:pStyle w:val="16"/>
              <w:spacing w:line="276"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获得过市级及以上政府部门颁发的奖项或荣誉称号的，每1项，得1分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最高5</w:t>
            </w:r>
            <w:r>
              <w:rPr>
                <w:rFonts w:hint="eastAsia" w:ascii="宋体" w:hAnsi="宋体" w:eastAsia="宋体" w:cs="宋体"/>
                <w:color w:val="auto"/>
                <w:sz w:val="24"/>
                <w:szCs w:val="24"/>
                <w:highlight w:val="none"/>
                <w:lang w:eastAsia="zh-CN"/>
              </w:rPr>
              <w:t>分。</w:t>
            </w:r>
          </w:p>
          <w:p w14:paraId="73E812E0">
            <w:pPr>
              <w:pStyle w:val="16"/>
              <w:spacing w:line="276" w:lineRule="auto"/>
              <w:ind w:firstLine="480" w:firstLineChars="200"/>
              <w:jc w:val="left"/>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lang w:val="en-US" w:eastAsia="zh-CN"/>
              </w:rPr>
              <w:t>有效证明文件或</w:t>
            </w:r>
            <w:r>
              <w:rPr>
                <w:rFonts w:hint="eastAsia" w:ascii="宋体" w:hAnsi="宋体" w:eastAsia="宋体" w:cs="宋体"/>
                <w:color w:val="auto"/>
                <w:sz w:val="24"/>
                <w:szCs w:val="24"/>
                <w:highlight w:val="none"/>
                <w:lang w:eastAsia="zh-CN"/>
              </w:rPr>
              <w:t>证书。</w:t>
            </w:r>
          </w:p>
        </w:tc>
      </w:tr>
    </w:tbl>
    <w:p w14:paraId="6A66D100">
      <w:pPr>
        <w:autoSpaceDE w:val="0"/>
        <w:autoSpaceDN w:val="0"/>
        <w:adjustRightInd w:val="0"/>
        <w:snapToGrid w:val="0"/>
        <w:spacing w:before="120" w:beforeLines="50" w:line="300" w:lineRule="auto"/>
        <w:ind w:firstLine="616" w:firstLineChars="257"/>
        <w:jc w:val="left"/>
        <w:rPr>
          <w:color w:val="auto"/>
          <w:sz w:val="24"/>
          <w:szCs w:val="24"/>
          <w:highlight w:val="none"/>
        </w:rPr>
      </w:pPr>
      <w:r>
        <w:rPr>
          <w:rFonts w:hint="eastAsia"/>
          <w:color w:val="auto"/>
          <w:sz w:val="24"/>
          <w:szCs w:val="24"/>
          <w:highlight w:val="none"/>
        </w:rPr>
        <w:t>注：1、以上打分细则中所需要的证件、证书、合同等，应于《响应文件》中提供扫描件并加盖供应商公章，否则对应项不得分；供应商自行承诺、提供的相关资料等不实的，按提供虚假材料的有关规定给予处罚。</w:t>
      </w:r>
    </w:p>
    <w:p w14:paraId="2767C34D">
      <w:pPr>
        <w:autoSpaceDE w:val="0"/>
        <w:autoSpaceDN w:val="0"/>
        <w:adjustRightInd w:val="0"/>
        <w:snapToGrid w:val="0"/>
        <w:spacing w:before="120" w:beforeLines="50" w:line="300" w:lineRule="auto"/>
        <w:ind w:firstLine="616" w:firstLineChars="257"/>
        <w:jc w:val="left"/>
        <w:rPr>
          <w:rFonts w:ascii="宋体" w:cs="楷体_GB2312"/>
          <w:color w:val="auto"/>
          <w:sz w:val="24"/>
          <w:highlight w:val="none"/>
          <w:lang w:val="zh-CN"/>
        </w:rPr>
      </w:pPr>
      <w:r>
        <w:rPr>
          <w:rFonts w:hint="eastAsia" w:ascii="宋体" w:cs="楷体_GB2312"/>
          <w:color w:val="auto"/>
          <w:sz w:val="24"/>
          <w:highlight w:val="none"/>
          <w:lang w:val="zh-CN"/>
        </w:rPr>
        <w:t>2、防范虚假证明材料的要求</w:t>
      </w:r>
    </w:p>
    <w:p w14:paraId="2851AE3B">
      <w:pPr>
        <w:autoSpaceDE w:val="0"/>
        <w:autoSpaceDN w:val="0"/>
        <w:adjustRightInd w:val="0"/>
        <w:snapToGrid w:val="0"/>
        <w:spacing w:before="120" w:beforeLines="50" w:line="300" w:lineRule="auto"/>
        <w:ind w:firstLine="777" w:firstLineChars="324"/>
        <w:rPr>
          <w:rFonts w:ascii="宋体" w:cs="楷体_GB2312"/>
          <w:color w:val="auto"/>
          <w:sz w:val="24"/>
          <w:highlight w:val="none"/>
          <w:lang w:val="zh-CN"/>
        </w:rPr>
      </w:pPr>
      <w:r>
        <w:rPr>
          <w:rFonts w:hint="eastAsia" w:ascii="宋体" w:cs="楷体_GB2312"/>
          <w:color w:val="auto"/>
          <w:sz w:val="24"/>
          <w:highlight w:val="none"/>
          <w:lang w:val="zh-CN"/>
        </w:rPr>
        <w:t>基于当前监督检查工作要求，为防范虚假材料，供应商（成交人）应按第六章14-1附件“证明材料查询核验工作的清单及要求”执行。</w:t>
      </w:r>
    </w:p>
    <w:p w14:paraId="40620FB8">
      <w:pPr>
        <w:spacing w:line="500" w:lineRule="exact"/>
        <w:ind w:firstLine="419"/>
        <w:jc w:val="left"/>
        <w:rPr>
          <w:rFonts w:ascii="黑体" w:hAnsi="黑体" w:eastAsia="黑体" w:cs="楷体_GB2312"/>
          <w:b/>
          <w:bCs/>
          <w:color w:val="auto"/>
          <w:sz w:val="28"/>
          <w:szCs w:val="28"/>
          <w:highlight w:val="none"/>
          <w:lang w:val="zh-CN"/>
        </w:rPr>
      </w:pPr>
      <w:r>
        <w:rPr>
          <w:rFonts w:ascii="黑体" w:hAnsi="黑体" w:eastAsia="黑体" w:cs="楷体_GB2312"/>
          <w:b/>
          <w:bCs/>
          <w:color w:val="auto"/>
          <w:sz w:val="28"/>
          <w:szCs w:val="28"/>
          <w:highlight w:val="none"/>
          <w:lang w:val="zh-CN"/>
        </w:rPr>
        <w:br w:type="page"/>
      </w:r>
    </w:p>
    <w:p w14:paraId="575C7813">
      <w:pPr>
        <w:autoSpaceDE w:val="0"/>
        <w:autoSpaceDN w:val="0"/>
        <w:adjustRightInd w:val="0"/>
        <w:snapToGrid w:val="0"/>
        <w:spacing w:before="120" w:beforeLines="50" w:line="300" w:lineRule="auto"/>
        <w:ind w:firstLine="562" w:firstLineChars="200"/>
        <w:jc w:val="left"/>
        <w:outlineLvl w:val="1"/>
        <w:rPr>
          <w:rFonts w:ascii="黑体" w:hAnsi="黑体" w:eastAsia="黑体" w:cs="楷体_GB2312"/>
          <w:b/>
          <w:bCs/>
          <w:color w:val="auto"/>
          <w:sz w:val="28"/>
          <w:szCs w:val="28"/>
          <w:highlight w:val="none"/>
          <w:lang w:val="zh-CN"/>
        </w:rPr>
      </w:pPr>
      <w:bookmarkStart w:id="40" w:name="_Toc202883080"/>
      <w:r>
        <w:rPr>
          <w:rFonts w:ascii="黑体" w:hAnsi="黑体" w:eastAsia="黑体" w:cs="楷体_GB2312"/>
          <w:b/>
          <w:bCs/>
          <w:color w:val="auto"/>
          <w:sz w:val="28"/>
          <w:szCs w:val="28"/>
          <w:highlight w:val="none"/>
          <w:lang w:val="zh-CN"/>
        </w:rPr>
        <w:t xml:space="preserve">1. </w:t>
      </w:r>
      <w:r>
        <w:rPr>
          <w:rFonts w:hint="eastAsia" w:ascii="黑体" w:hAnsi="黑体" w:eastAsia="黑体" w:cs="楷体_GB2312"/>
          <w:b/>
          <w:bCs/>
          <w:color w:val="auto"/>
          <w:sz w:val="28"/>
          <w:szCs w:val="28"/>
          <w:highlight w:val="none"/>
          <w:lang w:val="zh-CN"/>
        </w:rPr>
        <w:t>评审方法（评定成交的标准）</w:t>
      </w:r>
      <w:bookmarkEnd w:id="40"/>
    </w:p>
    <w:p w14:paraId="01DE2CA8">
      <w:pPr>
        <w:autoSpaceDE w:val="0"/>
        <w:autoSpaceDN w:val="0"/>
        <w:adjustRightInd w:val="0"/>
        <w:snapToGrid w:val="0"/>
        <w:spacing w:before="120" w:beforeLines="50" w:line="300" w:lineRule="auto"/>
        <w:ind w:firstLine="619" w:firstLineChars="257"/>
        <w:jc w:val="left"/>
        <w:rPr>
          <w:rFonts w:ascii="宋体"/>
          <w:b/>
          <w:color w:val="auto"/>
          <w:sz w:val="24"/>
          <w:highlight w:val="none"/>
        </w:rPr>
      </w:pPr>
      <w:r>
        <w:rPr>
          <w:rFonts w:hint="eastAsia"/>
          <w:b/>
          <w:color w:val="auto"/>
          <w:sz w:val="24"/>
          <w:szCs w:val="24"/>
          <w:highlight w:val="none"/>
        </w:rPr>
        <w:t>本次政府采购项目（标段&lt;包&gt;）的评审方法采用《政府采购竞争性磋商采购方式管理暂行办法》中的“综合评分法”，由磋商小组采用综合评分法对提交最后报价的供应商的《响应文件》和最后报价进行综合评分，《响应文件》满足磋商文件全部实质性要求且按评审因素的量化指标评审得分最高的供应商为该项目（标段&lt;包&gt;）成交候选供应商。</w:t>
      </w:r>
    </w:p>
    <w:p w14:paraId="2D9BAB3E">
      <w:pPr>
        <w:pStyle w:val="15"/>
        <w:snapToGrid w:val="0"/>
        <w:spacing w:before="120"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p>
    <w:p w14:paraId="5D493698">
      <w:pPr>
        <w:pStyle w:val="15"/>
        <w:snapToGrid w:val="0"/>
        <w:spacing w:before="120" w:beforeLines="50" w:line="300" w:lineRule="auto"/>
        <w:ind w:firstLine="422" w:firstLineChars="150"/>
        <w:jc w:val="both"/>
        <w:outlineLvl w:val="1"/>
        <w:rPr>
          <w:rFonts w:ascii="黑体" w:hAnsi="黑体" w:eastAsia="黑体" w:cs="楷体_GB2312"/>
          <w:b/>
          <w:bCs/>
          <w:color w:val="auto"/>
          <w:sz w:val="28"/>
          <w:szCs w:val="28"/>
          <w:highlight w:val="none"/>
          <w:u w:color="000000"/>
          <w:lang w:val="zh-CN"/>
        </w:rPr>
      </w:pPr>
      <w:bookmarkStart w:id="41" w:name="_Toc202883081"/>
      <w:r>
        <w:rPr>
          <w:rFonts w:ascii="黑体" w:hAnsi="黑体" w:eastAsia="黑体" w:cs="楷体_GB2312"/>
          <w:b/>
          <w:bCs/>
          <w:color w:val="auto"/>
          <w:sz w:val="28"/>
          <w:szCs w:val="28"/>
          <w:highlight w:val="none"/>
          <w:u w:color="000000"/>
          <w:lang w:val="zh-CN"/>
        </w:rPr>
        <w:t xml:space="preserve">2. </w:t>
      </w:r>
      <w:r>
        <w:rPr>
          <w:rFonts w:hint="eastAsia" w:ascii="黑体" w:hAnsi="黑体" w:eastAsia="黑体" w:cs="楷体_GB2312"/>
          <w:b/>
          <w:bCs/>
          <w:color w:val="auto"/>
          <w:sz w:val="28"/>
          <w:szCs w:val="28"/>
          <w:highlight w:val="none"/>
          <w:u w:color="000000"/>
          <w:lang w:val="zh-CN"/>
        </w:rPr>
        <w:t>评审标准</w:t>
      </w:r>
      <w:bookmarkEnd w:id="41"/>
    </w:p>
    <w:p w14:paraId="5CE133D1">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2.1 </w:t>
      </w:r>
      <w:r>
        <w:rPr>
          <w:rFonts w:hint="eastAsia" w:ascii="黑体" w:hAnsi="黑体" w:eastAsia="黑体"/>
          <w:b/>
          <w:color w:val="auto"/>
          <w:sz w:val="24"/>
          <w:highlight w:val="none"/>
        </w:rPr>
        <w:t>初步评审标准</w:t>
      </w:r>
    </w:p>
    <w:p w14:paraId="3B1D8A9E">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资格性审查标准：见评审办法前附表。</w:t>
      </w:r>
    </w:p>
    <w:p w14:paraId="4F4BFE0A">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2.1.2 </w:t>
      </w:r>
      <w:r>
        <w:rPr>
          <w:rFonts w:hint="eastAsia" w:ascii="宋体" w:hAnsi="宋体"/>
          <w:color w:val="auto"/>
          <w:sz w:val="24"/>
          <w:highlight w:val="none"/>
        </w:rPr>
        <w:t>符合性审查标准：见评审办法前附表。</w:t>
      </w:r>
    </w:p>
    <w:p w14:paraId="061C2FE7">
      <w:pPr>
        <w:autoSpaceDE w:val="0"/>
        <w:autoSpaceDN w:val="0"/>
        <w:adjustRightInd w:val="0"/>
        <w:snapToGrid w:val="0"/>
        <w:spacing w:before="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2.2 </w:t>
      </w:r>
      <w:r>
        <w:rPr>
          <w:rFonts w:hint="eastAsia" w:ascii="黑体" w:hAnsi="黑体" w:eastAsia="黑体"/>
          <w:b/>
          <w:color w:val="auto"/>
          <w:sz w:val="24"/>
          <w:highlight w:val="none"/>
        </w:rPr>
        <w:t>详细评审标准</w:t>
      </w:r>
    </w:p>
    <w:p w14:paraId="12A8D637">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2.2.1 </w:t>
      </w:r>
      <w:r>
        <w:rPr>
          <w:rFonts w:hint="eastAsia" w:ascii="宋体" w:hAnsi="宋体"/>
          <w:color w:val="auto"/>
          <w:sz w:val="24"/>
          <w:highlight w:val="none"/>
        </w:rPr>
        <w:t>分值构成：见评审办法前附表</w:t>
      </w:r>
    </w:p>
    <w:p w14:paraId="3C4EE003">
      <w:pPr>
        <w:autoSpaceDE w:val="0"/>
        <w:autoSpaceDN w:val="0"/>
        <w:adjustRightInd w:val="0"/>
        <w:snapToGrid w:val="0"/>
        <w:spacing w:before="50" w:line="300" w:lineRule="auto"/>
        <w:ind w:firstLine="480" w:firstLineChars="200"/>
        <w:jc w:val="left"/>
        <w:rPr>
          <w:rFonts w:ascii="宋体"/>
          <w:color w:val="auto"/>
          <w:sz w:val="24"/>
          <w:highlight w:val="none"/>
        </w:rPr>
      </w:pPr>
      <w:r>
        <w:rPr>
          <w:rFonts w:ascii="宋体" w:hAnsi="宋体"/>
          <w:color w:val="auto"/>
          <w:sz w:val="24"/>
          <w:highlight w:val="none"/>
        </w:rPr>
        <w:t xml:space="preserve">2.2.2 </w:t>
      </w:r>
      <w:r>
        <w:rPr>
          <w:rFonts w:hint="eastAsia" w:ascii="宋体" w:hAnsi="宋体"/>
          <w:color w:val="auto"/>
          <w:sz w:val="24"/>
          <w:highlight w:val="none"/>
        </w:rPr>
        <w:t>评分标准：见评审办法前附表</w:t>
      </w:r>
    </w:p>
    <w:p w14:paraId="0883B4AF">
      <w:pPr>
        <w:autoSpaceDE w:val="0"/>
        <w:autoSpaceDN w:val="0"/>
        <w:adjustRightInd w:val="0"/>
        <w:snapToGrid w:val="0"/>
        <w:spacing w:before="120" w:beforeLines="50" w:line="300" w:lineRule="auto"/>
        <w:ind w:left="540" w:leftChars="257"/>
        <w:jc w:val="left"/>
        <w:rPr>
          <w:rFonts w:ascii="宋体"/>
          <w:color w:val="auto"/>
          <w:sz w:val="24"/>
          <w:highlight w:val="none"/>
        </w:rPr>
      </w:pPr>
    </w:p>
    <w:p w14:paraId="52E0BC40">
      <w:pPr>
        <w:pStyle w:val="15"/>
        <w:snapToGrid w:val="0"/>
        <w:spacing w:before="120" w:beforeLines="50" w:line="300" w:lineRule="auto"/>
        <w:ind w:firstLine="562" w:firstLineChars="200"/>
        <w:jc w:val="both"/>
        <w:outlineLvl w:val="1"/>
        <w:rPr>
          <w:rFonts w:ascii="黑体" w:hAnsi="黑体" w:eastAsia="黑体" w:cs="楷体_GB2312"/>
          <w:b/>
          <w:bCs/>
          <w:color w:val="auto"/>
          <w:sz w:val="28"/>
          <w:szCs w:val="28"/>
          <w:highlight w:val="none"/>
          <w:u w:color="000000"/>
          <w:lang w:val="zh-CN"/>
        </w:rPr>
      </w:pPr>
      <w:bookmarkStart w:id="42" w:name="_Toc202883082"/>
      <w:r>
        <w:rPr>
          <w:rFonts w:ascii="黑体" w:hAnsi="黑体" w:eastAsia="黑体" w:cs="楷体_GB2312"/>
          <w:b/>
          <w:bCs/>
          <w:color w:val="auto"/>
          <w:sz w:val="28"/>
          <w:szCs w:val="28"/>
          <w:highlight w:val="none"/>
          <w:u w:color="000000"/>
          <w:lang w:val="zh-CN"/>
        </w:rPr>
        <w:t xml:space="preserve">3. </w:t>
      </w:r>
      <w:r>
        <w:rPr>
          <w:rFonts w:hint="eastAsia" w:ascii="黑体" w:hAnsi="黑体" w:eastAsia="黑体" w:cs="楷体_GB2312"/>
          <w:b/>
          <w:bCs/>
          <w:color w:val="auto"/>
          <w:sz w:val="28"/>
          <w:szCs w:val="28"/>
          <w:highlight w:val="none"/>
          <w:u w:color="000000"/>
          <w:lang w:val="zh-CN"/>
        </w:rPr>
        <w:t>评审程序</w:t>
      </w:r>
      <w:bookmarkEnd w:id="42"/>
    </w:p>
    <w:p w14:paraId="778F1EFB">
      <w:pPr>
        <w:autoSpaceDE w:val="0"/>
        <w:autoSpaceDN w:val="0"/>
        <w:adjustRightInd w:val="0"/>
        <w:snapToGrid w:val="0"/>
        <w:spacing w:before="120" w:beforeLines="50" w:line="300" w:lineRule="auto"/>
        <w:ind w:firstLine="482" w:firstLineChars="200"/>
        <w:jc w:val="left"/>
        <w:rPr>
          <w:rFonts w:ascii="黑体" w:hAnsi="黑体" w:eastAsia="黑体"/>
          <w:b/>
          <w:color w:val="auto"/>
          <w:sz w:val="24"/>
          <w:szCs w:val="24"/>
          <w:highlight w:val="none"/>
        </w:rPr>
      </w:pPr>
      <w:r>
        <w:rPr>
          <w:rFonts w:hint="eastAsia" w:ascii="黑体" w:hAnsi="黑体" w:eastAsia="黑体"/>
          <w:b/>
          <w:color w:val="auto"/>
          <w:sz w:val="24"/>
          <w:szCs w:val="24"/>
          <w:highlight w:val="none"/>
        </w:rPr>
        <w:t>磋商小组按标段（包）进行评审</w:t>
      </w:r>
    </w:p>
    <w:p w14:paraId="467569D2">
      <w:pPr>
        <w:autoSpaceDE w:val="0"/>
        <w:autoSpaceDN w:val="0"/>
        <w:adjustRightInd w:val="0"/>
        <w:snapToGrid w:val="0"/>
        <w:spacing w:before="120"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 xml:space="preserve">3.1 </w:t>
      </w:r>
      <w:r>
        <w:rPr>
          <w:rFonts w:hint="eastAsia" w:ascii="黑体" w:hAnsi="黑体" w:eastAsia="黑体"/>
          <w:b/>
          <w:color w:val="auto"/>
          <w:sz w:val="24"/>
          <w:highlight w:val="none"/>
        </w:rPr>
        <w:t>确认《磋商文件》</w:t>
      </w:r>
    </w:p>
    <w:p w14:paraId="4B23C889">
      <w:pPr>
        <w:pStyle w:val="15"/>
        <w:snapToGrid w:val="0"/>
        <w:spacing w:before="120" w:beforeLines="50" w:line="300" w:lineRule="auto"/>
        <w:ind w:firstLine="480" w:firstLineChars="200"/>
        <w:jc w:val="both"/>
        <w:rPr>
          <w:rFonts w:hAnsi="宋体"/>
          <w:color w:val="auto"/>
          <w:highlight w:val="none"/>
        </w:rPr>
      </w:pPr>
      <w:r>
        <w:rPr>
          <w:rFonts w:hAnsi="宋体"/>
          <w:color w:val="auto"/>
          <w:highlight w:val="none"/>
        </w:rPr>
        <w:t xml:space="preserve">3.1.1 </w:t>
      </w:r>
      <w:r>
        <w:rPr>
          <w:rFonts w:hint="eastAsia" w:hAnsi="宋体"/>
          <w:color w:val="auto"/>
          <w:highlight w:val="none"/>
        </w:rPr>
        <w:t>磋商小组确认《磋商文件》，《磋商文件》内容违反国家有关强制性规定的，磋商小组应当停止评审并向采购人或者采购代理机构书面说明情况。</w:t>
      </w:r>
    </w:p>
    <w:p w14:paraId="5EC1A8B9">
      <w:pPr>
        <w:pStyle w:val="15"/>
        <w:snapToGrid w:val="0"/>
        <w:spacing w:before="120" w:beforeLines="50" w:line="300" w:lineRule="auto"/>
        <w:ind w:firstLine="480" w:firstLineChars="200"/>
        <w:jc w:val="both"/>
        <w:rPr>
          <w:rFonts w:hAnsi="宋体"/>
          <w:color w:val="auto"/>
          <w:highlight w:val="none"/>
        </w:rPr>
      </w:pPr>
      <w:r>
        <w:rPr>
          <w:rFonts w:hAnsi="宋体"/>
          <w:color w:val="auto"/>
          <w:highlight w:val="none"/>
        </w:rPr>
        <w:t xml:space="preserve">3.1.2  </w:t>
      </w:r>
      <w:r>
        <w:rPr>
          <w:rFonts w:hint="eastAsia" w:hAnsi="宋体"/>
          <w:color w:val="auto"/>
          <w:highlight w:val="none"/>
        </w:rPr>
        <w:t>磋商小组</w:t>
      </w:r>
      <w:r>
        <w:rPr>
          <w:rFonts w:hint="eastAsia" w:ascii="??" w:hAnsi="??" w:cs="宋体"/>
          <w:color w:val="auto"/>
          <w:szCs w:val="21"/>
          <w:highlight w:val="none"/>
        </w:rPr>
        <w:t>要求解释</w:t>
      </w:r>
      <w:r>
        <w:rPr>
          <w:rFonts w:hint="eastAsia" w:hAnsi="宋体"/>
          <w:color w:val="auto"/>
          <w:highlight w:val="none"/>
        </w:rPr>
        <w:t>《磋商文件》的，书面提出需解释的相关《磋商文件》的具体内容后、由采购代理机构或者采购人进行书面解释。</w:t>
      </w:r>
    </w:p>
    <w:p w14:paraId="50F5F040">
      <w:pPr>
        <w:autoSpaceDE w:val="0"/>
        <w:autoSpaceDN w:val="0"/>
        <w:adjustRightInd w:val="0"/>
        <w:snapToGrid w:val="0"/>
        <w:spacing w:before="120" w:beforeLines="50" w:line="300" w:lineRule="auto"/>
        <w:ind w:firstLine="482" w:firstLineChars="200"/>
        <w:jc w:val="left"/>
        <w:rPr>
          <w:rFonts w:ascii="黑体" w:hAnsi="黑体" w:eastAsia="黑体"/>
          <w:b/>
          <w:color w:val="auto"/>
          <w:sz w:val="24"/>
          <w:highlight w:val="none"/>
        </w:rPr>
      </w:pPr>
      <w:r>
        <w:rPr>
          <w:rFonts w:ascii="黑体" w:hAnsi="黑体" w:eastAsia="黑体"/>
          <w:b/>
          <w:color w:val="auto"/>
          <w:sz w:val="24"/>
          <w:highlight w:val="none"/>
        </w:rPr>
        <w:t>3.2</w:t>
      </w:r>
      <w:r>
        <w:rPr>
          <w:rFonts w:hint="eastAsia" w:ascii="黑体" w:hAnsi="黑体" w:eastAsia="黑体"/>
          <w:b/>
          <w:color w:val="auto"/>
          <w:sz w:val="24"/>
          <w:highlight w:val="none"/>
        </w:rPr>
        <w:t>初步评审</w:t>
      </w:r>
    </w:p>
    <w:p w14:paraId="7039E182">
      <w:pPr>
        <w:autoSpaceDE w:val="0"/>
        <w:autoSpaceDN w:val="0"/>
        <w:adjustRightInd w:val="0"/>
        <w:snapToGrid w:val="0"/>
        <w:spacing w:before="120" w:beforeLines="50" w:line="300" w:lineRule="auto"/>
        <w:ind w:firstLine="616" w:firstLineChars="257"/>
        <w:jc w:val="left"/>
        <w:rPr>
          <w:rFonts w:ascii="宋体"/>
          <w:color w:val="auto"/>
          <w:sz w:val="24"/>
          <w:highlight w:val="none"/>
        </w:rPr>
      </w:pPr>
      <w:r>
        <w:rPr>
          <w:rFonts w:ascii="宋体" w:hAnsi="宋体"/>
          <w:color w:val="auto"/>
          <w:sz w:val="24"/>
          <w:highlight w:val="none"/>
        </w:rPr>
        <w:t>3.2.1</w:t>
      </w:r>
      <w:r>
        <w:rPr>
          <w:rFonts w:hint="eastAsia" w:ascii="宋体" w:hAnsi="宋体"/>
          <w:color w:val="auto"/>
          <w:sz w:val="24"/>
          <w:highlight w:val="none"/>
        </w:rPr>
        <w:t>磋商小组依据本章第2.</w:t>
      </w:r>
      <w:r>
        <w:rPr>
          <w:rFonts w:ascii="宋体" w:hAnsi="宋体"/>
          <w:color w:val="auto"/>
          <w:sz w:val="24"/>
          <w:highlight w:val="none"/>
        </w:rPr>
        <w:t>1.1</w:t>
      </w:r>
      <w:r>
        <w:rPr>
          <w:rFonts w:hint="eastAsia" w:ascii="宋体" w:hAnsi="宋体"/>
          <w:color w:val="auto"/>
          <w:sz w:val="24"/>
          <w:highlight w:val="none"/>
        </w:rPr>
        <w:t>、2.</w:t>
      </w:r>
      <w:r>
        <w:rPr>
          <w:rFonts w:ascii="宋体" w:hAnsi="宋体"/>
          <w:color w:val="auto"/>
          <w:sz w:val="24"/>
          <w:highlight w:val="none"/>
        </w:rPr>
        <w:t xml:space="preserve">1.2 </w:t>
      </w:r>
      <w:r>
        <w:rPr>
          <w:rFonts w:hint="eastAsia" w:ascii="宋体" w:hAnsi="宋体"/>
          <w:color w:val="auto"/>
          <w:sz w:val="24"/>
          <w:highlight w:val="none"/>
        </w:rPr>
        <w:t>款规定的标准对《响应文件》进行资格性、符合性评审。有一项不符合评审标准的，作无效响应处理。</w:t>
      </w:r>
    </w:p>
    <w:p w14:paraId="01852D70">
      <w:pPr>
        <w:autoSpaceDE w:val="0"/>
        <w:autoSpaceDN w:val="0"/>
        <w:adjustRightInd w:val="0"/>
        <w:snapToGrid w:val="0"/>
        <w:spacing w:before="120" w:beforeLines="50" w:line="300" w:lineRule="auto"/>
        <w:ind w:firstLine="616" w:firstLineChars="257"/>
        <w:jc w:val="left"/>
        <w:rPr>
          <w:rFonts w:ascii="宋体"/>
          <w:color w:val="auto"/>
          <w:sz w:val="24"/>
          <w:highlight w:val="none"/>
        </w:rPr>
      </w:pPr>
      <w:r>
        <w:rPr>
          <w:rFonts w:ascii="宋体" w:hAnsi="宋体"/>
          <w:color w:val="auto"/>
          <w:sz w:val="24"/>
          <w:highlight w:val="none"/>
        </w:rPr>
        <w:t xml:space="preserve">3.2.2 </w:t>
      </w:r>
      <w:r>
        <w:rPr>
          <w:rFonts w:hint="eastAsia" w:ascii="宋体" w:hAnsi="宋体"/>
          <w:color w:val="auto"/>
          <w:sz w:val="24"/>
          <w:highlight w:val="none"/>
        </w:rPr>
        <w:t>供应商有以下情形之一的，其投标作无效响应处理：</w:t>
      </w:r>
    </w:p>
    <w:p w14:paraId="374F2B31">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）供应商不符合国家或者《磋商文件》规定的资格条件；</w:t>
      </w:r>
    </w:p>
    <w:p w14:paraId="6AD79AE6">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）供应商没有按照《磋商文件》要求提供投标承诺函；</w:t>
      </w:r>
    </w:p>
    <w:p w14:paraId="22CDBC82">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）投标联合体不符合《磋商文件》规定；</w:t>
      </w:r>
    </w:p>
    <w:p w14:paraId="20DDB89C">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）《响应文件》的签字盖章不符合《磋商文件》规定；</w:t>
      </w:r>
    </w:p>
    <w:p w14:paraId="5D330816">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）磋商报价高于竞争性磋商公告公布的预算金额；</w:t>
      </w:r>
    </w:p>
    <w:p w14:paraId="3FB59F5F">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）同一供应商提交两个以上不同的《响应文件》或者磋商报价，《响应文件》的每种报价有两个报价或其他选择性报价的。</w:t>
      </w:r>
    </w:p>
    <w:p w14:paraId="253F63EF">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）《响应文件》没有对《磋商文件》的实质性要求和条件作出实质性响应，或不符合《磋商文件》的实质性要求和条件；</w:t>
      </w:r>
    </w:p>
    <w:p w14:paraId="01396C27">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）《响应文件》附有采购项目不能接受的条件或不符合国家强制性规定的；</w:t>
      </w:r>
    </w:p>
    <w:p w14:paraId="5D1C3BB4">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9</w:t>
      </w:r>
      <w:r>
        <w:rPr>
          <w:rFonts w:hint="eastAsia" w:ascii="宋体" w:hAnsi="宋体"/>
          <w:color w:val="auto"/>
          <w:sz w:val="24"/>
          <w:highlight w:val="none"/>
        </w:rPr>
        <w:t>）单位负责人为同一人或者存在控股、管理关系的不同单位，参加同一项目（标段&lt;包&gt;）投标的；</w:t>
      </w:r>
    </w:p>
    <w:p w14:paraId="6B6F8FD0">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10</w:t>
      </w:r>
      <w:r>
        <w:rPr>
          <w:rFonts w:hint="eastAsia" w:ascii="宋体" w:hAnsi="宋体"/>
          <w:color w:val="auto"/>
          <w:sz w:val="24"/>
          <w:highlight w:val="none"/>
        </w:rPr>
        <w:t>）为采购项目提供整体设计、规范编制或者项目管理、监理、检测等服务的供应商，不得再参加该采购项目的其他采购活动。</w:t>
      </w:r>
    </w:p>
    <w:p w14:paraId="2747EF05">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（11）组成联合体或者接受分包的小微企业与联合体内其他企业、分包企业之间存在直接控股、管理关系的。</w:t>
      </w:r>
    </w:p>
    <w:p w14:paraId="27527463">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2）提供虚假材料谋取成交的；</w:t>
      </w:r>
    </w:p>
    <w:p w14:paraId="60EF0D6E">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3）供应商有串通投标、行贿等违法行为。其中，有下列情形之一的，视为供应商相互串通投标：</w:t>
      </w:r>
    </w:p>
    <w:p w14:paraId="5EFC3B43">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◆不同供应商的《响应文件》由同一单位或者个人编制；</w:t>
      </w:r>
    </w:p>
    <w:p w14:paraId="229F46F0">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◆不同供应商委托同一单位或者个人办理投标事宜；</w:t>
      </w:r>
    </w:p>
    <w:p w14:paraId="5E604579">
      <w:pPr>
        <w:autoSpaceDE w:val="0"/>
        <w:autoSpaceDN w:val="0"/>
        <w:adjustRightInd w:val="0"/>
        <w:snapToGrid w:val="0"/>
        <w:spacing w:line="300" w:lineRule="auto"/>
        <w:ind w:firstLine="616" w:firstLineChars="257"/>
        <w:jc w:val="left"/>
        <w:rPr>
          <w:rFonts w:ascii="宋体"/>
          <w:color w:val="auto"/>
          <w:sz w:val="24"/>
          <w:highlight w:val="none"/>
        </w:rPr>
      </w:pPr>
      <w:r>
        <w:rPr>
          <w:rFonts w:ascii="宋体"/>
          <w:color w:val="auto"/>
          <w:sz w:val="24"/>
          <w:highlight w:val="none"/>
        </w:rPr>
        <w:t> </w:t>
      </w:r>
      <w:r>
        <w:rPr>
          <w:rFonts w:hint="eastAsia" w:ascii="宋体" w:hAnsi="宋体"/>
          <w:color w:val="auto"/>
          <w:sz w:val="24"/>
          <w:highlight w:val="none"/>
        </w:rPr>
        <w:t>◆不同供应商的《响应文件》载明的项目管理成员为同一人；</w:t>
      </w:r>
    </w:p>
    <w:p w14:paraId="45124CDF">
      <w:pPr>
        <w:autoSpaceDE w:val="0"/>
        <w:autoSpaceDN w:val="0"/>
        <w:adjustRightInd w:val="0"/>
        <w:snapToGrid w:val="0"/>
        <w:spacing w:line="300" w:lineRule="auto"/>
        <w:ind w:firstLine="616" w:firstLineChars="257"/>
        <w:jc w:val="left"/>
        <w:rPr>
          <w:rFonts w:ascii="宋体"/>
          <w:color w:val="auto"/>
          <w:sz w:val="24"/>
          <w:highlight w:val="none"/>
        </w:rPr>
      </w:pPr>
      <w:r>
        <w:rPr>
          <w:rFonts w:hint="eastAsia" w:ascii="宋体" w:hAnsi="宋体"/>
          <w:color w:val="auto"/>
          <w:sz w:val="24"/>
          <w:highlight w:val="none"/>
        </w:rPr>
        <w:t>◆不同供应商的《响应文件》异常一致或者磋商报价呈规律性差异；</w:t>
      </w:r>
    </w:p>
    <w:p w14:paraId="4B89FAA4">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◆不同供应商的《响应文件》相互混装。</w:t>
      </w:r>
    </w:p>
    <w:p w14:paraId="17AD2D98">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（14）根据豫财购〔2021〕6号文件，参与同一个标段(包)的供应商存在下列情形之一的，其投标(响应)文件无效:</w:t>
      </w:r>
    </w:p>
    <w:p w14:paraId="075E176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◆不同供应商的电子投标(响应)文件上传计算机的网卡MAC地址、CPU序列号和硬盘序列号等硬件信息相同的；</w:t>
      </w:r>
    </w:p>
    <w:p w14:paraId="6BDB47EB">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◆不同供应商的投标(响应)文件由同一电子设备编制、打印加密或者上传；</w:t>
      </w:r>
    </w:p>
    <w:p w14:paraId="31064696">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◆不同供应商的投标(响应)文件由同一电子设备打印、复印；</w:t>
      </w:r>
    </w:p>
    <w:p w14:paraId="1BF96532">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◆不同供应商的投标(响应)文件由同一人送达或者分发，或者不同供应商联系人为同一人或不同联系人的联系电话一致的；</w:t>
      </w:r>
    </w:p>
    <w:p w14:paraId="1E8FF95C">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◆不同供应商的投标(响应)文件的内容存在两处以上细节错误一致；</w:t>
      </w:r>
    </w:p>
    <w:p w14:paraId="35B060E5">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◆不同供应商的法定代表人、委托代理人、项目经理、项目负责人等由同一个单位缴纳社会保险或者领取报酬的；</w:t>
      </w:r>
    </w:p>
    <w:p w14:paraId="24C4D1C9">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◆不同供应商投标(响应)文件中法定代表人或者负责人签字出自同一人之手；</w:t>
      </w:r>
    </w:p>
    <w:p w14:paraId="27E86772">
      <w:pPr>
        <w:autoSpaceDE w:val="0"/>
        <w:autoSpaceDN w:val="0"/>
        <w:adjustRightInd w:val="0"/>
        <w:snapToGrid w:val="0"/>
        <w:spacing w:line="300" w:lineRule="auto"/>
        <w:ind w:firstLine="616" w:firstLineChars="257"/>
        <w:jc w:val="left"/>
        <w:rPr>
          <w:rFonts w:ascii="宋体" w:hAnsi="宋体"/>
          <w:color w:val="auto"/>
          <w:sz w:val="24"/>
          <w:highlight w:val="none"/>
        </w:rPr>
      </w:pPr>
      <w:r>
        <w:rPr>
          <w:rFonts w:hint="eastAsia" w:ascii="宋体" w:hAnsi="宋体"/>
          <w:color w:val="auto"/>
          <w:sz w:val="24"/>
          <w:highlight w:val="none"/>
        </w:rPr>
        <w:t>◆其它涉嫌串通的情形。</w:t>
      </w:r>
    </w:p>
    <w:p w14:paraId="52F3091D">
      <w:pPr>
        <w:autoSpaceDE w:val="0"/>
        <w:autoSpaceDN w:val="0"/>
        <w:adjustRightInd w:val="0"/>
        <w:snapToGrid w:val="0"/>
        <w:spacing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(15)不同投标人上传电子投标(响应)文件的IP地址相同，该供应商投标(响应)文件无效。</w:t>
      </w:r>
    </w:p>
    <w:p w14:paraId="3884AE53">
      <w:pPr>
        <w:autoSpaceDE w:val="0"/>
        <w:autoSpaceDN w:val="0"/>
        <w:adjustRightInd w:val="0"/>
        <w:snapToGrid w:val="0"/>
        <w:spacing w:before="120" w:beforeLines="50" w:line="300" w:lineRule="auto"/>
        <w:ind w:firstLine="539"/>
        <w:rPr>
          <w:rFonts w:ascii="宋体" w:hAnsi="宋体"/>
          <w:color w:val="auto"/>
          <w:sz w:val="24"/>
          <w:highlight w:val="none"/>
        </w:rPr>
      </w:pPr>
      <w:r>
        <w:rPr>
          <w:rFonts w:hint="eastAsia" w:ascii="宋体" w:hAnsi="宋体"/>
          <w:color w:val="auto"/>
          <w:sz w:val="24"/>
          <w:highlight w:val="none"/>
        </w:rPr>
        <w:t>(16)据豫财购〔2021〕6号文件精神，工程领域招标投标行政主管部门对供应商串通投标等予以市场禁入的，在本次政府采购活动中，该供应商投标(响应)文件无效。</w:t>
      </w:r>
    </w:p>
    <w:p w14:paraId="14958073">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3.2.3</w:t>
      </w:r>
      <w:r>
        <w:rPr>
          <w:rFonts w:hint="eastAsia" w:ascii="宋体" w:hAnsi="宋体"/>
          <w:b/>
          <w:color w:val="auto"/>
          <w:sz w:val="24"/>
          <w:highlight w:val="none"/>
        </w:rPr>
        <w:t>未实质性响应《磋商文件》的《响应文件》按无效处理，磋商小组应当通过评审界面的对话框告知有关供应商。</w:t>
      </w:r>
    </w:p>
    <w:p w14:paraId="07E7D5F1">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3.2</w:t>
      </w:r>
      <w:r>
        <w:rPr>
          <w:rFonts w:asci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开标一览表（报价一览表）与报价明细表有差别时，以开标一览表（报价一览表）为准；大写文字表示的数据与小写数字表示的有差别时，以大写文字表示的数据为准；单价与开标一览表（报价一览表）总价不符时，以开标一览表（报价一览表）总价为准。如供应商拒绝接受上述意见，其</w:t>
      </w:r>
      <w:r>
        <w:rPr>
          <w:rFonts w:hint="eastAsia" w:ascii="宋体" w:hAnsi="宋体"/>
          <w:b/>
          <w:color w:val="auto"/>
          <w:sz w:val="24"/>
          <w:highlight w:val="none"/>
        </w:rPr>
        <w:t>投标将被拒绝。</w:t>
      </w:r>
    </w:p>
    <w:p w14:paraId="3528053B">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3.2.5 </w:t>
      </w:r>
      <w:r>
        <w:rPr>
          <w:rFonts w:hint="eastAsia" w:ascii="宋体" w:hAnsi="宋体"/>
          <w:color w:val="auto"/>
          <w:sz w:val="24"/>
          <w:highlight w:val="none"/>
        </w:rPr>
        <w:t>磋商小组负责审查确定每一响应项目（标段&lt;包&gt;）是否对《磋商文件》的实质性要求作出了实质性的响应，而没有重大偏离和保留。实质性响应的《响应文件》是指《响应文件》符合《磋商文件》的所有条款、条件和规定且没有重大偏离和保留（重大偏离和保留是指影响到《磋商文件》和供应商的义务的规定，而纠正这些偏离将影响到其他提交实质性响应供应商的公平竞争地位）。</w:t>
      </w:r>
    </w:p>
    <w:p w14:paraId="2DCE2D18">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3.2.6 </w:t>
      </w:r>
      <w:r>
        <w:rPr>
          <w:rFonts w:hint="eastAsia" w:ascii="宋体" w:hAnsi="宋体"/>
          <w:color w:val="auto"/>
          <w:sz w:val="24"/>
          <w:highlight w:val="none"/>
        </w:rPr>
        <w:t>磋商小组判断《响应文件》的响应性仅基于《响应文件》本身而不靠外部证据。</w:t>
      </w:r>
    </w:p>
    <w:p w14:paraId="107422B2">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3.2.7 </w:t>
      </w:r>
      <w:r>
        <w:rPr>
          <w:rFonts w:hint="eastAsia" w:ascii="宋体" w:hAnsi="宋体"/>
          <w:color w:val="auto"/>
          <w:sz w:val="24"/>
          <w:highlight w:val="none"/>
        </w:rPr>
        <w:t>磋商小组拒绝被确定为非实质性响应的供应商，供应商不得通过修正或撤销不符之处而使其《响应文件》成为实质性响应的《响应文件》。</w:t>
      </w:r>
    </w:p>
    <w:p w14:paraId="1C003A4E">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3.2.8 </w:t>
      </w:r>
      <w:r>
        <w:rPr>
          <w:rFonts w:hint="eastAsia" w:ascii="宋体" w:hAnsi="宋体"/>
          <w:color w:val="auto"/>
          <w:sz w:val="24"/>
          <w:highlight w:val="none"/>
        </w:rPr>
        <w:t>允许供应商修改《响应文件》中不构成重大偏离的、微小的、非正规、不一致或不规则的地方。</w:t>
      </w:r>
    </w:p>
    <w:p w14:paraId="7E38E50C">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3.3 </w:t>
      </w:r>
      <w:r>
        <w:rPr>
          <w:rFonts w:hint="eastAsia" w:ascii="黑体" w:hAnsi="黑体" w:eastAsia="黑体"/>
          <w:b/>
          <w:color w:val="auto"/>
          <w:sz w:val="24"/>
          <w:highlight w:val="none"/>
        </w:rPr>
        <w:t>《响应文件》的澄清</w:t>
      </w:r>
    </w:p>
    <w:p w14:paraId="1896E909">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hint="eastAsia" w:ascii="宋体" w:hAnsi="宋体"/>
          <w:b/>
          <w:color w:val="auto"/>
          <w:sz w:val="24"/>
          <w:highlight w:val="none"/>
        </w:rPr>
        <w:t>《响应文件》的澄清在“竞争性磋商公告”</w:t>
      </w:r>
      <w:r>
        <w:rPr>
          <w:rFonts w:ascii="宋体" w:hAnsi="宋体"/>
          <w:b/>
          <w:color w:val="auto"/>
          <w:sz w:val="24"/>
          <w:highlight w:val="none"/>
        </w:rPr>
        <w:t>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4857EDD6">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3</w:t>
      </w:r>
      <w:r>
        <w:rPr>
          <w:rFonts w:ascii="宋体" w:hAnsi="宋体"/>
          <w:b/>
          <w:color w:val="auto"/>
          <w:sz w:val="24"/>
          <w:highlight w:val="none"/>
        </w:rPr>
        <w:t>.1</w:t>
      </w:r>
      <w:r>
        <w:rPr>
          <w:rFonts w:hint="eastAsia" w:ascii="宋体" w:hAnsi="宋体"/>
          <w:b/>
          <w:color w:val="auto"/>
          <w:sz w:val="24"/>
          <w:highlight w:val="none"/>
        </w:rPr>
        <w:t xml:space="preserve"> 评审期间，供应商法定代表人须时刻关注电子开标室并保持通讯畅通。如因通讯不畅导致供应商无法及时澄清而被认定为无效响应等后果的</w:t>
      </w:r>
      <w:r>
        <w:rPr>
          <w:rFonts w:ascii="宋体" w:hAnsi="宋体"/>
          <w:b/>
          <w:color w:val="auto"/>
          <w:sz w:val="24"/>
          <w:highlight w:val="none"/>
        </w:rPr>
        <w:t>，</w:t>
      </w:r>
      <w:r>
        <w:rPr>
          <w:rFonts w:hint="eastAsia" w:ascii="宋体" w:hAnsi="宋体"/>
          <w:b/>
          <w:color w:val="auto"/>
          <w:sz w:val="24"/>
          <w:highlight w:val="none"/>
        </w:rPr>
        <w:t>由供应商自行承担。</w:t>
      </w:r>
    </w:p>
    <w:p w14:paraId="013FF11F">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3.3.2</w:t>
      </w:r>
      <w:r>
        <w:rPr>
          <w:rFonts w:hint="eastAsia" w:ascii="宋体" w:hAnsi="宋体"/>
          <w:color w:val="auto"/>
          <w:sz w:val="24"/>
          <w:highlight w:val="none"/>
        </w:rPr>
        <w:t>　为有助于对《响应文件》进行审查、评估和比较，磋商小组有权个别的向供应商提出质疑，请供应商澄清其投标内容。</w:t>
      </w:r>
    </w:p>
    <w:p w14:paraId="501445AB">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3.3.3</w:t>
      </w:r>
      <w:r>
        <w:rPr>
          <w:rFonts w:hint="eastAsia" w:ascii="宋体" w:hAnsi="宋体"/>
          <w:color w:val="auto"/>
          <w:sz w:val="24"/>
          <w:highlight w:val="none"/>
        </w:rPr>
        <w:t>　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B356A2">
      <w:pPr>
        <w:autoSpaceDE w:val="0"/>
        <w:autoSpaceDN w:val="0"/>
        <w:adjustRightInd w:val="0"/>
        <w:snapToGrid w:val="0"/>
        <w:spacing w:before="120" w:beforeLines="50" w:line="300" w:lineRule="auto"/>
        <w:ind w:firstLine="566" w:firstLineChars="236"/>
        <w:jc w:val="left"/>
        <w:rPr>
          <w:rFonts w:ascii="宋体" w:hAnsi="宋体"/>
          <w:b/>
          <w:color w:val="auto"/>
          <w:sz w:val="24"/>
          <w:highlight w:val="none"/>
        </w:rPr>
      </w:pPr>
      <w:r>
        <w:rPr>
          <w:rFonts w:ascii="宋体" w:hAnsi="宋体"/>
          <w:color w:val="auto"/>
          <w:sz w:val="24"/>
          <w:highlight w:val="none"/>
        </w:rPr>
        <w:t>3.3.4</w:t>
      </w:r>
      <w:r>
        <w:rPr>
          <w:rFonts w:hint="eastAsia" w:ascii="宋体" w:hAnsi="宋体"/>
          <w:color w:val="auto"/>
          <w:sz w:val="24"/>
          <w:highlight w:val="none"/>
        </w:rPr>
        <w:t>　供应商的澄清、说明或者更正</w:t>
      </w:r>
      <w:r>
        <w:rPr>
          <w:rFonts w:hint="eastAsia" w:ascii="宋体" w:hAnsi="宋体"/>
          <w:b/>
          <w:color w:val="auto"/>
          <w:sz w:val="24"/>
          <w:highlight w:val="none"/>
        </w:rPr>
        <w:t>应当采用书面形式，应加</w:t>
      </w:r>
      <w:r>
        <w:rPr>
          <w:rFonts w:ascii="宋体" w:hAnsi="宋体"/>
          <w:b/>
          <w:color w:val="auto"/>
          <w:sz w:val="24"/>
          <w:highlight w:val="none"/>
        </w:rPr>
        <w:t>盖</w:t>
      </w:r>
      <w:r>
        <w:rPr>
          <w:rFonts w:hint="eastAsia" w:ascii="宋体" w:hAnsi="宋体"/>
          <w:b/>
          <w:color w:val="auto"/>
          <w:sz w:val="24"/>
          <w:highlight w:val="none"/>
        </w:rPr>
        <w:t>供应商电子签章或其法定代表人电子签名</w:t>
      </w:r>
      <w:r>
        <w:rPr>
          <w:rFonts w:hint="eastAsia" w:ascii="宋体" w:hAnsi="宋体" w:cs="楷体_GB2312"/>
          <w:b/>
          <w:color w:val="auto"/>
          <w:sz w:val="24"/>
          <w:highlight w:val="none"/>
        </w:rPr>
        <w:t>（签章）</w:t>
      </w:r>
      <w:r>
        <w:rPr>
          <w:rFonts w:hint="eastAsia" w:ascii="宋体" w:hAnsi="宋体"/>
          <w:b/>
          <w:color w:val="auto"/>
          <w:sz w:val="24"/>
          <w:highlight w:val="none"/>
        </w:rPr>
        <w:t>。并将澄清等内容作为附件上传至系统中。</w:t>
      </w:r>
    </w:p>
    <w:p w14:paraId="1CE95A61">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3.3.5</w:t>
      </w:r>
      <w:r>
        <w:rPr>
          <w:rFonts w:hint="eastAsia" w:ascii="宋体" w:hAnsi="宋体"/>
          <w:color w:val="auto"/>
          <w:sz w:val="24"/>
          <w:highlight w:val="none"/>
        </w:rPr>
        <w:t>　供应商的澄清文件是《响应文件》的组成部分，并取代《响应文件》中被澄清的部分。</w:t>
      </w:r>
    </w:p>
    <w:p w14:paraId="7C22DCF4">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3.3.6</w:t>
      </w:r>
      <w:r>
        <w:rPr>
          <w:rFonts w:hint="eastAsia" w:ascii="宋体" w:hAnsi="宋体"/>
          <w:color w:val="auto"/>
          <w:sz w:val="24"/>
          <w:highlight w:val="none"/>
        </w:rPr>
        <w:t>　澄清文件应按磋商小组规定的时间提交。</w:t>
      </w:r>
    </w:p>
    <w:p w14:paraId="1C24A7BA">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3.4 </w:t>
      </w:r>
      <w:r>
        <w:rPr>
          <w:rFonts w:hint="eastAsia" w:ascii="黑体" w:hAnsi="黑体" w:eastAsia="黑体"/>
          <w:b/>
          <w:color w:val="auto"/>
          <w:sz w:val="24"/>
          <w:highlight w:val="none"/>
        </w:rPr>
        <w:t>磋商规则</w:t>
      </w:r>
    </w:p>
    <w:p w14:paraId="3B4F8048">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hint="eastAsia" w:ascii="宋体" w:hAnsi="宋体"/>
          <w:b/>
          <w:color w:val="auto"/>
          <w:sz w:val="24"/>
          <w:highlight w:val="none"/>
        </w:rPr>
        <w:t>评</w:t>
      </w:r>
      <w:r>
        <w:rPr>
          <w:rFonts w:ascii="宋体" w:hAnsi="宋体"/>
          <w:b/>
          <w:color w:val="auto"/>
          <w:sz w:val="24"/>
          <w:highlight w:val="none"/>
        </w:rPr>
        <w:t>审</w:t>
      </w:r>
      <w:r>
        <w:rPr>
          <w:rFonts w:hint="eastAsia" w:ascii="宋体" w:hAnsi="宋体"/>
          <w:b/>
          <w:color w:val="auto"/>
          <w:sz w:val="24"/>
          <w:highlight w:val="none"/>
        </w:rPr>
        <w:t>磋商在“竞争性磋商公告”</w:t>
      </w:r>
      <w:r>
        <w:rPr>
          <w:rFonts w:ascii="宋体" w:hAnsi="宋体"/>
          <w:b/>
          <w:color w:val="auto"/>
          <w:sz w:val="24"/>
          <w:highlight w:val="none"/>
        </w:rPr>
        <w:t>所述</w:t>
      </w:r>
      <w:r>
        <w:rPr>
          <w:rFonts w:hint="eastAsia" w:ascii="宋体" w:hAnsi="宋体"/>
          <w:b/>
          <w:color w:val="auto"/>
          <w:sz w:val="24"/>
          <w:highlight w:val="none"/>
        </w:rPr>
        <w:t>网</w:t>
      </w:r>
      <w:r>
        <w:rPr>
          <w:rFonts w:ascii="宋体" w:hAnsi="宋体"/>
          <w:b/>
          <w:color w:val="auto"/>
          <w:sz w:val="24"/>
          <w:highlight w:val="none"/>
        </w:rPr>
        <w:t>上</w:t>
      </w:r>
      <w:r>
        <w:rPr>
          <w:rFonts w:hint="eastAsia" w:ascii="宋体" w:hAnsi="宋体"/>
          <w:b/>
          <w:color w:val="auto"/>
          <w:sz w:val="24"/>
          <w:highlight w:val="none"/>
        </w:rPr>
        <w:t>电子交易系统</w:t>
      </w:r>
      <w:r>
        <w:rPr>
          <w:rFonts w:ascii="宋体" w:hAnsi="宋体"/>
          <w:b/>
          <w:color w:val="auto"/>
          <w:sz w:val="24"/>
          <w:highlight w:val="none"/>
        </w:rPr>
        <w:t>进行。</w:t>
      </w:r>
    </w:p>
    <w:p w14:paraId="524A4233">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 xml:space="preserve">3.4.1 </w:t>
      </w:r>
      <w:r>
        <w:rPr>
          <w:rFonts w:hint="eastAsia" w:ascii="宋体" w:hAnsi="宋体"/>
          <w:color w:val="auto"/>
          <w:sz w:val="24"/>
          <w:highlight w:val="none"/>
        </w:rPr>
        <w:t>本次政府采购采取竞争性磋商方式。磋商小组将据评审情况就所报项目的技术、服务、价格等事项与有关供应商分别进行磋商。磋商的任何一方不得将与磋商有关的技术资料、价格和其他信息透露给其他供应商。</w:t>
      </w:r>
    </w:p>
    <w:p w14:paraId="5DC8BAB7">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磋商小组根据《磋商文件》规定的程序、评定成交的标准等事项与实质性响应《磋商文件》实质性要求的供应商进行磋商。</w:t>
      </w:r>
    </w:p>
    <w:p w14:paraId="59F62E6B">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3 </w:t>
      </w:r>
      <w:r>
        <w:rPr>
          <w:rFonts w:hint="eastAsia" w:ascii="宋体" w:hAnsi="宋体"/>
          <w:color w:val="auto"/>
          <w:sz w:val="24"/>
          <w:highlight w:val="none"/>
        </w:rPr>
        <w:t>磋商小组所有成员集中与单一供应商分别进行磋商，并给予所有参加磋商的供应商平等的磋商机会。</w:t>
      </w:r>
    </w:p>
    <w:p w14:paraId="3ACB0D45">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4 </w:t>
      </w:r>
      <w:r>
        <w:rPr>
          <w:rFonts w:hint="eastAsia" w:ascii="宋体" w:hAnsi="宋体"/>
          <w:color w:val="auto"/>
          <w:sz w:val="24"/>
          <w:highlight w:val="none"/>
        </w:rPr>
        <w:t>在磋商过程中，磋商小组可以根据《磋商文件》和磋商情况实质性变动采购需求中的技术、服务要求以及合同草案条款，《磋商文件》中的其他内容将不再变动。实质性变动的内容，经采购人代表确认后，</w:t>
      </w:r>
      <w:r>
        <w:rPr>
          <w:rFonts w:hint="eastAsia" w:ascii="宋体" w:hAnsi="宋体"/>
          <w:b/>
          <w:color w:val="auto"/>
          <w:sz w:val="24"/>
          <w:highlight w:val="none"/>
        </w:rPr>
        <w:t>磋商小组将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p>
    <w:p w14:paraId="2971CE87">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对《磋商文件》作出的实质性变动是《磋商文件》的有效组成部分。</w:t>
      </w:r>
    </w:p>
    <w:p w14:paraId="124A0B0A">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6 </w:t>
      </w:r>
      <w:r>
        <w:rPr>
          <w:rFonts w:hint="eastAsia" w:ascii="宋体" w:hAnsi="宋体"/>
          <w:color w:val="auto"/>
          <w:sz w:val="24"/>
          <w:highlight w:val="none"/>
        </w:rPr>
        <w:t>供应商应当按照《磋商文件》的变动情况和磋商小组的要求重新提交《响应文件》或修订《响应文件》相应条款，</w:t>
      </w:r>
      <w:r>
        <w:rPr>
          <w:rFonts w:hint="eastAsia" w:ascii="宋体" w:hAnsi="宋体"/>
          <w:b/>
          <w:color w:val="auto"/>
          <w:sz w:val="24"/>
          <w:highlight w:val="none"/>
        </w:rPr>
        <w:t>并应加</w:t>
      </w:r>
      <w:r>
        <w:rPr>
          <w:rFonts w:ascii="宋体" w:hAnsi="宋体"/>
          <w:b/>
          <w:color w:val="auto"/>
          <w:sz w:val="24"/>
          <w:highlight w:val="none"/>
        </w:rPr>
        <w:t>盖</w:t>
      </w:r>
      <w:r>
        <w:rPr>
          <w:rFonts w:hint="eastAsia" w:ascii="宋体" w:hAnsi="宋体"/>
          <w:b/>
          <w:color w:val="auto"/>
          <w:sz w:val="24"/>
          <w:highlight w:val="none"/>
        </w:rPr>
        <w:t>供应商或其法定代表人的电子签名</w:t>
      </w:r>
      <w:r>
        <w:rPr>
          <w:rFonts w:hint="eastAsia" w:ascii="宋体" w:hAnsi="宋体" w:cs="楷体_GB2312"/>
          <w:b/>
          <w:color w:val="auto"/>
          <w:sz w:val="24"/>
          <w:highlight w:val="none"/>
        </w:rPr>
        <w:t>（签章）</w:t>
      </w:r>
      <w:r>
        <w:rPr>
          <w:rFonts w:hint="eastAsia" w:ascii="宋体" w:hAnsi="宋体"/>
          <w:b/>
          <w:color w:val="auto"/>
          <w:sz w:val="24"/>
          <w:highlight w:val="none"/>
        </w:rPr>
        <w:t>。</w:t>
      </w:r>
    </w:p>
    <w:p w14:paraId="2855E54B">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7 </w:t>
      </w:r>
      <w:r>
        <w:rPr>
          <w:rFonts w:hint="eastAsia" w:ascii="宋体" w:hAnsi="宋体"/>
          <w:color w:val="auto"/>
          <w:sz w:val="24"/>
          <w:highlight w:val="none"/>
        </w:rPr>
        <w:t>价格磋商</w:t>
      </w:r>
    </w:p>
    <w:p w14:paraId="20B40E80">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7.1 </w:t>
      </w:r>
      <w:r>
        <w:rPr>
          <w:rFonts w:hint="eastAsia" w:ascii="宋体" w:hAnsi="宋体"/>
          <w:color w:val="auto"/>
          <w:sz w:val="24"/>
          <w:highlight w:val="none"/>
        </w:rPr>
        <w:t>见第二章“采购项目及服务要求”</w:t>
      </w:r>
      <w:r>
        <w:rPr>
          <w:rFonts w:ascii="宋体" w:hAnsi="宋体"/>
          <w:color w:val="auto"/>
          <w:sz w:val="24"/>
          <w:highlight w:val="none"/>
        </w:rPr>
        <w:t>1.3.2</w:t>
      </w:r>
      <w:r>
        <w:rPr>
          <w:rFonts w:hint="eastAsia" w:ascii="宋体" w:hAnsi="宋体"/>
          <w:color w:val="auto"/>
          <w:sz w:val="24"/>
          <w:highlight w:val="none"/>
        </w:rPr>
        <w:t>项规定</w:t>
      </w:r>
    </w:p>
    <w:p w14:paraId="6CC3403D">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 xml:space="preserve">7.2 </w:t>
      </w:r>
      <w:r>
        <w:rPr>
          <w:rFonts w:hint="eastAsia" w:ascii="宋体" w:hAnsi="宋体"/>
          <w:color w:val="auto"/>
          <w:sz w:val="24"/>
          <w:highlight w:val="none"/>
        </w:rPr>
        <w:t>磋商小组应当要求所有继续参加磋商的供应商在规定时间内提交最后报价，提交最后报价的供应商不得少于</w:t>
      </w:r>
      <w:r>
        <w:rPr>
          <w:rFonts w:ascii="宋体" w:hAnsi="宋体"/>
          <w:color w:val="auto"/>
          <w:sz w:val="24"/>
          <w:highlight w:val="none"/>
        </w:rPr>
        <w:t>3</w:t>
      </w:r>
      <w:r>
        <w:rPr>
          <w:rFonts w:hint="eastAsia" w:ascii="宋体" w:hAnsi="宋体"/>
          <w:color w:val="auto"/>
          <w:sz w:val="24"/>
          <w:highlight w:val="none"/>
        </w:rPr>
        <w:t>家。最后报价是《响应文件》的有效组成部分。</w:t>
      </w:r>
    </w:p>
    <w:p w14:paraId="7CD1CE47">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3.4</w:t>
      </w:r>
      <w:r>
        <w:rPr>
          <w:rFonts w:asci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《磋商文件》的实质性变动影响到供应商因此无法继续参加磋商的，供应商可以在提交最后报价之前退出磋商。其《响应文件》按无效处理的供应商，所提交的最后报价也按无效处理。</w:t>
      </w:r>
    </w:p>
    <w:p w14:paraId="5F8F32FB">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.9</w:t>
      </w:r>
      <w:r>
        <w:rPr>
          <w:rFonts w:hint="eastAsia" w:ascii="宋体" w:hAnsi="宋体"/>
          <w:b/>
          <w:color w:val="auto"/>
          <w:sz w:val="24"/>
          <w:highlight w:val="none"/>
        </w:rPr>
        <w:t xml:space="preserve"> 供应商提交最后报价应在系统中填列。</w:t>
      </w:r>
    </w:p>
    <w:p w14:paraId="60AE76AD">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 xml:space="preserve">.10 </w:t>
      </w:r>
      <w:r>
        <w:rPr>
          <w:rFonts w:hint="eastAsia"/>
          <w:b/>
          <w:color w:val="auto"/>
          <w:sz w:val="24"/>
          <w:szCs w:val="24"/>
          <w:highlight w:val="none"/>
        </w:rPr>
        <w:t>本项目在开标后只进行一轮报价，即最后报价。网</w:t>
      </w:r>
      <w:r>
        <w:rPr>
          <w:b/>
          <w:color w:val="auto"/>
          <w:sz w:val="24"/>
          <w:szCs w:val="24"/>
          <w:highlight w:val="none"/>
        </w:rPr>
        <w:t>上交易系统中</w:t>
      </w:r>
      <w:r>
        <w:rPr>
          <w:rFonts w:hint="eastAsia"/>
          <w:b/>
          <w:color w:val="auto"/>
          <w:sz w:val="24"/>
          <w:szCs w:val="24"/>
          <w:highlight w:val="none"/>
        </w:rPr>
        <w:t>管理员发起最后报价后，</w:t>
      </w:r>
      <w:r>
        <w:rPr>
          <w:rFonts w:hint="eastAsia" w:ascii="宋体" w:hAnsi="宋体"/>
          <w:b/>
          <w:color w:val="auto"/>
          <w:sz w:val="24"/>
          <w:highlight w:val="none"/>
        </w:rPr>
        <w:t>如供应商未在指定时限内提交最后报价，视为该供应商根据磋商情况退出磋商。</w:t>
      </w:r>
    </w:p>
    <w:p w14:paraId="32B2B5A5">
      <w:pPr>
        <w:autoSpaceDE w:val="0"/>
        <w:autoSpaceDN w:val="0"/>
        <w:adjustRightInd w:val="0"/>
        <w:snapToGrid w:val="0"/>
        <w:spacing w:before="120" w:beforeLines="50" w:line="300" w:lineRule="auto"/>
        <w:ind w:firstLine="569" w:firstLineChars="236"/>
        <w:jc w:val="left"/>
        <w:rPr>
          <w:rFonts w:ascii="宋体" w:hAns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4</w:t>
      </w:r>
      <w:r>
        <w:rPr>
          <w:rFonts w:ascii="宋体" w:hAnsi="宋体"/>
          <w:b/>
          <w:color w:val="auto"/>
          <w:sz w:val="24"/>
          <w:highlight w:val="none"/>
        </w:rPr>
        <w:t xml:space="preserve">.11 </w:t>
      </w:r>
      <w:r>
        <w:rPr>
          <w:rFonts w:hint="eastAsia" w:ascii="宋体" w:hAnsi="宋体"/>
          <w:b/>
          <w:color w:val="auto"/>
          <w:sz w:val="24"/>
          <w:highlight w:val="none"/>
        </w:rPr>
        <w:t>供应商在网上报价过程中，如遇到网上投标系统的操作问题，可通过网上预留的咨询电话进行咨询。供应商因未按照要求进行操作、供应商办理的数字证书失效等其他自身原因导致响应文件错误或无效的，磋商小组将认定其为无效投</w:t>
      </w:r>
      <w:r>
        <w:rPr>
          <w:rFonts w:ascii="宋体" w:hAnsi="宋体"/>
          <w:b/>
          <w:color w:val="auto"/>
          <w:sz w:val="24"/>
          <w:highlight w:val="none"/>
        </w:rPr>
        <w:t>标</w:t>
      </w:r>
      <w:r>
        <w:rPr>
          <w:rFonts w:hint="eastAsia" w:ascii="宋体" w:hAnsi="宋体"/>
          <w:b/>
          <w:color w:val="auto"/>
          <w:sz w:val="24"/>
          <w:highlight w:val="none"/>
        </w:rPr>
        <w:t>。</w:t>
      </w:r>
    </w:p>
    <w:p w14:paraId="6E101378">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3.5 </w:t>
      </w:r>
      <w:r>
        <w:rPr>
          <w:rFonts w:hint="eastAsia" w:ascii="黑体" w:hAnsi="黑体" w:eastAsia="黑体"/>
          <w:b/>
          <w:color w:val="auto"/>
          <w:sz w:val="24"/>
          <w:highlight w:val="none"/>
        </w:rPr>
        <w:t>详细评审</w:t>
      </w:r>
    </w:p>
    <w:p w14:paraId="5C146C47">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3.5.1 </w:t>
      </w:r>
      <w:r>
        <w:rPr>
          <w:rFonts w:hint="eastAsia" w:ascii="宋体"/>
          <w:color w:val="auto"/>
          <w:sz w:val="24"/>
          <w:highlight w:val="none"/>
        </w:rPr>
        <w:t>经磋商确定最终采购需求和提交最后报价的供应商后，由磋商小组采用综合评分法对提交最后报价的供应商的《响应文件》和最后报价进行综合评分。</w:t>
      </w:r>
    </w:p>
    <w:p w14:paraId="00C4CBD0">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3.5.2 </w:t>
      </w:r>
      <w:r>
        <w:rPr>
          <w:rFonts w:hint="eastAsia" w:ascii="宋体"/>
          <w:color w:val="auto"/>
          <w:sz w:val="24"/>
          <w:highlight w:val="none"/>
        </w:rPr>
        <w:t>按本章第</w:t>
      </w:r>
      <w:r>
        <w:rPr>
          <w:rFonts w:ascii="宋体"/>
          <w:color w:val="auto"/>
          <w:sz w:val="24"/>
          <w:highlight w:val="none"/>
        </w:rPr>
        <w:t xml:space="preserve">4 </w:t>
      </w:r>
      <w:r>
        <w:rPr>
          <w:rFonts w:hint="eastAsia" w:ascii="宋体"/>
          <w:color w:val="auto"/>
          <w:sz w:val="24"/>
          <w:highlight w:val="none"/>
        </w:rPr>
        <w:t>条规定执行促进中小企业发展扶持政策，用扣除后的价格参与评审。</w:t>
      </w:r>
    </w:p>
    <w:p w14:paraId="14F43AE2">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3.5.3 </w:t>
      </w:r>
      <w:r>
        <w:rPr>
          <w:rFonts w:hint="eastAsia" w:ascii="宋体"/>
          <w:color w:val="auto"/>
          <w:sz w:val="24"/>
          <w:highlight w:val="none"/>
        </w:rPr>
        <w:t>磋商小组按本章第</w:t>
      </w:r>
      <w:r>
        <w:rPr>
          <w:rFonts w:ascii="宋体"/>
          <w:color w:val="auto"/>
          <w:sz w:val="24"/>
          <w:highlight w:val="none"/>
        </w:rPr>
        <w:t xml:space="preserve">2.2 </w:t>
      </w:r>
      <w:r>
        <w:rPr>
          <w:rFonts w:hint="eastAsia" w:ascii="宋体"/>
          <w:color w:val="auto"/>
          <w:sz w:val="24"/>
          <w:highlight w:val="none"/>
        </w:rPr>
        <w:t>款规定的量化因素和分值进行打分，并计算出综合评标得分。</w:t>
      </w:r>
    </w:p>
    <w:p w14:paraId="11828E14">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3.5.4 .</w:t>
      </w:r>
      <w:r>
        <w:rPr>
          <w:rFonts w:hint="eastAsia" w:ascii="宋体"/>
          <w:color w:val="auto"/>
          <w:sz w:val="24"/>
          <w:highlight w:val="none"/>
        </w:rPr>
        <w:t>评分计算保留</w:t>
      </w:r>
      <w:r>
        <w:rPr>
          <w:rFonts w:ascii="宋体"/>
          <w:color w:val="auto"/>
          <w:sz w:val="24"/>
          <w:highlight w:val="none"/>
        </w:rPr>
        <w:t>2</w:t>
      </w:r>
      <w:r>
        <w:rPr>
          <w:rFonts w:hint="eastAsia" w:ascii="宋体"/>
          <w:color w:val="auto"/>
          <w:sz w:val="24"/>
          <w:highlight w:val="none"/>
        </w:rPr>
        <w:t>位小数，第三位小数四舍五入。评分计算中出现中间值时按插入法计算得分。</w:t>
      </w:r>
    </w:p>
    <w:p w14:paraId="048D0B13">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3.5.5</w:t>
      </w:r>
      <w:r>
        <w:rPr>
          <w:rFonts w:hint="eastAsia" w:ascii="宋体"/>
          <w:color w:val="auto"/>
          <w:sz w:val="24"/>
          <w:highlight w:val="none"/>
        </w:rPr>
        <w:t xml:space="preserve"> 磋商小组认为供应商的报价明显低于其他通过符合性审查投标人的报价，有可能影响产品质量或者不能诚信履约的，应当要求其在合理的时间内提供书面说明，必要时提交相关证明材料；供应商不能证明其报价合理性的，磋商小组应当将其作为无效投标处理。</w:t>
      </w:r>
    </w:p>
    <w:p w14:paraId="552195D1">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3.5.6</w:t>
      </w:r>
      <w:r>
        <w:rPr>
          <w:rFonts w:hint="eastAsia" w:ascii="宋体"/>
          <w:color w:val="auto"/>
          <w:sz w:val="24"/>
          <w:highlight w:val="none"/>
        </w:rPr>
        <w:t>　在评审过程中，凡遇到《磋商文件》中无界定或界定不清，前后不一致，使磋商小组成员意见有分歧且又难于协商一致的问题，均由磋商小组予以表决。</w:t>
      </w:r>
    </w:p>
    <w:p w14:paraId="2FC6A885">
      <w:pPr>
        <w:autoSpaceDE w:val="0"/>
        <w:autoSpaceDN w:val="0"/>
        <w:adjustRightInd w:val="0"/>
        <w:snapToGrid w:val="0"/>
        <w:spacing w:before="120" w:beforeLines="50" w:line="300" w:lineRule="auto"/>
        <w:ind w:firstLine="569" w:firstLineChars="236"/>
        <w:jc w:val="left"/>
        <w:rPr>
          <w:rFonts w:ascii="宋体"/>
          <w:color w:val="auto"/>
          <w:sz w:val="24"/>
          <w:highlight w:val="none"/>
        </w:rPr>
      </w:pPr>
      <w:r>
        <w:rPr>
          <w:rFonts w:ascii="黑体" w:hAnsi="黑体" w:eastAsia="黑体"/>
          <w:b/>
          <w:color w:val="auto"/>
          <w:sz w:val="24"/>
          <w:highlight w:val="none"/>
        </w:rPr>
        <w:t xml:space="preserve">3.6 </w:t>
      </w:r>
      <w:r>
        <w:rPr>
          <w:rFonts w:hint="eastAsia" w:ascii="黑体" w:hAnsi="黑体" w:eastAsia="黑体"/>
          <w:b/>
          <w:color w:val="auto"/>
          <w:sz w:val="24"/>
          <w:highlight w:val="none"/>
        </w:rPr>
        <w:t>复核</w:t>
      </w:r>
      <w:r>
        <w:rPr>
          <w:rFonts w:hint="eastAsia" w:ascii="宋体"/>
          <w:color w:val="auto"/>
          <w:sz w:val="24"/>
          <w:highlight w:val="none"/>
        </w:rPr>
        <w:t>：</w:t>
      </w:r>
    </w:p>
    <w:p w14:paraId="598DB80E">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3.6.1 </w:t>
      </w:r>
      <w:r>
        <w:rPr>
          <w:rFonts w:hint="eastAsia" w:ascii="宋体"/>
          <w:color w:val="auto"/>
          <w:sz w:val="24"/>
          <w:highlight w:val="none"/>
        </w:rPr>
        <w:t>磋商小组要对评分汇总情况进行复核，对评审数据进行校对、核对，特别是对排名第一的、报价最低的、被认定为无效的情形进行重点复核。</w:t>
      </w:r>
    </w:p>
    <w:p w14:paraId="4ADDF46C">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3.6.2 </w:t>
      </w:r>
      <w:r>
        <w:rPr>
          <w:rFonts w:hint="eastAsia" w:ascii="宋体"/>
          <w:color w:val="auto"/>
          <w:sz w:val="24"/>
          <w:highlight w:val="none"/>
        </w:rPr>
        <w:t>磋商小组对供应商的价格分等客观评分项的评分应当一致，对其他需要借助专业知识评判的主观评分项，应当严格按照评分细则公正评分，不得超出评分标准范围，对畸高、畸低的重大差异评分书面说明理由。</w:t>
      </w:r>
    </w:p>
    <w:p w14:paraId="565DFA18">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3.7 </w:t>
      </w:r>
      <w:r>
        <w:rPr>
          <w:rFonts w:hint="eastAsia" w:ascii="黑体" w:hAnsi="黑体" w:eastAsia="黑体"/>
          <w:b/>
          <w:color w:val="auto"/>
          <w:sz w:val="24"/>
          <w:highlight w:val="none"/>
        </w:rPr>
        <w:t>评审结果</w:t>
      </w:r>
    </w:p>
    <w:p w14:paraId="1DAAED35">
      <w:pPr>
        <w:autoSpaceDE w:val="0"/>
        <w:autoSpaceDN w:val="0"/>
        <w:adjustRightInd w:val="0"/>
        <w:snapToGrid w:val="0"/>
        <w:spacing w:before="120" w:beforeLines="50" w:line="300" w:lineRule="auto"/>
        <w:ind w:firstLine="616" w:firstLineChars="257"/>
        <w:jc w:val="left"/>
        <w:rPr>
          <w:rFonts w:ascii="宋体"/>
          <w:color w:val="auto"/>
          <w:sz w:val="24"/>
          <w:highlight w:val="none"/>
        </w:rPr>
      </w:pPr>
      <w:r>
        <w:rPr>
          <w:rFonts w:ascii="宋体"/>
          <w:color w:val="auto"/>
          <w:sz w:val="24"/>
          <w:highlight w:val="none"/>
        </w:rPr>
        <w:t>3.7.1</w:t>
      </w:r>
      <w:r>
        <w:rPr>
          <w:rFonts w:hint="eastAsia" w:ascii="宋体"/>
          <w:color w:val="auto"/>
          <w:sz w:val="24"/>
          <w:highlight w:val="none"/>
        </w:rPr>
        <w:t>磋商小组应当根据综合评分情况，按照评审得分由高到低顺序推荐</w:t>
      </w:r>
      <w:r>
        <w:rPr>
          <w:rFonts w:ascii="宋体"/>
          <w:color w:val="auto"/>
          <w:sz w:val="24"/>
          <w:highlight w:val="none"/>
        </w:rPr>
        <w:t>3</w:t>
      </w:r>
      <w:r>
        <w:rPr>
          <w:rFonts w:hint="eastAsia" w:ascii="宋体"/>
          <w:color w:val="auto"/>
          <w:sz w:val="24"/>
          <w:highlight w:val="none"/>
        </w:rPr>
        <w:t>名以上成交候选供应商，并编写评审报告。符合本《政府采购竞争性磋商采购方式管理暂行办法》第二十一条第三款情形的，可以推荐</w:t>
      </w:r>
      <w:r>
        <w:rPr>
          <w:rFonts w:ascii="宋体"/>
          <w:color w:val="auto"/>
          <w:sz w:val="24"/>
          <w:highlight w:val="none"/>
        </w:rPr>
        <w:t>2</w:t>
      </w:r>
      <w:r>
        <w:rPr>
          <w:rFonts w:hint="eastAsia" w:ascii="宋体"/>
          <w:color w:val="auto"/>
          <w:sz w:val="24"/>
          <w:highlight w:val="none"/>
        </w:rPr>
        <w:t>家成交候选供应商。评审得分相同的，按照最后报价由低到高的顺序推荐。评审得分且最后报价相同的，按照技术指标优劣顺序推荐。</w:t>
      </w:r>
    </w:p>
    <w:p w14:paraId="5A3F502A">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color w:val="auto"/>
          <w:sz w:val="24"/>
          <w:highlight w:val="none"/>
        </w:rPr>
        <w:t xml:space="preserve">3.7.2 </w:t>
      </w:r>
      <w:r>
        <w:rPr>
          <w:rFonts w:hint="eastAsia" w:ascii="宋体"/>
          <w:color w:val="auto"/>
          <w:sz w:val="24"/>
          <w:highlight w:val="none"/>
        </w:rPr>
        <w:t>确定中标单位：按第三章“供应商须知前附表”</w:t>
      </w:r>
      <w:r>
        <w:rPr>
          <w:rFonts w:ascii="宋体"/>
          <w:color w:val="auto"/>
          <w:sz w:val="24"/>
          <w:highlight w:val="none"/>
        </w:rPr>
        <w:t>7.1</w:t>
      </w:r>
      <w:r>
        <w:rPr>
          <w:rFonts w:hint="eastAsia" w:ascii="宋体"/>
          <w:color w:val="auto"/>
          <w:sz w:val="24"/>
          <w:highlight w:val="none"/>
        </w:rPr>
        <w:t>款规定及本章第</w:t>
      </w:r>
      <w:r>
        <w:rPr>
          <w:rFonts w:ascii="宋体"/>
          <w:color w:val="auto"/>
          <w:sz w:val="24"/>
          <w:highlight w:val="none"/>
        </w:rPr>
        <w:t>1</w:t>
      </w:r>
      <w:r>
        <w:rPr>
          <w:rFonts w:hint="eastAsia" w:ascii="宋体"/>
          <w:color w:val="auto"/>
          <w:sz w:val="24"/>
          <w:highlight w:val="none"/>
        </w:rPr>
        <w:t>条规定。</w:t>
      </w:r>
    </w:p>
    <w:p w14:paraId="77CE20F3">
      <w:pPr>
        <w:autoSpaceDE w:val="0"/>
        <w:autoSpaceDN w:val="0"/>
        <w:adjustRightInd w:val="0"/>
        <w:snapToGrid w:val="0"/>
        <w:spacing w:before="120" w:beforeLines="50" w:line="300" w:lineRule="auto"/>
        <w:ind w:firstLine="569" w:firstLineChars="236"/>
        <w:jc w:val="left"/>
        <w:rPr>
          <w:rFonts w:ascii="黑体" w:hAnsi="黑体" w:eastAsia="黑体"/>
          <w:b/>
          <w:color w:val="auto"/>
          <w:sz w:val="24"/>
          <w:highlight w:val="none"/>
        </w:rPr>
      </w:pPr>
      <w:r>
        <w:rPr>
          <w:rFonts w:ascii="黑体" w:hAnsi="黑体" w:eastAsia="黑体"/>
          <w:b/>
          <w:color w:val="auto"/>
          <w:sz w:val="24"/>
          <w:highlight w:val="none"/>
        </w:rPr>
        <w:t xml:space="preserve">3.8 </w:t>
      </w:r>
      <w:r>
        <w:rPr>
          <w:rFonts w:hint="eastAsia" w:ascii="黑体" w:hAnsi="黑体" w:eastAsia="黑体"/>
          <w:b/>
          <w:color w:val="auto"/>
          <w:sz w:val="24"/>
          <w:highlight w:val="none"/>
        </w:rPr>
        <w:t>磋商终止</w:t>
      </w:r>
    </w:p>
    <w:p w14:paraId="7686443E">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.1 </w:t>
      </w:r>
      <w:r>
        <w:rPr>
          <w:rFonts w:hint="eastAsia" w:ascii="宋体" w:hAnsi="宋体"/>
          <w:color w:val="auto"/>
          <w:sz w:val="24"/>
          <w:highlight w:val="none"/>
        </w:rPr>
        <w:t>出现下列情形之一的，终止竞争性磋商活动：</w:t>
      </w:r>
    </w:p>
    <w:p w14:paraId="077AFF91">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）因情况变化，不再符合规定的竞争性磋商采购方式适用情形的；</w:t>
      </w:r>
    </w:p>
    <w:p w14:paraId="1CB719ED">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）出现影响采购公正的违法、违规行为的；</w:t>
      </w:r>
    </w:p>
    <w:p w14:paraId="15498A75">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）除《政府采购竞争性磋商采购方式管理暂行办法》第二十一条第三款规定的情形外，在采购过程中符合竞争要求的供应商或者报价未超过预算金额的供应商不足</w:t>
      </w:r>
      <w:r>
        <w:rPr>
          <w:rFonts w:ascii="宋体" w:hAnsi="宋体"/>
          <w:color w:val="auto"/>
          <w:sz w:val="24"/>
          <w:highlight w:val="none"/>
        </w:rPr>
        <w:t>3</w:t>
      </w:r>
      <w:r>
        <w:rPr>
          <w:rFonts w:hint="eastAsia" w:ascii="宋体" w:hAnsi="宋体"/>
          <w:color w:val="auto"/>
          <w:sz w:val="24"/>
          <w:highlight w:val="none"/>
        </w:rPr>
        <w:t>家的。</w:t>
      </w:r>
    </w:p>
    <w:p w14:paraId="37DB7871">
      <w:pPr>
        <w:autoSpaceDE w:val="0"/>
        <w:autoSpaceDN w:val="0"/>
        <w:adjustRightInd w:val="0"/>
        <w:snapToGrid w:val="0"/>
        <w:spacing w:line="300" w:lineRule="auto"/>
        <w:ind w:firstLine="566" w:firstLineChars="236"/>
        <w:jc w:val="left"/>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）在采购活动中因重大变故，采购任务取消的。</w:t>
      </w:r>
    </w:p>
    <w:p w14:paraId="08A1A891">
      <w:pPr>
        <w:autoSpaceDE w:val="0"/>
        <w:autoSpaceDN w:val="0"/>
        <w:adjustRightInd w:val="0"/>
        <w:snapToGrid w:val="0"/>
        <w:spacing w:before="120" w:beforeLines="50" w:line="300" w:lineRule="auto"/>
        <w:ind w:firstLine="566" w:firstLineChars="236"/>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8</w:t>
      </w:r>
      <w:r>
        <w:rPr>
          <w:rFonts w:ascii="宋体" w:hAnsi="宋体"/>
          <w:color w:val="auto"/>
          <w:sz w:val="24"/>
          <w:highlight w:val="none"/>
        </w:rPr>
        <w:t xml:space="preserve">.2 </w:t>
      </w:r>
      <w:r>
        <w:rPr>
          <w:rFonts w:hint="eastAsia" w:ascii="宋体" w:hAnsi="宋体"/>
          <w:color w:val="auto"/>
          <w:sz w:val="24"/>
          <w:highlight w:val="none"/>
        </w:rPr>
        <w:t>磋商小组要在采购项目（标段&lt;包&gt;）磋商失败时，出具《磋商文件》是否存在不合理条款的论证意见，要协助采购人、采购代理机构、财政部门答复质疑或处理投诉事项。　</w:t>
      </w:r>
    </w:p>
    <w:p w14:paraId="3CA6098B">
      <w:pPr>
        <w:widowControl w:val="0"/>
        <w:adjustRightInd w:val="0"/>
        <w:snapToGrid w:val="0"/>
        <w:spacing w:before="120" w:beforeLines="50" w:line="300" w:lineRule="auto"/>
        <w:ind w:firstLine="555"/>
        <w:rPr>
          <w:color w:val="auto"/>
          <w:sz w:val="24"/>
          <w:szCs w:val="24"/>
          <w:highlight w:val="none"/>
        </w:rPr>
      </w:pPr>
    </w:p>
    <w:p w14:paraId="77C2667E">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lang w:val="zh-CN"/>
        </w:rPr>
      </w:pPr>
      <w:bookmarkStart w:id="43" w:name="_Toc59432651"/>
      <w:bookmarkStart w:id="44" w:name="_Toc202883083"/>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43"/>
      <w:bookmarkEnd w:id="44"/>
    </w:p>
    <w:p w14:paraId="7A03D9B6">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在政府采购活动中，供应商提供的货物、工程或者服务符合下列情形的， 享受</w:t>
      </w:r>
      <w:r>
        <w:rPr>
          <w:rFonts w:hint="eastAsia" w:ascii="宋体" w:hAnsi="宋体"/>
          <w:color w:val="auto"/>
          <w:sz w:val="24"/>
          <w:highlight w:val="none"/>
        </w:rPr>
        <w:t>《政府采购促进中小企业发展管理办法》</w:t>
      </w:r>
      <w:r>
        <w:rPr>
          <w:rFonts w:ascii="宋体" w:hAnsi="宋体"/>
          <w:color w:val="auto"/>
          <w:sz w:val="24"/>
          <w:highlight w:val="none"/>
        </w:rPr>
        <w:t>规定的中小企业扶持政策：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（一） 在货物采购项目中，货物由中小企业制造，即货物由中小企业生产且使用该中小企业商号或者注册商标；</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（二） 在工程采购项目中，工程由中小企业承建，即工程施工单位为中小企业；</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（三）</w:t>
      </w:r>
      <w:r>
        <w:rPr>
          <w:rFonts w:hint="eastAsia" w:ascii="宋体" w:hAnsi="宋体"/>
          <w:color w:val="auto"/>
          <w:sz w:val="24"/>
          <w:highlight w:val="none"/>
        </w:rPr>
        <w:t xml:space="preserve"> </w:t>
      </w:r>
      <w:r>
        <w:rPr>
          <w:rFonts w:ascii="宋体" w:hAnsi="宋体"/>
          <w:color w:val="auto"/>
          <w:sz w:val="24"/>
          <w:highlight w:val="none"/>
        </w:rPr>
        <w:t>在服务采购项目中，服务由中小企业承接，即提供服务的人员为中小企业依照《中华人民共和国劳动合同法》订立劳动合同的从业人员</w:t>
      </w:r>
      <w:r>
        <w:rPr>
          <w:rFonts w:hint="eastAsia" w:ascii="宋体" w:hAnsi="宋体"/>
          <w:color w:val="auto"/>
          <w:sz w:val="24"/>
          <w:highlight w:val="none"/>
        </w:rPr>
        <w:t>。</w:t>
      </w:r>
    </w:p>
    <w:p w14:paraId="3BA8EBBB">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ascii="宋体" w:hAnsi="宋体"/>
          <w:color w:val="auto"/>
          <w:sz w:val="24"/>
          <w:highlight w:val="none"/>
        </w:rPr>
        <w:t>在货物采购项目中，供应商提供的货物既有中小企业制造货物，也有大型企业制造货物的，不享受中小企业扶持政策。</w:t>
      </w:r>
      <w:r>
        <w:rPr>
          <w:rFonts w:ascii="宋体" w:hAnsi="宋体"/>
          <w:color w:val="auto"/>
          <w:sz w:val="24"/>
          <w:highlight w:val="none"/>
        </w:rPr>
        <w:br w:type="textWrapping"/>
      </w:r>
      <w:r>
        <w:rPr>
          <w:rFonts w:hint="eastAsia" w:ascii="宋体" w:hAnsi="宋体"/>
          <w:color w:val="auto"/>
          <w:sz w:val="24"/>
          <w:highlight w:val="none"/>
        </w:rPr>
        <w:t xml:space="preserve">    </w:t>
      </w:r>
      <w:r>
        <w:rPr>
          <w:rFonts w:ascii="宋体" w:hAnsi="宋体"/>
          <w:color w:val="auto"/>
          <w:sz w:val="24"/>
          <w:highlight w:val="none"/>
        </w:rPr>
        <w:t>以联合体形式参加政府采购活动，联合体各方均为中小企业的，联合体视同中小企业。其中，联合体各方均为小微企业的，联合体视同小微企业。</w:t>
      </w:r>
    </w:p>
    <w:p w14:paraId="2C647DF2">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4.2 符合中小企业划分标准的个体工商户，在政府采购活动中视同中小企业。</w:t>
      </w:r>
    </w:p>
    <w:p w14:paraId="775E1DDC">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4.</w:t>
      </w:r>
      <w:r>
        <w:rPr>
          <w:rFonts w:hint="eastAsia" w:ascii="宋体" w:hAnsi="宋体" w:cs="楷体_GB2312"/>
          <w:color w:val="auto"/>
          <w:sz w:val="24"/>
          <w:highlight w:val="none"/>
          <w:lang w:val="zh-CN"/>
        </w:rPr>
        <w:t>3</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监狱企业、符合法</w:t>
      </w:r>
      <w:r>
        <w:rPr>
          <w:rFonts w:ascii="宋体" w:hAnsi="宋体" w:cs="楷体_GB2312"/>
          <w:color w:val="auto"/>
          <w:sz w:val="24"/>
          <w:highlight w:val="none"/>
          <w:lang w:val="zh-CN"/>
        </w:rPr>
        <w:t>定</w:t>
      </w:r>
      <w:r>
        <w:rPr>
          <w:rFonts w:hint="eastAsia" w:ascii="宋体" w:hAnsi="宋体" w:cs="楷体_GB2312"/>
          <w:color w:val="auto"/>
          <w:sz w:val="24"/>
          <w:highlight w:val="none"/>
          <w:lang w:val="zh-CN"/>
        </w:rPr>
        <w:t>条件的残疾人福利性单位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符合法定条件的残疾人福利性单位提供财库〔2017〕141号规定的《残疾人福利性单位声明函》，残疾人福利性单位属于小型、微型企业的，不重复享受政策。</w:t>
      </w:r>
    </w:p>
    <w:p w14:paraId="11C036A3">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ascii="宋体" w:hAnsi="宋体" w:cs="楷体_GB2312"/>
          <w:color w:val="auto"/>
          <w:sz w:val="24"/>
          <w:highlight w:val="none"/>
          <w:lang w:val="zh-CN"/>
        </w:rPr>
        <w:t>4.</w:t>
      </w:r>
      <w:r>
        <w:rPr>
          <w:rFonts w:hint="eastAsia" w:ascii="宋体" w:hAnsi="宋体" w:cs="楷体_GB2312"/>
          <w:color w:val="auto"/>
          <w:sz w:val="24"/>
          <w:highlight w:val="none"/>
          <w:lang w:val="zh-CN"/>
        </w:rPr>
        <w:t>3</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 xml:space="preserve"> 享受政府采购支持政策的残疾人福利性单位应当同时满足以下条件：</w:t>
      </w:r>
    </w:p>
    <w:p w14:paraId="2CDEF05C">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（1）安置的残疾人占本单位在职职工人数的比例不低于25%（含25%），并且安置的残疾人人数不少于10人（含10人）；</w:t>
      </w:r>
    </w:p>
    <w:p w14:paraId="1C8E46C1">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（2）依法与安置的每位残疾人签订了一年以上（含一年）的劳动合同或服务协议；</w:t>
      </w:r>
    </w:p>
    <w:p w14:paraId="28DA163C">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（3）为安置的每位残疾人按月足额缴纳了基本养老保险、基本医疗保险、失业保险、工伤保险和生育保险等社会保险费；</w:t>
      </w:r>
    </w:p>
    <w:p w14:paraId="1A100579">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（4）通过银行等金融机构向安置的每位残疾人，按月支付了不低于单位所在区县适用的经省级人民政府批准的月最低工资标准的工资；</w:t>
      </w:r>
    </w:p>
    <w:p w14:paraId="6A11934B">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（5）提供本单位制造的货物、承担的工程或者服务（以下简称产品），或者提供其他残疾人福利性单位制造的货物（不包括使用非残疾人福利性单位注册商标的货物）。</w:t>
      </w:r>
    </w:p>
    <w:p w14:paraId="55E17093">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969746B">
      <w:pPr>
        <w:autoSpaceDE w:val="0"/>
        <w:autoSpaceDN w:val="0"/>
        <w:adjustRightInd w:val="0"/>
        <w:snapToGrid w:val="0"/>
        <w:spacing w:before="120" w:beforeLines="50" w:line="300" w:lineRule="auto"/>
        <w:ind w:firstLine="539"/>
        <w:rPr>
          <w:rFonts w:ascii="宋体" w:hAnsi="宋体"/>
          <w:color w:val="auto"/>
          <w:sz w:val="24"/>
          <w:szCs w:val="22"/>
          <w:highlight w:val="none"/>
        </w:rPr>
      </w:pPr>
      <w:r>
        <w:rPr>
          <w:rFonts w:hint="eastAsia" w:ascii="宋体" w:hAnsi="宋体"/>
          <w:color w:val="auto"/>
          <w:sz w:val="24"/>
          <w:highlight w:val="none"/>
        </w:rPr>
        <w:t xml:space="preserve">4.4 </w:t>
      </w:r>
      <w:r>
        <w:rPr>
          <w:rFonts w:hint="eastAsia"/>
          <w:color w:val="auto"/>
          <w:sz w:val="24"/>
          <w:szCs w:val="24"/>
          <w:highlight w:val="none"/>
        </w:rPr>
        <w:t>参加</w:t>
      </w:r>
      <w:r>
        <w:rPr>
          <w:rFonts w:hint="eastAsia" w:ascii="宋体" w:hAnsi="宋体"/>
          <w:color w:val="auto"/>
          <w:sz w:val="24"/>
          <w:highlight w:val="none"/>
        </w:rPr>
        <w:t>本次政府采购项目的中小企业应按附件格式提供《中小企业声明函》。</w:t>
      </w:r>
      <w:r>
        <w:rPr>
          <w:rFonts w:hint="eastAsia" w:ascii="宋体" w:hAnsi="宋体" w:cs="宋体"/>
          <w:color w:val="auto"/>
          <w:sz w:val="24"/>
          <w:szCs w:val="24"/>
          <w:highlight w:val="none"/>
        </w:rPr>
        <w:t>如磋商文件接受以联合体形式参加投标的，联合体各方均应按附件格式提供《中小企业声明函》。</w:t>
      </w:r>
    </w:p>
    <w:p w14:paraId="75708EAE">
      <w:pPr>
        <w:autoSpaceDE w:val="0"/>
        <w:autoSpaceDN w:val="0"/>
        <w:adjustRightInd w:val="0"/>
        <w:snapToGrid w:val="0"/>
        <w:spacing w:before="120" w:beforeLines="50"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供应商按照财库〔2020〕46号规定及磋商文件要求提供声明函内容不实的，属于提供虚假材料谋取中标、成交，依照《中华人民共和国政府采购法》等国家有关规定追究相应责任。</w:t>
      </w:r>
    </w:p>
    <w:p w14:paraId="5659BF9C">
      <w:pPr>
        <w:autoSpaceDE w:val="0"/>
        <w:autoSpaceDN w:val="0"/>
        <w:adjustRightInd w:val="0"/>
        <w:snapToGrid w:val="0"/>
        <w:spacing w:before="120" w:beforeLines="50" w:line="300" w:lineRule="auto"/>
        <w:ind w:firstLine="600" w:firstLineChars="250"/>
        <w:jc w:val="left"/>
        <w:rPr>
          <w:rFonts w:ascii="宋体" w:hAnsi="宋体"/>
          <w:color w:val="auto"/>
          <w:sz w:val="24"/>
          <w:highlight w:val="none"/>
        </w:rPr>
      </w:pPr>
      <w:r>
        <w:rPr>
          <w:rFonts w:hint="eastAsia" w:ascii="宋体" w:hAnsi="宋体"/>
          <w:color w:val="auto"/>
          <w:sz w:val="24"/>
          <w:highlight w:val="none"/>
        </w:rPr>
        <w:t>4.5 《政府采购促进中小企业发展管理办法》各项中小企业扶持政策中，价格扣除扶持政策仅小型、微型企业适用。</w:t>
      </w:r>
    </w:p>
    <w:p w14:paraId="7D0A9C44">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4.6 小微企业价格扣除扶持政策：</w:t>
      </w:r>
    </w:p>
    <w:p w14:paraId="23301416">
      <w:pPr>
        <w:adjustRightInd w:val="0"/>
        <w:snapToGrid w:val="0"/>
        <w:spacing w:before="120" w:beforeLines="50" w:line="30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4.6.1本次政府采购项目对符合《政府采购促进中小企业发展管理办法》小型和微型企业的报价给予20%的扣除，用扣除后的价格参与评审。</w:t>
      </w:r>
    </w:p>
    <w:p w14:paraId="74A2AF58">
      <w:pPr>
        <w:adjustRightInd w:val="0"/>
        <w:snapToGrid w:val="0"/>
        <w:spacing w:before="120" w:beforeLines="50" w:line="300" w:lineRule="auto"/>
        <w:ind w:firstLine="600" w:firstLineChars="250"/>
        <w:rPr>
          <w:rFonts w:ascii="宋体" w:hAnsi="宋体"/>
          <w:color w:val="auto"/>
          <w:sz w:val="24"/>
          <w:highlight w:val="none"/>
        </w:rPr>
      </w:pPr>
      <w:r>
        <w:rPr>
          <w:rFonts w:hint="eastAsia" w:ascii="宋体" w:hAnsi="宋体"/>
          <w:color w:val="auto"/>
          <w:sz w:val="24"/>
          <w:szCs w:val="24"/>
          <w:highlight w:val="none"/>
        </w:rPr>
        <w:t>4.6.2</w:t>
      </w:r>
      <w:r>
        <w:rPr>
          <w:rFonts w:hint="eastAsia" w:ascii="宋体" w:hAnsi="宋体"/>
          <w:color w:val="auto"/>
          <w:sz w:val="24"/>
          <w:highlight w:val="none"/>
        </w:rPr>
        <w:t>如磋商文件接受大中型企业与小微企业组成联合体或者允许大中型企业向一家或者多家小微企业分包时，联合协议或分包意向协议约定小微型企业的合同份额占到合同总金额30%以上的，给予联合体或大中型企业6%的价格扣除，用扣除后的价格参加评审。</w:t>
      </w:r>
    </w:p>
    <w:p w14:paraId="74CBC4A8">
      <w:pPr>
        <w:adjustRightInd w:val="0"/>
        <w:snapToGrid w:val="0"/>
        <w:spacing w:before="120" w:beforeLines="50" w:line="300" w:lineRule="auto"/>
        <w:ind w:firstLine="600" w:firstLineChars="250"/>
        <w:rPr>
          <w:rFonts w:ascii="宋体" w:hAnsi="宋体"/>
          <w:color w:val="auto"/>
          <w:sz w:val="24"/>
          <w:highlight w:val="none"/>
        </w:rPr>
      </w:pPr>
      <w:r>
        <w:rPr>
          <w:rFonts w:hint="eastAsia" w:ascii="宋体" w:hAnsi="宋体"/>
          <w:color w:val="auto"/>
          <w:sz w:val="24"/>
          <w:highlight w:val="none"/>
        </w:rPr>
        <w:t>组成联合体或者接受分包合同的中小企业与联合体内其他企业、分包企业之间不得存在直接控股、管理关系。</w:t>
      </w:r>
    </w:p>
    <w:p w14:paraId="5C406CF1">
      <w:pPr>
        <w:adjustRightInd w:val="0"/>
        <w:snapToGrid w:val="0"/>
        <w:spacing w:before="120" w:beforeLines="50" w:line="30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4.6.3价格扣除比例或者价格分加分比例对小型企业和微型企业同等对待，不作区分。</w:t>
      </w:r>
    </w:p>
    <w:p w14:paraId="02D9EDD4">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olor w:val="auto"/>
          <w:sz w:val="24"/>
          <w:highlight w:val="none"/>
        </w:rPr>
        <w:t xml:space="preserve">4.7 </w:t>
      </w:r>
      <w:r>
        <w:rPr>
          <w:rFonts w:hint="eastAsia" w:ascii="宋体" w:hAnsi="宋体" w:cs="楷体_GB2312"/>
          <w:color w:val="auto"/>
          <w:sz w:val="24"/>
          <w:highlight w:val="none"/>
          <w:lang w:val="zh-CN"/>
        </w:rPr>
        <w:t>磋商小组对供应商申报的小型和微型企业价格扣除事项进行评审。鉴于小微企业价格扣除政策与合同执行价格无关，为避免供应商申报价格扣除事项的随意性，故特别规定：</w:t>
      </w:r>
    </w:p>
    <w:p w14:paraId="35157316">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w:t>
      </w:r>
      <w:r>
        <w:rPr>
          <w:rFonts w:hint="eastAsia" w:ascii="宋体" w:hAnsi="宋体" w:cs="楷体_GB2312"/>
          <w:color w:val="auto"/>
          <w:sz w:val="24"/>
          <w:highlight w:val="none"/>
          <w:lang w:val="zh-CN"/>
        </w:rPr>
        <w:t>）磋商小组对供应商申报的小型和微型企业价格扣除事项的评审结论，分为合格与不合格。</w:t>
      </w:r>
    </w:p>
    <w:p w14:paraId="163E6951">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经评审，申报的小微价格扣除事项缺失中小企业声明函、联合协议或分包意向协议不符合中小企业价格扣除规定等任一不符合政策要求及不准确的事项，磋商小组均将评审为不合格，该供应商申报的价格扣除事项不予接受、为</w:t>
      </w:r>
      <w:r>
        <w:rPr>
          <w:rFonts w:ascii="宋体" w:hAnsi="宋体"/>
          <w:color w:val="auto"/>
          <w:sz w:val="24"/>
          <w:highlight w:val="none"/>
        </w:rPr>
        <w:t>0</w:t>
      </w:r>
      <w:r>
        <w:rPr>
          <w:rFonts w:hint="eastAsia" w:ascii="宋体" w:hAnsi="宋体"/>
          <w:color w:val="auto"/>
          <w:sz w:val="24"/>
          <w:highlight w:val="none"/>
        </w:rPr>
        <w:t>。</w:t>
      </w:r>
    </w:p>
    <w:p w14:paraId="30B6A6D3">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提供虚假材料的为无效投标、并承担相应的法律责任。</w:t>
      </w:r>
    </w:p>
    <w:p w14:paraId="5C8F8584">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）评审合格的，接受其申报的小型和微型企业价格扣除（最后报价的价格扣除），用扣除后的价格参与评审。</w:t>
      </w:r>
    </w:p>
    <w:p w14:paraId="71ABEFD7">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（4）评审不合格的，不接受其小微企业价格扣除，但将不作为无效投标。</w:t>
      </w:r>
    </w:p>
    <w:p w14:paraId="605FF6AF">
      <w:pPr>
        <w:autoSpaceDE w:val="0"/>
        <w:autoSpaceDN w:val="0"/>
        <w:adjustRightInd w:val="0"/>
        <w:snapToGrid w:val="0"/>
        <w:spacing w:before="120" w:beforeLines="50" w:line="300" w:lineRule="auto"/>
        <w:ind w:firstLine="539"/>
        <w:rPr>
          <w:rFonts w:ascii="宋体" w:hAnsi="宋体" w:cs="楷体_GB2312"/>
          <w:color w:val="auto"/>
          <w:sz w:val="24"/>
          <w:highlight w:val="none"/>
          <w:lang w:val="zh-CN"/>
        </w:rPr>
      </w:pPr>
      <w:r>
        <w:rPr>
          <w:rFonts w:hint="eastAsia" w:ascii="宋体" w:hAnsi="宋体" w:cs="楷体_GB2312"/>
          <w:color w:val="auto"/>
          <w:sz w:val="24"/>
          <w:highlight w:val="none"/>
          <w:lang w:val="zh-CN"/>
        </w:rPr>
        <w:t>注：小微企业价格扣除，仅作为价格评审的依据，并不影响合同执行价格，合同执行价格为成交供应商的最后报价。</w:t>
      </w:r>
    </w:p>
    <w:p w14:paraId="6E4280AC">
      <w:pPr>
        <w:adjustRightInd w:val="0"/>
        <w:snapToGrid w:val="0"/>
        <w:spacing w:before="120" w:beforeLines="50" w:line="300" w:lineRule="auto"/>
        <w:ind w:firstLine="555"/>
        <w:rPr>
          <w:color w:val="auto"/>
          <w:sz w:val="24"/>
          <w:szCs w:val="24"/>
          <w:highlight w:val="none"/>
        </w:rPr>
      </w:pPr>
      <w:r>
        <w:rPr>
          <w:rFonts w:hint="eastAsia"/>
          <w:color w:val="auto"/>
          <w:sz w:val="24"/>
          <w:szCs w:val="24"/>
          <w:highlight w:val="none"/>
        </w:rPr>
        <w:t>4.8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14:paraId="68F55A8E">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4.9</w:t>
      </w:r>
      <w:r>
        <w:rPr>
          <w:rFonts w:ascii="宋体" w:hAnsi="宋体"/>
          <w:color w:val="auto"/>
          <w:sz w:val="24"/>
          <w:highlight w:val="none"/>
        </w:rPr>
        <w:t xml:space="preserve"> </w:t>
      </w:r>
      <w:r>
        <w:rPr>
          <w:rFonts w:hint="eastAsia" w:ascii="宋体" w:hAnsi="宋体"/>
          <w:color w:val="auto"/>
          <w:sz w:val="24"/>
          <w:highlight w:val="none"/>
        </w:rPr>
        <w:t>中标、成交供应商享受中小企业扶持政策的，中标、成交供应商的《中小企业声明函》将随中标、成交结果公开。</w:t>
      </w:r>
    </w:p>
    <w:p w14:paraId="615F2B50">
      <w:pPr>
        <w:autoSpaceDE w:val="0"/>
        <w:autoSpaceDN w:val="0"/>
        <w:adjustRightInd w:val="0"/>
        <w:snapToGrid w:val="0"/>
        <w:spacing w:before="120" w:beforeLines="50" w:line="300" w:lineRule="auto"/>
        <w:ind w:firstLine="566" w:firstLineChars="236"/>
        <w:jc w:val="left"/>
        <w:rPr>
          <w:rFonts w:ascii="宋体" w:hAnsi="宋体"/>
          <w:color w:val="auto"/>
          <w:sz w:val="24"/>
          <w:highlight w:val="none"/>
        </w:rPr>
      </w:pPr>
      <w:r>
        <w:rPr>
          <w:rFonts w:hint="eastAsia" w:ascii="宋体" w:hAnsi="宋体"/>
          <w:color w:val="auto"/>
          <w:sz w:val="24"/>
          <w:highlight w:val="none"/>
        </w:rPr>
        <w:t>4.10</w:t>
      </w:r>
      <w:r>
        <w:rPr>
          <w:rFonts w:ascii="宋体" w:hAnsi="宋体"/>
          <w:color w:val="auto"/>
          <w:sz w:val="24"/>
          <w:highlight w:val="none"/>
        </w:rPr>
        <w:t xml:space="preserve"> </w:t>
      </w:r>
      <w:r>
        <w:rPr>
          <w:rFonts w:hint="eastAsia" w:ascii="宋体" w:hAnsi="宋体"/>
          <w:color w:val="auto"/>
          <w:sz w:val="24"/>
          <w:highlight w:val="none"/>
        </w:rPr>
        <w:t>依法享受扶持政策获得政府采购合同的，小微企业不得将合同分包给大中型企业，中型企业不得将合同分包给大型企业。</w:t>
      </w:r>
    </w:p>
    <w:p w14:paraId="13575F3C">
      <w:pPr>
        <w:adjustRightInd w:val="0"/>
        <w:snapToGrid w:val="0"/>
        <w:spacing w:before="120" w:beforeLines="50" w:line="300" w:lineRule="auto"/>
        <w:ind w:firstLine="555"/>
        <w:rPr>
          <w:color w:val="auto"/>
          <w:sz w:val="24"/>
          <w:szCs w:val="24"/>
          <w:highlight w:val="none"/>
        </w:rPr>
      </w:pPr>
      <w:r>
        <w:rPr>
          <w:rFonts w:hint="eastAsia"/>
          <w:color w:val="auto"/>
          <w:sz w:val="24"/>
          <w:szCs w:val="24"/>
          <w:highlight w:val="none"/>
        </w:rPr>
        <w:t>4.11政府采购监督检查、投诉处理及政府采购行政处罚中对中小企业的认定，由货物制造商或者工程、服务供应商注册登记所在地的县级以上人民政府中小企业主管部门负责。</w:t>
      </w:r>
    </w:p>
    <w:p w14:paraId="78111465">
      <w:pPr>
        <w:autoSpaceDE w:val="0"/>
        <w:autoSpaceDN w:val="0"/>
        <w:adjustRightInd w:val="0"/>
        <w:snapToGrid w:val="0"/>
        <w:spacing w:before="120" w:beforeLines="50" w:line="300" w:lineRule="auto"/>
        <w:ind w:firstLine="539"/>
        <w:outlineLvl w:val="1"/>
        <w:rPr>
          <w:rFonts w:ascii="黑体" w:hAnsi="黑体" w:eastAsia="黑体" w:cs="楷体_GB2312"/>
          <w:b/>
          <w:bCs/>
          <w:color w:val="auto"/>
          <w:sz w:val="28"/>
          <w:szCs w:val="28"/>
          <w:highlight w:val="none"/>
        </w:rPr>
      </w:pPr>
    </w:p>
    <w:p w14:paraId="5D13CF92">
      <w:pPr>
        <w:widowControl w:val="0"/>
        <w:adjustRightInd w:val="0"/>
        <w:snapToGrid w:val="0"/>
        <w:spacing w:before="120" w:beforeLines="50" w:line="300" w:lineRule="auto"/>
        <w:ind w:firstLine="555"/>
        <w:rPr>
          <w:rFonts w:ascii="宋体" w:hAnsi="宋体" w:cs="宋体"/>
          <w:color w:val="auto"/>
          <w:sz w:val="24"/>
          <w:szCs w:val="24"/>
          <w:highlight w:val="none"/>
        </w:rPr>
      </w:pPr>
      <w:r>
        <w:rPr>
          <w:rFonts w:ascii="宋体" w:hAnsi="宋体" w:cs="宋体"/>
          <w:color w:val="auto"/>
          <w:sz w:val="24"/>
          <w:szCs w:val="24"/>
          <w:highlight w:val="none"/>
        </w:rPr>
        <w:br w:type="page"/>
      </w:r>
    </w:p>
    <w:p w14:paraId="329768D4">
      <w:pPr>
        <w:widowControl w:val="0"/>
        <w:snapToGrid w:val="0"/>
        <w:spacing w:line="657" w:lineRule="atLeast"/>
        <w:jc w:val="center"/>
        <w:outlineLvl w:val="0"/>
        <w:rPr>
          <w:rFonts w:ascii="黑体" w:eastAsia="黑体"/>
          <w:b/>
          <w:color w:val="auto"/>
          <w:sz w:val="36"/>
          <w:szCs w:val="36"/>
          <w:highlight w:val="none"/>
        </w:rPr>
      </w:pPr>
      <w:bookmarkStart w:id="45" w:name="_Toc202883084"/>
      <w:r>
        <w:rPr>
          <w:rFonts w:hint="eastAsia" w:ascii="黑体" w:eastAsia="黑体"/>
          <w:b/>
          <w:color w:val="auto"/>
          <w:sz w:val="36"/>
          <w:szCs w:val="36"/>
          <w:highlight w:val="none"/>
        </w:rPr>
        <w:t>第五章</w:t>
      </w:r>
      <w:r>
        <w:rPr>
          <w:rFonts w:ascii="黑体" w:eastAsia="黑体"/>
          <w:b/>
          <w:color w:val="auto"/>
          <w:sz w:val="36"/>
          <w:szCs w:val="36"/>
          <w:highlight w:val="none"/>
        </w:rPr>
        <w:t xml:space="preserve">  </w:t>
      </w:r>
      <w:r>
        <w:rPr>
          <w:rFonts w:hint="eastAsia" w:ascii="黑体" w:eastAsia="黑体"/>
          <w:b/>
          <w:color w:val="auto"/>
          <w:sz w:val="36"/>
          <w:szCs w:val="36"/>
          <w:highlight w:val="none"/>
        </w:rPr>
        <w:t>合同主要条款</w:t>
      </w:r>
      <w:bookmarkEnd w:id="45"/>
    </w:p>
    <w:p w14:paraId="41D8628F">
      <w:pPr>
        <w:widowControl w:val="0"/>
        <w:snapToGrid w:val="0"/>
        <w:spacing w:line="657" w:lineRule="atLeast"/>
        <w:jc w:val="center"/>
        <w:rPr>
          <w:rFonts w:ascii="黑体" w:eastAsia="黑体"/>
          <w:b/>
          <w:color w:val="auto"/>
          <w:spacing w:val="20"/>
          <w:sz w:val="36"/>
          <w:szCs w:val="36"/>
          <w:highlight w:val="none"/>
        </w:rPr>
      </w:pPr>
    </w:p>
    <w:p w14:paraId="450966BF">
      <w:pPr>
        <w:widowControl w:val="0"/>
        <w:snapToGrid w:val="0"/>
        <w:spacing w:line="657" w:lineRule="atLeast"/>
        <w:jc w:val="center"/>
        <w:rPr>
          <w:rFonts w:ascii="黑体" w:eastAsia="黑体"/>
          <w:b/>
          <w:color w:val="auto"/>
          <w:spacing w:val="20"/>
          <w:sz w:val="36"/>
          <w:szCs w:val="36"/>
          <w:highlight w:val="none"/>
        </w:rPr>
      </w:pPr>
      <w:r>
        <w:rPr>
          <w:rFonts w:hint="eastAsia" w:ascii="黑体" w:eastAsia="黑体"/>
          <w:b/>
          <w:color w:val="auto"/>
          <w:spacing w:val="20"/>
          <w:sz w:val="36"/>
          <w:szCs w:val="36"/>
          <w:highlight w:val="none"/>
        </w:rPr>
        <w:t>服</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务</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合</w:t>
      </w:r>
      <w:r>
        <w:rPr>
          <w:rFonts w:ascii="黑体" w:eastAsia="黑体"/>
          <w:b/>
          <w:color w:val="auto"/>
          <w:spacing w:val="20"/>
          <w:sz w:val="36"/>
          <w:szCs w:val="36"/>
          <w:highlight w:val="none"/>
        </w:rPr>
        <w:t xml:space="preserve"> </w:t>
      </w:r>
      <w:r>
        <w:rPr>
          <w:rFonts w:hint="eastAsia" w:ascii="黑体" w:eastAsia="黑体"/>
          <w:b/>
          <w:color w:val="auto"/>
          <w:spacing w:val="20"/>
          <w:sz w:val="36"/>
          <w:szCs w:val="36"/>
          <w:highlight w:val="none"/>
        </w:rPr>
        <w:t>同</w:t>
      </w:r>
    </w:p>
    <w:p w14:paraId="56E390CF">
      <w:pPr>
        <w:widowControl w:val="0"/>
        <w:snapToGrid w:val="0"/>
        <w:spacing w:before="56" w:after="56" w:line="360" w:lineRule="auto"/>
        <w:ind w:right="85"/>
        <w:jc w:val="left"/>
        <w:textAlignment w:val="top"/>
        <w:rPr>
          <w:color w:val="auto"/>
          <w:sz w:val="24"/>
          <w:szCs w:val="24"/>
          <w:highlight w:val="none"/>
        </w:rPr>
      </w:pPr>
      <w:r>
        <w:rPr>
          <w:rFonts w:hint="eastAsia"/>
          <w:color w:val="auto"/>
          <w:sz w:val="24"/>
          <w:szCs w:val="24"/>
          <w:highlight w:val="none"/>
        </w:rPr>
        <w:t>合同编号：</w:t>
      </w:r>
    </w:p>
    <w:p w14:paraId="0D36C05F">
      <w:pPr>
        <w:widowControl w:val="0"/>
        <w:snapToGrid w:val="0"/>
        <w:spacing w:before="56" w:after="56" w:line="360" w:lineRule="auto"/>
        <w:ind w:right="85"/>
        <w:jc w:val="left"/>
        <w:textAlignment w:val="top"/>
        <w:rPr>
          <w:color w:val="auto"/>
          <w:sz w:val="24"/>
          <w:szCs w:val="24"/>
          <w:highlight w:val="none"/>
        </w:rPr>
      </w:pPr>
      <w:r>
        <w:rPr>
          <w:rFonts w:hint="eastAsia"/>
          <w:color w:val="auto"/>
          <w:sz w:val="24"/>
          <w:szCs w:val="24"/>
          <w:highlight w:val="none"/>
        </w:rPr>
        <w:t>甲方：（采购人）</w:t>
      </w:r>
    </w:p>
    <w:p w14:paraId="0D77103B">
      <w:pPr>
        <w:widowControl w:val="0"/>
        <w:snapToGrid w:val="0"/>
        <w:spacing w:before="56" w:after="56" w:line="360" w:lineRule="auto"/>
        <w:ind w:right="85"/>
        <w:jc w:val="left"/>
        <w:textAlignment w:val="top"/>
        <w:rPr>
          <w:color w:val="auto"/>
          <w:sz w:val="24"/>
          <w:szCs w:val="24"/>
          <w:highlight w:val="none"/>
        </w:rPr>
      </w:pPr>
      <w:r>
        <w:rPr>
          <w:rFonts w:hint="eastAsia"/>
          <w:color w:val="auto"/>
          <w:sz w:val="24"/>
          <w:szCs w:val="24"/>
          <w:highlight w:val="none"/>
        </w:rPr>
        <w:t>乙方：（供应商）</w:t>
      </w:r>
    </w:p>
    <w:p w14:paraId="6082EA50">
      <w:pPr>
        <w:widowControl w:val="0"/>
        <w:snapToGrid w:val="0"/>
        <w:spacing w:line="360" w:lineRule="auto"/>
        <w:ind w:right="85" w:firstLine="460" w:firstLineChars="192"/>
        <w:rPr>
          <w:color w:val="auto"/>
          <w:spacing w:val="20"/>
          <w:sz w:val="24"/>
          <w:szCs w:val="24"/>
          <w:highlight w:val="none"/>
        </w:rPr>
      </w:pPr>
      <w:r>
        <w:rPr>
          <w:rFonts w:hint="eastAsia"/>
          <w:color w:val="auto"/>
          <w:sz w:val="24"/>
          <w:szCs w:val="24"/>
          <w:highlight w:val="none"/>
        </w:rPr>
        <w:t>甲、乙双方持</w:t>
      </w:r>
      <w:r>
        <w:rPr>
          <w:rFonts w:hint="eastAsia"/>
          <w:color w:val="auto"/>
          <w:sz w:val="24"/>
          <w:szCs w:val="24"/>
          <w:highlight w:val="none"/>
          <w:lang w:eastAsia="zh-CN"/>
        </w:rPr>
        <w:t>安阳</w:t>
      </w:r>
      <w:r>
        <w:rPr>
          <w:rFonts w:hint="eastAsia"/>
          <w:color w:val="auto"/>
          <w:sz w:val="24"/>
          <w:szCs w:val="24"/>
          <w:highlight w:val="none"/>
        </w:rPr>
        <w:t>市方正招标采购服务有限责任公司</w:t>
      </w:r>
      <w:r>
        <w:rPr>
          <w:color w:val="auto"/>
          <w:sz w:val="24"/>
          <w:szCs w:val="24"/>
          <w:highlight w:val="none"/>
        </w:rPr>
        <w:t>20</w:t>
      </w:r>
      <w:r>
        <w:rPr>
          <w:rFonts w:hint="eastAsia"/>
          <w:color w:val="auto"/>
          <w:sz w:val="24"/>
          <w:szCs w:val="24"/>
          <w:highlight w:val="none"/>
        </w:rPr>
        <w:t>25年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日签发的</w:t>
      </w:r>
      <w:r>
        <w:rPr>
          <w:rFonts w:hint="eastAsia"/>
          <w:color w:val="auto"/>
          <w:sz w:val="24"/>
          <w:szCs w:val="24"/>
          <w:highlight w:val="none"/>
          <w:u w:val="single"/>
        </w:rPr>
        <w:t>（采购人及项目名称）</w:t>
      </w:r>
      <w:r>
        <w:rPr>
          <w:rFonts w:hint="eastAsia"/>
          <w:color w:val="auto"/>
          <w:sz w:val="24"/>
          <w:szCs w:val="24"/>
          <w:highlight w:val="none"/>
        </w:rPr>
        <w:t>〔项目编号：</w:t>
      </w:r>
      <w:r>
        <w:rPr>
          <w:color w:val="auto"/>
          <w:sz w:val="24"/>
          <w:szCs w:val="24"/>
          <w:highlight w:val="none"/>
        </w:rPr>
        <w:t xml:space="preserve">      </w:t>
      </w:r>
      <w:r>
        <w:rPr>
          <w:rFonts w:hint="eastAsia"/>
          <w:color w:val="auto"/>
          <w:sz w:val="24"/>
          <w:szCs w:val="24"/>
          <w:highlight w:val="none"/>
        </w:rPr>
        <w:t>〕成交通知书，根据采购文件</w:t>
      </w:r>
      <w:r>
        <w:rPr>
          <w:rFonts w:hint="eastAsia"/>
          <w:color w:val="auto"/>
          <w:spacing w:val="20"/>
          <w:sz w:val="24"/>
          <w:szCs w:val="24"/>
          <w:highlight w:val="none"/>
        </w:rPr>
        <w:t>及其修改补充澄清、投标文件及其修改补充澄清的内容，经双方平等协商一致，达成以下合同条款：</w:t>
      </w:r>
    </w:p>
    <w:p w14:paraId="0E9F5D68">
      <w:pPr>
        <w:widowControl w:val="0"/>
        <w:snapToGrid w:val="0"/>
        <w:spacing w:line="360" w:lineRule="auto"/>
        <w:ind w:right="85" w:firstLine="460" w:firstLineChars="192"/>
        <w:rPr>
          <w:color w:val="auto"/>
          <w:sz w:val="24"/>
          <w:szCs w:val="24"/>
          <w:highlight w:val="none"/>
        </w:rPr>
      </w:pPr>
      <w:r>
        <w:rPr>
          <w:rFonts w:hint="eastAsia"/>
          <w:color w:val="auto"/>
          <w:sz w:val="24"/>
          <w:szCs w:val="24"/>
          <w:highlight w:val="none"/>
        </w:rPr>
        <w:t>一、本合同所指服务为此次竞争性磋商的服务，包括</w:t>
      </w:r>
      <w:r>
        <w:rPr>
          <w:rFonts w:hint="eastAsia"/>
          <w:color w:val="auto"/>
          <w:sz w:val="24"/>
          <w:szCs w:val="24"/>
          <w:highlight w:val="none"/>
          <w:u w:val="single"/>
        </w:rPr>
        <w:t>（详细注明内容）</w:t>
      </w:r>
      <w:r>
        <w:rPr>
          <w:rFonts w:hint="eastAsia"/>
          <w:color w:val="auto"/>
          <w:sz w:val="24"/>
          <w:szCs w:val="24"/>
          <w:highlight w:val="none"/>
        </w:rPr>
        <w:t>，合同总价款为元（大写：</w:t>
      </w:r>
      <w:r>
        <w:rPr>
          <w:color w:val="auto"/>
          <w:sz w:val="24"/>
          <w:szCs w:val="24"/>
          <w:highlight w:val="none"/>
        </w:rPr>
        <w:t xml:space="preserve">                 </w:t>
      </w:r>
      <w:r>
        <w:rPr>
          <w:rFonts w:hint="eastAsia"/>
          <w:color w:val="auto"/>
          <w:sz w:val="24"/>
          <w:szCs w:val="24"/>
          <w:highlight w:val="none"/>
        </w:rPr>
        <w:t>）。</w:t>
      </w:r>
    </w:p>
    <w:p w14:paraId="5A682420">
      <w:pPr>
        <w:widowControl w:val="0"/>
        <w:snapToGrid w:val="0"/>
        <w:spacing w:line="360" w:lineRule="auto"/>
        <w:ind w:right="85" w:firstLine="537" w:firstLineChars="192"/>
        <w:rPr>
          <w:color w:val="auto"/>
          <w:sz w:val="24"/>
          <w:szCs w:val="24"/>
          <w:highlight w:val="none"/>
        </w:rPr>
      </w:pPr>
      <w:r>
        <w:rPr>
          <w:rFonts w:hint="eastAsia"/>
          <w:color w:val="auto"/>
          <w:spacing w:val="20"/>
          <w:sz w:val="24"/>
          <w:szCs w:val="24"/>
          <w:highlight w:val="none"/>
        </w:rPr>
        <w:t>本合同为固定总价合同，不因人工、费用、材料和设备等价格的波动而影响合同价格。</w:t>
      </w:r>
    </w:p>
    <w:p w14:paraId="1113A39F">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二、服务质量要求及乙方对质量负责条件和期限：</w:t>
      </w:r>
    </w:p>
    <w:p w14:paraId="0C4B17F2">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按国家及行业标准、采购文件及响应文件等相应条款制订</w:t>
      </w:r>
    </w:p>
    <w:p w14:paraId="497CEFA5">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三、服务时间、地点、方式：</w:t>
      </w:r>
    </w:p>
    <w:p w14:paraId="69A793A5">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按国家及行业标准、采购文件及响应文件等相应条款制订</w:t>
      </w:r>
    </w:p>
    <w:p w14:paraId="2BA4456B">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四、验收程序和要求</w:t>
      </w:r>
    </w:p>
    <w:p w14:paraId="29A87719">
      <w:pPr>
        <w:widowControl w:val="0"/>
        <w:adjustRightInd w:val="0"/>
        <w:snapToGrid w:val="0"/>
        <w:spacing w:before="120" w:beforeLines="50" w:line="300" w:lineRule="auto"/>
        <w:ind w:firstLine="561"/>
        <w:rPr>
          <w:rFonts w:ascii="宋体" w:cs="楷体_GB2312"/>
          <w:color w:val="auto"/>
          <w:sz w:val="24"/>
          <w:highlight w:val="none"/>
          <w:lang w:val="zh-CN"/>
        </w:rPr>
      </w:pPr>
      <w:r>
        <w:rPr>
          <w:rFonts w:ascii="宋体" w:hAnsi="宋体" w:cs="楷体_GB2312"/>
          <w:color w:val="auto"/>
          <w:sz w:val="24"/>
          <w:highlight w:val="none"/>
          <w:lang w:val="zh-CN"/>
        </w:rPr>
        <w:t>1</w:t>
      </w:r>
      <w:r>
        <w:rPr>
          <w:rFonts w:hint="eastAsia" w:ascii="宋体" w:hAnsi="宋体" w:cs="楷体_GB2312"/>
          <w:color w:val="auto"/>
          <w:sz w:val="24"/>
          <w:highlight w:val="none"/>
          <w:lang w:val="zh-CN"/>
        </w:rPr>
        <w:t>、验收时间：项目具备验收条件时，由采购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成立验收工作组负责验收。</w:t>
      </w:r>
      <w:r>
        <w:rPr>
          <w:rFonts w:hint="eastAsia" w:ascii="宋体" w:hAnsi="宋体" w:cs="楷体_GB2312"/>
          <w:color w:val="auto"/>
          <w:sz w:val="24"/>
          <w:highlight w:val="none"/>
        </w:rPr>
        <w:t>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w:t>
      </w:r>
    </w:p>
    <w:p w14:paraId="1BA8120D">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ascii="宋体" w:hAnsi="宋体" w:cs="楷体_GB2312"/>
          <w:color w:val="auto"/>
          <w:sz w:val="24"/>
          <w:highlight w:val="none"/>
          <w:lang w:val="zh-CN"/>
        </w:rPr>
        <w:t>2</w:t>
      </w:r>
      <w:r>
        <w:rPr>
          <w:rFonts w:hint="eastAsia" w:ascii="宋体" w:hAnsi="宋体" w:cs="楷体_GB2312"/>
          <w:color w:val="auto"/>
          <w:sz w:val="24"/>
          <w:highlight w:val="none"/>
          <w:lang w:val="zh-CN"/>
        </w:rPr>
        <w:t>、验收工作组：合同履约验收工作应成立验收工作组专门负责。</w:t>
      </w:r>
    </w:p>
    <w:p w14:paraId="38E061EF">
      <w:pPr>
        <w:widowControl w:val="0"/>
        <w:adjustRightInd w:val="0"/>
        <w:snapToGrid w:val="0"/>
        <w:spacing w:before="120" w:beforeLines="50" w:line="300" w:lineRule="auto"/>
        <w:ind w:firstLine="561"/>
        <w:rPr>
          <w:rFonts w:ascii="宋体" w:hAnsi="宋体" w:cs="楷体_GB2312"/>
          <w:color w:val="auto"/>
          <w:sz w:val="24"/>
          <w:highlight w:val="none"/>
          <w:lang w:val="zh-CN"/>
        </w:rPr>
      </w:pPr>
      <w:r>
        <w:rPr>
          <w:rFonts w:hint="eastAsia" w:ascii="宋体" w:hAnsi="宋体" w:cs="楷体_GB2312"/>
          <w:color w:val="auto"/>
          <w:sz w:val="24"/>
          <w:highlight w:val="none"/>
          <w:lang w:val="zh-CN"/>
        </w:rPr>
        <w:t>直接参与该项目政府采购活动的主要负责人不得作为验收工作的主要负责人。</w:t>
      </w:r>
      <w:r>
        <w:rPr>
          <w:rFonts w:hint="eastAsia" w:ascii="宋体" w:hAnsi="宋体" w:cs="楷体_GB2312"/>
          <w:color w:val="auto"/>
          <w:sz w:val="24"/>
          <w:highlight w:val="none"/>
        </w:rPr>
        <w:t>对于采购人和使用人分离的采购项目，应当邀请实际使用人参与验收；政府向社会公众提供的公共服务项目，验收时应当邀请服务对象参与并出具意见，验收结果应当向社会公告。</w:t>
      </w:r>
    </w:p>
    <w:p w14:paraId="50F48828">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2.1、</w:t>
      </w:r>
      <w:r>
        <w:rPr>
          <w:rFonts w:hint="eastAsia" w:ascii="宋体" w:hAnsi="宋体" w:cs="楷体_GB2312"/>
          <w:color w:val="auto"/>
          <w:sz w:val="24"/>
          <w:highlight w:val="none"/>
          <w:lang w:val="zh-CN"/>
        </w:rPr>
        <w:t>政府采购合同金额</w:t>
      </w:r>
      <w:r>
        <w:rPr>
          <w:rFonts w:hint="eastAsia" w:ascii="宋体" w:hAnsi="宋体" w:cs="楷体_GB2312"/>
          <w:color w:val="auto"/>
          <w:sz w:val="24"/>
          <w:highlight w:val="none"/>
        </w:rPr>
        <w:t>在</w:t>
      </w:r>
      <w:r>
        <w:rPr>
          <w:rFonts w:hint="eastAsia" w:ascii="宋体" w:hAnsi="宋体" w:cs="楷体_GB2312"/>
          <w:color w:val="auto"/>
          <w:sz w:val="24"/>
          <w:highlight w:val="none"/>
          <w:lang w:val="zh-CN"/>
        </w:rPr>
        <w:t>10万元以下（</w:t>
      </w:r>
      <w:r>
        <w:rPr>
          <w:rFonts w:hint="eastAsia" w:ascii="宋体" w:hAnsi="宋体" w:cs="楷体_GB2312"/>
          <w:color w:val="auto"/>
          <w:sz w:val="24"/>
          <w:highlight w:val="none"/>
        </w:rPr>
        <w:t>含10万元</w:t>
      </w:r>
      <w:r>
        <w:rPr>
          <w:rFonts w:hint="eastAsia" w:ascii="宋体" w:hAnsi="宋体" w:cs="楷体_GB2312"/>
          <w:color w:val="auto"/>
          <w:sz w:val="24"/>
          <w:highlight w:val="none"/>
          <w:lang w:val="zh-CN"/>
        </w:rPr>
        <w:t>）的项目，原则上可以不邀请评审专家参加，组织方成立验收小组自行验收。</w:t>
      </w:r>
      <w:r>
        <w:rPr>
          <w:rFonts w:hint="eastAsia" w:ascii="宋体" w:hAnsi="宋体" w:cs="楷体_GB2312"/>
          <w:color w:val="auto"/>
          <w:sz w:val="24"/>
          <w:highlight w:val="none"/>
        </w:rPr>
        <w:t>自行验收时，验收小组应仔细对照采购文件及合同，对标的物的数量、质量、规格、型号等参数逐一核对，并编制验收报告。组织方认为不能独立完成验收任务的，可以邀请评审专家参与验收。</w:t>
      </w:r>
    </w:p>
    <w:p w14:paraId="32642038">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2.2、</w:t>
      </w:r>
      <w:r>
        <w:rPr>
          <w:rFonts w:hint="eastAsia" w:ascii="宋体" w:hAnsi="宋体" w:cs="楷体_GB2312"/>
          <w:color w:val="auto"/>
          <w:sz w:val="24"/>
          <w:highlight w:val="none"/>
          <w:lang w:val="zh-CN"/>
        </w:rPr>
        <w:t>政府采购合同金额50万元以下的（含50万元）的项目，验收工作组应不少于三人；政府采购合同金额50万元以上的项目，验收工作组应由</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领导牵头，财务、审计、监察、资产管理、技术等部门人员参与，成员不少于五人。验收工作</w:t>
      </w:r>
      <w:r>
        <w:rPr>
          <w:rFonts w:hint="eastAsia" w:ascii="宋体" w:hAnsi="宋体" w:cs="楷体_GB2312"/>
          <w:color w:val="auto"/>
          <w:sz w:val="24"/>
          <w:highlight w:val="none"/>
        </w:rPr>
        <w:t>原则上</w:t>
      </w:r>
      <w:r>
        <w:rPr>
          <w:rFonts w:hint="eastAsia" w:ascii="宋体" w:hAnsi="宋体" w:cs="楷体_GB2312"/>
          <w:color w:val="auto"/>
          <w:sz w:val="24"/>
          <w:highlight w:val="none"/>
          <w:lang w:val="zh-CN"/>
        </w:rPr>
        <w:t>应当邀请采购评审专家参加验收；大型、复杂或者技术性很强的政府采购项目，应当邀请国家认可的质量检测机构参加验收工作；国家规定强制性检测的采购项目，</w:t>
      </w:r>
      <w:r>
        <w:rPr>
          <w:rFonts w:hint="eastAsia" w:ascii="宋体" w:hAnsi="宋体" w:cs="楷体_GB2312"/>
          <w:color w:val="auto"/>
          <w:sz w:val="24"/>
          <w:highlight w:val="none"/>
        </w:rPr>
        <w:t>采购人</w:t>
      </w:r>
      <w:r>
        <w:rPr>
          <w:rFonts w:hint="eastAsia" w:ascii="宋体" w:hAnsi="宋体" w:cs="楷体_GB2312"/>
          <w:color w:val="auto"/>
          <w:sz w:val="24"/>
          <w:highlight w:val="none"/>
          <w:lang w:val="zh-CN"/>
        </w:rPr>
        <w:t>必须委托国家认可专业检测机构进行验收。</w:t>
      </w:r>
    </w:p>
    <w:p w14:paraId="3BCA0F31">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3、验收时，验收小组按照采购合同的约定对每一项技术、服务、安全标准的履约情况进行确认。</w:t>
      </w:r>
      <w:r>
        <w:rPr>
          <w:rFonts w:hint="eastAsia" w:ascii="宋体" w:hAnsi="宋体" w:cs="楷体_GB2312"/>
          <w:color w:val="auto"/>
          <w:sz w:val="24"/>
          <w:highlight w:val="none"/>
          <w:lang w:val="zh-CN"/>
        </w:rPr>
        <w:t>验收时需要进行破坏性试验的，供应商应进行充分的配合并提供备品备件。</w:t>
      </w:r>
    </w:p>
    <w:p w14:paraId="3C371235">
      <w:pPr>
        <w:widowControl w:val="0"/>
        <w:adjustRightInd w:val="0"/>
        <w:snapToGrid w:val="0"/>
        <w:spacing w:before="120" w:beforeLines="50" w:line="300" w:lineRule="auto"/>
        <w:ind w:firstLine="561"/>
        <w:rPr>
          <w:rFonts w:ascii="宋体" w:hAnsi="宋体" w:cs="楷体_GB2312"/>
          <w:color w:val="auto"/>
          <w:sz w:val="24"/>
          <w:highlight w:val="none"/>
        </w:rPr>
      </w:pPr>
      <w:r>
        <w:rPr>
          <w:rFonts w:hint="eastAsia" w:ascii="宋体" w:hAnsi="宋体" w:cs="楷体_GB2312"/>
          <w:color w:val="auto"/>
          <w:sz w:val="24"/>
          <w:highlight w:val="none"/>
        </w:rPr>
        <w:t>4</w:t>
      </w:r>
      <w:r>
        <w:rPr>
          <w:rFonts w:hint="eastAsia" w:ascii="宋体" w:hAnsi="宋体" w:cs="楷体_GB2312"/>
          <w:color w:val="auto"/>
          <w:sz w:val="24"/>
          <w:highlight w:val="none"/>
          <w:lang w:val="zh-CN"/>
        </w:rPr>
        <w:t>、验收报告：验收后，由采购</w:t>
      </w:r>
      <w:r>
        <w:rPr>
          <w:rFonts w:hint="eastAsia" w:ascii="宋体" w:hAnsi="宋体" w:cs="楷体_GB2312"/>
          <w:color w:val="auto"/>
          <w:sz w:val="24"/>
          <w:highlight w:val="none"/>
        </w:rPr>
        <w:t>人</w:t>
      </w:r>
      <w:r>
        <w:rPr>
          <w:rFonts w:hint="eastAsia" w:ascii="宋体" w:hAnsi="宋体" w:cs="楷体_GB2312"/>
          <w:color w:val="auto"/>
          <w:sz w:val="24"/>
          <w:highlight w:val="none"/>
          <w:lang w:val="zh-CN"/>
        </w:rPr>
        <w:t>及专家等出具验收报告（</w:t>
      </w:r>
      <w:r>
        <w:rPr>
          <w:rFonts w:hint="eastAsia" w:ascii="宋体" w:hAnsi="宋体" w:cs="楷体_GB2312"/>
          <w:color w:val="auto"/>
          <w:sz w:val="24"/>
          <w:highlight w:val="none"/>
        </w:rPr>
        <w:t>自行验收的，由采购人出具</w:t>
      </w:r>
      <w:r>
        <w:rPr>
          <w:rFonts w:hint="eastAsia" w:ascii="宋体" w:hAnsi="宋体" w:cs="楷体_GB2312"/>
          <w:color w:val="auto"/>
          <w:sz w:val="24"/>
          <w:highlight w:val="none"/>
          <w:lang w:val="zh-CN"/>
        </w:rPr>
        <w:t>），国家规定强制性检测的采购项目应附国家认可的专业检测机构出具的验收报告。</w:t>
      </w:r>
    </w:p>
    <w:p w14:paraId="042D9707">
      <w:pPr>
        <w:widowControl w:val="0"/>
        <w:snapToGrid w:val="0"/>
        <w:spacing w:before="56" w:after="56" w:line="360" w:lineRule="auto"/>
        <w:ind w:right="85" w:firstLine="555"/>
        <w:rPr>
          <w:color w:val="auto"/>
          <w:sz w:val="24"/>
          <w:szCs w:val="24"/>
          <w:highlight w:val="none"/>
        </w:rPr>
      </w:pPr>
      <w:r>
        <w:rPr>
          <w:rFonts w:hint="eastAsia" w:ascii="宋体" w:hAnsi="宋体" w:cs="楷体_GB2312"/>
          <w:color w:val="auto"/>
          <w:sz w:val="24"/>
          <w:highlight w:val="none"/>
        </w:rPr>
        <w:t>5、</w:t>
      </w:r>
      <w:r>
        <w:rPr>
          <w:rFonts w:hint="eastAsia" w:ascii="宋体" w:hAnsi="宋体" w:cs="楷体_GB2312"/>
          <w:color w:val="auto"/>
          <w:sz w:val="24"/>
          <w:highlight w:val="none"/>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7342887C">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五、履约保证金：</w:t>
      </w:r>
      <w:r>
        <w:rPr>
          <w:rFonts w:hint="eastAsia"/>
          <w:color w:val="auto"/>
          <w:sz w:val="24"/>
          <w:szCs w:val="24"/>
          <w:highlight w:val="none"/>
          <w:u w:val="single"/>
        </w:rPr>
        <w:t xml:space="preserve">                                                   </w:t>
      </w:r>
      <w:r>
        <w:rPr>
          <w:rFonts w:hint="eastAsia"/>
          <w:color w:val="auto"/>
          <w:sz w:val="24"/>
          <w:szCs w:val="24"/>
          <w:highlight w:val="none"/>
        </w:rPr>
        <w:t>。</w:t>
      </w:r>
    </w:p>
    <w:p w14:paraId="16D399A9">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六、付款程序：按供应商须知相关条款编列。</w:t>
      </w:r>
    </w:p>
    <w:p w14:paraId="7B6EBFC6">
      <w:pPr>
        <w:widowControl w:val="0"/>
        <w:snapToGrid w:val="0"/>
        <w:spacing w:before="56" w:after="56" w:line="360" w:lineRule="auto"/>
        <w:ind w:right="85" w:firstLine="555"/>
        <w:rPr>
          <w:color w:val="auto"/>
          <w:sz w:val="24"/>
          <w:szCs w:val="24"/>
          <w:highlight w:val="none"/>
        </w:rPr>
      </w:pPr>
      <w:r>
        <w:rPr>
          <w:rFonts w:hint="eastAsia" w:ascii="宋体" w:hAnsi="宋体"/>
          <w:color w:val="auto"/>
          <w:sz w:val="24"/>
          <w:szCs w:val="24"/>
          <w:highlight w:val="none"/>
        </w:rPr>
        <w:t>七、合同遵行《保障中小企业款项支付条例》。</w:t>
      </w:r>
    </w:p>
    <w:p w14:paraId="730D09B0">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八、责任和义务</w:t>
      </w:r>
    </w:p>
    <w:p w14:paraId="4B9EF462">
      <w:pPr>
        <w:widowControl w:val="0"/>
        <w:snapToGrid w:val="0"/>
        <w:spacing w:before="56" w:after="56" w:line="360" w:lineRule="auto"/>
        <w:ind w:right="85" w:firstLine="555"/>
        <w:rPr>
          <w:color w:val="auto"/>
          <w:sz w:val="24"/>
          <w:szCs w:val="24"/>
          <w:highlight w:val="none"/>
        </w:rPr>
      </w:pPr>
      <w:r>
        <w:rPr>
          <w:color w:val="auto"/>
          <w:sz w:val="24"/>
          <w:szCs w:val="24"/>
          <w:highlight w:val="none"/>
        </w:rPr>
        <w:t>1</w:t>
      </w:r>
      <w:r>
        <w:rPr>
          <w:rFonts w:hint="eastAsia"/>
          <w:color w:val="auto"/>
          <w:sz w:val="24"/>
          <w:szCs w:val="24"/>
          <w:highlight w:val="none"/>
        </w:rPr>
        <w:t>、甲方的责任和义务</w:t>
      </w:r>
    </w:p>
    <w:p w14:paraId="154EF44A">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）对乙方给予必要的协助。</w:t>
      </w:r>
    </w:p>
    <w:p w14:paraId="78E7D82A">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）按时验收、及时支付资金；</w:t>
      </w:r>
    </w:p>
    <w:p w14:paraId="5031456A">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）遵守国家法律法规，不得要求乙方虚开发票，不得向乙方索要“好处”、“回扣”、“礼品”，或要求乙方提供合同以外的其他物品或服务；</w:t>
      </w:r>
    </w:p>
    <w:p w14:paraId="2D6DC0FB">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）对乙方未按合同约定履约在验收报告中注明违约情形和事项，并应及时通知财政部门。违反相关法规的向相关行政执法部门举报。</w:t>
      </w:r>
    </w:p>
    <w:p w14:paraId="1B30FFE4">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5</w:t>
      </w:r>
      <w:r>
        <w:rPr>
          <w:rFonts w:hint="eastAsia"/>
          <w:color w:val="auto"/>
          <w:sz w:val="24"/>
          <w:szCs w:val="24"/>
          <w:highlight w:val="none"/>
        </w:rPr>
        <w:t>）其他法律法规规定应尽的义务。</w:t>
      </w:r>
    </w:p>
    <w:p w14:paraId="06024E5C">
      <w:pPr>
        <w:widowControl w:val="0"/>
        <w:snapToGrid w:val="0"/>
        <w:spacing w:before="56" w:after="56" w:line="360" w:lineRule="auto"/>
        <w:ind w:right="85" w:firstLine="555"/>
        <w:rPr>
          <w:color w:val="auto"/>
          <w:sz w:val="24"/>
          <w:szCs w:val="24"/>
          <w:highlight w:val="none"/>
        </w:rPr>
      </w:pPr>
      <w:r>
        <w:rPr>
          <w:color w:val="auto"/>
          <w:sz w:val="24"/>
          <w:szCs w:val="24"/>
          <w:highlight w:val="none"/>
        </w:rPr>
        <w:t>2</w:t>
      </w:r>
      <w:r>
        <w:rPr>
          <w:rFonts w:hint="eastAsia"/>
          <w:color w:val="auto"/>
          <w:sz w:val="24"/>
          <w:szCs w:val="24"/>
          <w:highlight w:val="none"/>
        </w:rPr>
        <w:t>、乙方的责任和义务</w:t>
      </w:r>
    </w:p>
    <w:p w14:paraId="16D4230F">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）严格按采购文件要求与投标文件的质量及服务承诺执行，保质、按期履行。</w:t>
      </w:r>
    </w:p>
    <w:p w14:paraId="72ECACBE">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）不得将合同权利义务全部或部分转让给第三人。</w:t>
      </w:r>
    </w:p>
    <w:p w14:paraId="0E5F8C51">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）验收合格前，对货物和人员的安全负责，应采取安全措施，确保人员、材料、设备和设施的安全，防止货物验收合格前的人身伤害和财产损失；应对其履行合同所雇佣的全部人员的工伤事故承担责任。</w:t>
      </w:r>
    </w:p>
    <w:p w14:paraId="554033FD">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）遵守法律、依法纳税</w:t>
      </w:r>
    </w:p>
    <w:p w14:paraId="03790FEB">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5</w:t>
      </w:r>
      <w:r>
        <w:rPr>
          <w:rFonts w:hint="eastAsia"/>
          <w:color w:val="auto"/>
          <w:sz w:val="24"/>
          <w:szCs w:val="24"/>
          <w:highlight w:val="none"/>
        </w:rPr>
        <w:t>）遵守职业道德和行业规范，坚决杜绝送礼、回扣、报销费用等一切不正当竞争行为和商业贿赂行为；对甲方索要回扣、礼品等违规行为，向同级财政局政府采购监督管理科及相关执法机关举报。</w:t>
      </w:r>
    </w:p>
    <w:p w14:paraId="591B3C5F">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w:t>
      </w:r>
      <w:r>
        <w:rPr>
          <w:color w:val="auto"/>
          <w:sz w:val="24"/>
          <w:szCs w:val="24"/>
          <w:highlight w:val="none"/>
        </w:rPr>
        <w:t>6</w:t>
      </w:r>
      <w:r>
        <w:rPr>
          <w:rFonts w:hint="eastAsia"/>
          <w:color w:val="auto"/>
          <w:sz w:val="24"/>
          <w:szCs w:val="24"/>
          <w:highlight w:val="none"/>
        </w:rPr>
        <w:t>）其他法律法规规定应尽的义务。</w:t>
      </w:r>
    </w:p>
    <w:p w14:paraId="6BD158DD">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九、违约责任：</w:t>
      </w:r>
    </w:p>
    <w:p w14:paraId="63759F3A">
      <w:pPr>
        <w:widowControl w:val="0"/>
        <w:snapToGrid w:val="0"/>
        <w:spacing w:before="56" w:after="56" w:line="360" w:lineRule="auto"/>
        <w:ind w:right="85" w:firstLine="555"/>
        <w:rPr>
          <w:color w:val="auto"/>
          <w:sz w:val="24"/>
          <w:szCs w:val="24"/>
          <w:highlight w:val="none"/>
        </w:rPr>
      </w:pPr>
      <w:r>
        <w:rPr>
          <w:color w:val="auto"/>
          <w:sz w:val="24"/>
          <w:szCs w:val="24"/>
          <w:highlight w:val="none"/>
        </w:rPr>
        <w:t>1</w:t>
      </w:r>
      <w:r>
        <w:rPr>
          <w:rFonts w:hint="eastAsia"/>
          <w:color w:val="auto"/>
          <w:sz w:val="24"/>
          <w:szCs w:val="24"/>
          <w:highlight w:val="none"/>
        </w:rPr>
        <w:t>、甲方无正当理由拒付款项的，向乙方偿付拒收拒付部分款项总额</w:t>
      </w:r>
      <w:r>
        <w:rPr>
          <w:color w:val="auto"/>
          <w:sz w:val="24"/>
          <w:szCs w:val="24"/>
          <w:highlight w:val="none"/>
        </w:rPr>
        <w:t xml:space="preserve">  %</w:t>
      </w:r>
      <w:r>
        <w:rPr>
          <w:rFonts w:hint="eastAsia"/>
          <w:color w:val="auto"/>
          <w:sz w:val="24"/>
          <w:szCs w:val="24"/>
          <w:highlight w:val="none"/>
        </w:rPr>
        <w:t>的违约金。</w:t>
      </w:r>
    </w:p>
    <w:p w14:paraId="65EF6D89">
      <w:pPr>
        <w:widowControl w:val="0"/>
        <w:snapToGrid w:val="0"/>
        <w:spacing w:before="56" w:after="56" w:line="360" w:lineRule="auto"/>
        <w:ind w:right="85" w:firstLine="555"/>
        <w:rPr>
          <w:color w:val="auto"/>
          <w:sz w:val="24"/>
          <w:szCs w:val="24"/>
          <w:highlight w:val="none"/>
        </w:rPr>
      </w:pPr>
      <w:r>
        <w:rPr>
          <w:color w:val="auto"/>
          <w:sz w:val="24"/>
          <w:szCs w:val="24"/>
          <w:highlight w:val="none"/>
        </w:rPr>
        <w:t>2</w:t>
      </w:r>
      <w:r>
        <w:rPr>
          <w:rFonts w:hint="eastAsia"/>
          <w:color w:val="auto"/>
          <w:sz w:val="24"/>
          <w:szCs w:val="24"/>
          <w:highlight w:val="none"/>
        </w:rPr>
        <w:t>、乙方提供服务不符合合同规定，甲方有权拒付相关款项。</w:t>
      </w:r>
    </w:p>
    <w:p w14:paraId="702F9E93">
      <w:pPr>
        <w:widowControl w:val="0"/>
        <w:snapToGrid w:val="0"/>
        <w:spacing w:before="56" w:after="56" w:line="360" w:lineRule="auto"/>
        <w:ind w:right="85" w:firstLine="555"/>
        <w:rPr>
          <w:color w:val="auto"/>
          <w:sz w:val="24"/>
          <w:szCs w:val="24"/>
          <w:highlight w:val="none"/>
        </w:rPr>
      </w:pPr>
      <w:r>
        <w:rPr>
          <w:color w:val="auto"/>
          <w:sz w:val="24"/>
          <w:szCs w:val="24"/>
          <w:highlight w:val="none"/>
        </w:rPr>
        <w:t>3</w:t>
      </w:r>
      <w:r>
        <w:rPr>
          <w:rFonts w:hint="eastAsia"/>
          <w:color w:val="auto"/>
          <w:sz w:val="24"/>
          <w:szCs w:val="24"/>
          <w:highlight w:val="none"/>
        </w:rPr>
        <w:t>、乙方逾期，乙方向甲方每日偿付</w:t>
      </w:r>
      <w:r>
        <w:rPr>
          <w:color w:val="auto"/>
          <w:sz w:val="24"/>
          <w:szCs w:val="24"/>
          <w:highlight w:val="none"/>
        </w:rPr>
        <w:t xml:space="preserve">     %</w:t>
      </w:r>
      <w:r>
        <w:rPr>
          <w:rFonts w:hint="eastAsia"/>
          <w:color w:val="auto"/>
          <w:sz w:val="24"/>
          <w:szCs w:val="24"/>
          <w:highlight w:val="none"/>
        </w:rPr>
        <w:t>赔偿费。</w:t>
      </w:r>
    </w:p>
    <w:p w14:paraId="2EF81E3D">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十、《采购文件》及其修改补充、投标文件及其修改补充澄清均为本合同的组成部分。</w:t>
      </w:r>
    </w:p>
    <w:p w14:paraId="0644385F">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十一、本合同发生争议时双方应按合同条款协商解决。双方协商不成的，可以根据仲裁协议向当地仲裁机构申请仲裁。当事人没有订立仲裁协议或者仲裁协议无效的，可以向当地人民法院起诉。</w:t>
      </w:r>
    </w:p>
    <w:p w14:paraId="449BECA4">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十二、合同生效及其它：</w:t>
      </w:r>
    </w:p>
    <w:p w14:paraId="19242CB5">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本合同经甲乙双方代表签字、加盖公章和骑缝章后生效。本合同一式</w:t>
      </w:r>
      <w:r>
        <w:rPr>
          <w:rFonts w:hint="eastAsia"/>
          <w:color w:val="auto"/>
          <w:sz w:val="24"/>
          <w:szCs w:val="24"/>
          <w:highlight w:val="none"/>
          <w:u w:val="single"/>
        </w:rPr>
        <w:t xml:space="preserve">  </w:t>
      </w:r>
      <w:r>
        <w:rPr>
          <w:rFonts w:hint="eastAsia"/>
          <w:color w:val="auto"/>
          <w:sz w:val="24"/>
          <w:szCs w:val="24"/>
          <w:highlight w:val="none"/>
        </w:rPr>
        <w:t>份，甲乙双方各持</w:t>
      </w:r>
      <w:r>
        <w:rPr>
          <w:rFonts w:hint="eastAsia"/>
          <w:color w:val="auto"/>
          <w:sz w:val="24"/>
          <w:szCs w:val="24"/>
          <w:highlight w:val="none"/>
          <w:u w:val="single"/>
        </w:rPr>
        <w:t xml:space="preserve">   </w:t>
      </w:r>
      <w:r>
        <w:rPr>
          <w:rFonts w:hint="eastAsia"/>
          <w:color w:val="auto"/>
          <w:sz w:val="24"/>
          <w:szCs w:val="24"/>
          <w:highlight w:val="none"/>
        </w:rPr>
        <w:t>份。</w:t>
      </w:r>
    </w:p>
    <w:p w14:paraId="189E7221">
      <w:pPr>
        <w:widowControl w:val="0"/>
        <w:adjustRightInd w:val="0"/>
        <w:snapToGrid w:val="0"/>
        <w:spacing w:before="120" w:beforeLines="50" w:line="300" w:lineRule="auto"/>
        <w:ind w:firstLine="566"/>
        <w:rPr>
          <w:rFonts w:ascii="宋体" w:hAnsi="宋体"/>
          <w:color w:val="auto"/>
          <w:sz w:val="24"/>
          <w:szCs w:val="24"/>
          <w:highlight w:val="none"/>
        </w:rPr>
      </w:pPr>
      <w:r>
        <w:rPr>
          <w:rFonts w:hint="eastAsia" w:ascii="宋体" w:hAnsi="宋体"/>
          <w:color w:val="auto"/>
          <w:sz w:val="24"/>
          <w:szCs w:val="24"/>
          <w:highlight w:val="none"/>
        </w:rPr>
        <w:t>甲方要在合同签订后1个工作日内登陆</w:t>
      </w:r>
      <w:r>
        <w:rPr>
          <w:rFonts w:hint="eastAsia" w:ascii="宋体" w:hAnsi="宋体"/>
          <w:color w:val="auto"/>
          <w:sz w:val="24"/>
          <w:szCs w:val="24"/>
          <w:highlight w:val="none"/>
          <w:lang w:eastAsia="zh-CN"/>
        </w:rPr>
        <w:t>安阳</w:t>
      </w:r>
      <w:r>
        <w:rPr>
          <w:rFonts w:hint="eastAsia" w:ascii="宋体" w:hAnsi="宋体"/>
          <w:color w:val="auto"/>
          <w:sz w:val="24"/>
          <w:szCs w:val="24"/>
          <w:highlight w:val="none"/>
        </w:rPr>
        <w:t>市政府采购网进行备案并公告。</w:t>
      </w:r>
    </w:p>
    <w:p w14:paraId="3612E617">
      <w:pPr>
        <w:widowControl w:val="0"/>
        <w:adjustRightInd w:val="0"/>
        <w:snapToGrid w:val="0"/>
        <w:spacing w:before="120" w:beforeLines="50" w:line="300" w:lineRule="auto"/>
        <w:ind w:firstLine="566"/>
        <w:rPr>
          <w:color w:val="auto"/>
          <w:sz w:val="24"/>
          <w:szCs w:val="24"/>
          <w:highlight w:val="none"/>
        </w:rPr>
      </w:pPr>
    </w:p>
    <w:p w14:paraId="20FDCAD1">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甲方：</w:t>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乙方：</w:t>
      </w:r>
    </w:p>
    <w:p w14:paraId="18C5ACCA">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地址：</w:t>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地址：</w:t>
      </w:r>
    </w:p>
    <w:p w14:paraId="16BC7C6D">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法定代表人：</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法定代表人：</w:t>
      </w:r>
    </w:p>
    <w:p w14:paraId="416014B8">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委托代理人：</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委托代理人：</w:t>
      </w:r>
    </w:p>
    <w:p w14:paraId="64FC2FD7">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电话：</w:t>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电话：</w:t>
      </w:r>
    </w:p>
    <w:p w14:paraId="728778A8">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开户银行：</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开户银行：</w:t>
      </w:r>
    </w:p>
    <w:p w14:paraId="1B607B87">
      <w:pPr>
        <w:widowControl w:val="0"/>
        <w:snapToGrid w:val="0"/>
        <w:spacing w:before="56" w:after="56" w:line="360" w:lineRule="auto"/>
        <w:ind w:right="85" w:firstLine="555"/>
        <w:rPr>
          <w:color w:val="auto"/>
          <w:sz w:val="24"/>
          <w:szCs w:val="24"/>
          <w:highlight w:val="none"/>
        </w:rPr>
      </w:pPr>
      <w:r>
        <w:rPr>
          <w:rFonts w:hint="eastAsia"/>
          <w:color w:val="auto"/>
          <w:sz w:val="24"/>
          <w:szCs w:val="24"/>
          <w:highlight w:val="none"/>
        </w:rPr>
        <w:t>银行账号：</w:t>
      </w:r>
      <w:r>
        <w:rPr>
          <w:color w:val="auto"/>
          <w:sz w:val="24"/>
          <w:szCs w:val="24"/>
          <w:highlight w:val="none"/>
        </w:rPr>
        <w:tab/>
      </w:r>
      <w:r>
        <w:rPr>
          <w:color w:val="auto"/>
          <w:sz w:val="24"/>
          <w:szCs w:val="24"/>
          <w:highlight w:val="none"/>
        </w:rPr>
        <w:tab/>
      </w:r>
      <w:r>
        <w:rPr>
          <w:color w:val="auto"/>
          <w:sz w:val="24"/>
          <w:szCs w:val="24"/>
          <w:highlight w:val="none"/>
        </w:rPr>
        <w:tab/>
      </w:r>
      <w:r>
        <w:rPr>
          <w:rFonts w:hint="eastAsia"/>
          <w:color w:val="auto"/>
          <w:sz w:val="24"/>
          <w:szCs w:val="24"/>
          <w:highlight w:val="none"/>
        </w:rPr>
        <w:t>银行账号：</w:t>
      </w:r>
    </w:p>
    <w:p w14:paraId="41C65EAD">
      <w:pPr>
        <w:widowControl w:val="0"/>
        <w:snapToGrid w:val="0"/>
        <w:spacing w:before="56" w:after="56" w:line="360" w:lineRule="auto"/>
        <w:ind w:right="85" w:firstLine="555"/>
        <w:rPr>
          <w:color w:val="auto"/>
          <w:sz w:val="24"/>
          <w:szCs w:val="24"/>
          <w:highlight w:val="none"/>
        </w:rPr>
      </w:pPr>
    </w:p>
    <w:p w14:paraId="69C13E96">
      <w:pPr>
        <w:widowControl w:val="0"/>
        <w:tabs>
          <w:tab w:val="left" w:pos="4678"/>
        </w:tabs>
        <w:snapToGrid w:val="0"/>
        <w:spacing w:before="56" w:after="56" w:line="360" w:lineRule="auto"/>
        <w:ind w:right="85" w:firstLine="555"/>
        <w:rPr>
          <w:rFonts w:ascii="宋体"/>
          <w:b/>
          <w:color w:val="auto"/>
          <w:sz w:val="36"/>
          <w:szCs w:val="36"/>
          <w:highlight w:val="none"/>
          <w:lang w:val="zh-CN"/>
        </w:rPr>
      </w:pPr>
      <w:r>
        <w:rPr>
          <w:rFonts w:hint="eastAsia"/>
          <w:color w:val="auto"/>
          <w:sz w:val="24"/>
          <w:szCs w:val="24"/>
          <w:highlight w:val="none"/>
        </w:rPr>
        <w:t>签约时间：</w:t>
      </w:r>
      <w:r>
        <w:rPr>
          <w:color w:val="auto"/>
          <w:sz w:val="24"/>
          <w:szCs w:val="24"/>
          <w:highlight w:val="none"/>
        </w:rPr>
        <w:t xml:space="preserve">          </w:t>
      </w:r>
      <w:r>
        <w:rPr>
          <w:rFonts w:hint="eastAsia"/>
          <w:color w:val="auto"/>
          <w:sz w:val="24"/>
          <w:szCs w:val="24"/>
          <w:highlight w:val="none"/>
        </w:rPr>
        <w:t>签约地点：</w:t>
      </w:r>
    </w:p>
    <w:p w14:paraId="7E3FF957">
      <w:pPr>
        <w:spacing w:line="240" w:lineRule="auto"/>
        <w:jc w:val="left"/>
        <w:textAlignment w:val="auto"/>
        <w:rPr>
          <w:rFonts w:ascii="宋体"/>
          <w:b/>
          <w:color w:val="auto"/>
          <w:sz w:val="36"/>
          <w:szCs w:val="36"/>
          <w:highlight w:val="none"/>
          <w:lang w:val="zh-CN"/>
        </w:rPr>
      </w:pPr>
      <w:r>
        <w:rPr>
          <w:rFonts w:ascii="宋体"/>
          <w:b/>
          <w:color w:val="auto"/>
          <w:sz w:val="36"/>
          <w:szCs w:val="36"/>
          <w:highlight w:val="none"/>
          <w:lang w:val="zh-CN"/>
        </w:rPr>
        <w:br w:type="page"/>
      </w:r>
    </w:p>
    <w:p w14:paraId="46A50BCF">
      <w:pPr>
        <w:autoSpaceDE w:val="0"/>
        <w:autoSpaceDN w:val="0"/>
        <w:adjustRightInd w:val="0"/>
        <w:spacing w:line="360" w:lineRule="auto"/>
        <w:jc w:val="center"/>
        <w:outlineLvl w:val="0"/>
        <w:rPr>
          <w:rFonts w:hint="eastAsia" w:ascii="黑体" w:hAnsi="黑体" w:eastAsia="黑体"/>
          <w:b/>
          <w:color w:val="auto"/>
          <w:sz w:val="36"/>
          <w:szCs w:val="36"/>
          <w:highlight w:val="none"/>
          <w:lang w:val="zh-CN"/>
        </w:rPr>
      </w:pPr>
      <w:bookmarkStart w:id="46" w:name="_Toc202883085"/>
    </w:p>
    <w:p w14:paraId="37E05081">
      <w:pPr>
        <w:autoSpaceDE w:val="0"/>
        <w:autoSpaceDN w:val="0"/>
        <w:adjustRightInd w:val="0"/>
        <w:spacing w:line="360" w:lineRule="auto"/>
        <w:jc w:val="center"/>
        <w:outlineLvl w:val="0"/>
        <w:rPr>
          <w:rFonts w:ascii="黑体" w:hAnsi="黑体" w:eastAsia="黑体"/>
          <w:b/>
          <w:color w:val="auto"/>
          <w:sz w:val="36"/>
          <w:szCs w:val="36"/>
          <w:highlight w:val="none"/>
          <w:lang w:val="zh-CN"/>
        </w:rPr>
      </w:pPr>
      <w:r>
        <w:rPr>
          <w:rFonts w:hint="eastAsia" w:ascii="黑体" w:hAnsi="黑体" w:eastAsia="黑体"/>
          <w:b/>
          <w:color w:val="auto"/>
          <w:sz w:val="36"/>
          <w:szCs w:val="36"/>
          <w:highlight w:val="none"/>
          <w:lang w:val="zh-CN"/>
        </w:rPr>
        <w:t>第六章</w:t>
      </w:r>
      <w:r>
        <w:rPr>
          <w:rFonts w:ascii="黑体" w:hAnsi="黑体" w:eastAsia="黑体"/>
          <w:b/>
          <w:color w:val="auto"/>
          <w:sz w:val="36"/>
          <w:szCs w:val="36"/>
          <w:highlight w:val="none"/>
          <w:lang w:val="zh-CN"/>
        </w:rPr>
        <w:t xml:space="preserve">  </w:t>
      </w:r>
      <w:r>
        <w:rPr>
          <w:rFonts w:hint="eastAsia" w:ascii="黑体" w:hAnsi="黑体" w:eastAsia="黑体"/>
          <w:b/>
          <w:color w:val="auto"/>
          <w:sz w:val="36"/>
          <w:szCs w:val="36"/>
          <w:highlight w:val="none"/>
          <w:lang w:val="zh-CN"/>
        </w:rPr>
        <w:t>《响应文件》格式</w:t>
      </w:r>
      <w:bookmarkEnd w:id="46"/>
    </w:p>
    <w:p w14:paraId="1E74E355">
      <w:pPr>
        <w:autoSpaceDE w:val="0"/>
        <w:autoSpaceDN w:val="0"/>
        <w:adjustRightInd w:val="0"/>
        <w:spacing w:line="276" w:lineRule="auto"/>
        <w:ind w:firstLine="514" w:firstLineChars="245"/>
        <w:jc w:val="left"/>
        <w:rPr>
          <w:rFonts w:ascii="宋体"/>
          <w:color w:val="auto"/>
          <w:sz w:val="36"/>
          <w:szCs w:val="36"/>
          <w:highlight w:val="none"/>
          <w:lang w:val="zh-CN"/>
        </w:rPr>
      </w:pPr>
      <w:r>
        <w:rPr>
          <w:rFonts w:hint="eastAsia" w:ascii="宋体" w:hAnsi="宋体"/>
          <w:color w:val="auto"/>
          <w:szCs w:val="21"/>
          <w:highlight w:val="none"/>
          <w:lang w:val="zh-CN"/>
        </w:rPr>
        <w:t>供应商应按“供应商须知</w:t>
      </w:r>
      <w:r>
        <w:rPr>
          <w:rFonts w:ascii="宋体"/>
          <w:color w:val="auto"/>
          <w:szCs w:val="21"/>
          <w:highlight w:val="none"/>
          <w:lang w:val="zh-CN"/>
        </w:rPr>
        <w:t>--</w:t>
      </w:r>
      <w:r>
        <w:rPr>
          <w:rFonts w:hint="eastAsia" w:ascii="宋体" w:hAnsi="宋体"/>
          <w:color w:val="auto"/>
          <w:szCs w:val="21"/>
          <w:highlight w:val="none"/>
          <w:lang w:val="zh-CN"/>
        </w:rPr>
        <w:t>《响应文件》的组成”列示内容编制《响应文件》，本章“《响应文件》格式”仅为对《响应文件》部分内容的格式化规范，并非《响应文件》所应具备的全部内容</w:t>
      </w:r>
      <w:r>
        <w:rPr>
          <w:rFonts w:hint="eastAsia" w:ascii="宋体" w:hAnsi="宋体"/>
          <w:color w:val="auto"/>
          <w:sz w:val="36"/>
          <w:szCs w:val="36"/>
          <w:highlight w:val="none"/>
          <w:lang w:val="zh-CN"/>
        </w:rPr>
        <w:t>。</w:t>
      </w:r>
    </w:p>
    <w:p w14:paraId="3B7065E6">
      <w:pPr>
        <w:autoSpaceDE w:val="0"/>
        <w:autoSpaceDN w:val="0"/>
        <w:adjustRightInd w:val="0"/>
        <w:spacing w:line="276" w:lineRule="auto"/>
        <w:ind w:firstLine="882" w:firstLineChars="245"/>
        <w:jc w:val="left"/>
        <w:rPr>
          <w:rFonts w:ascii="宋体"/>
          <w:color w:val="auto"/>
          <w:sz w:val="36"/>
          <w:szCs w:val="36"/>
          <w:highlight w:val="none"/>
          <w:lang w:val="zh-CN"/>
        </w:rPr>
      </w:pPr>
    </w:p>
    <w:p w14:paraId="3B40B995">
      <w:pPr>
        <w:autoSpaceDE w:val="0"/>
        <w:autoSpaceDN w:val="0"/>
        <w:adjustRightInd w:val="0"/>
        <w:spacing w:line="360" w:lineRule="auto"/>
        <w:ind w:right="-817"/>
        <w:rPr>
          <w:rFonts w:ascii="宋体"/>
          <w:color w:val="auto"/>
          <w:sz w:val="24"/>
          <w:highlight w:val="none"/>
          <w:u w:val="single"/>
        </w:rPr>
      </w:pPr>
    </w:p>
    <w:p w14:paraId="08A783B3">
      <w:pPr>
        <w:autoSpaceDE w:val="0"/>
        <w:autoSpaceDN w:val="0"/>
        <w:adjustRightInd w:val="0"/>
        <w:spacing w:line="360" w:lineRule="auto"/>
        <w:ind w:firstLine="480" w:firstLineChars="200"/>
        <w:jc w:val="left"/>
        <w:rPr>
          <w:rFonts w:ascii="宋体"/>
          <w:color w:val="auto"/>
          <w:sz w:val="24"/>
          <w:highlight w:val="none"/>
          <w:u w:val="single"/>
        </w:rPr>
      </w:pPr>
    </w:p>
    <w:p w14:paraId="6078ED7D">
      <w:pPr>
        <w:autoSpaceDE w:val="0"/>
        <w:autoSpaceDN w:val="0"/>
        <w:adjustRightInd w:val="0"/>
        <w:spacing w:line="360" w:lineRule="auto"/>
        <w:jc w:val="left"/>
        <w:rPr>
          <w:rFonts w:ascii="宋体"/>
          <w:color w:val="auto"/>
          <w:sz w:val="44"/>
          <w:szCs w:val="44"/>
          <w:highlight w:val="none"/>
          <w:u w:val="single"/>
        </w:rPr>
      </w:pPr>
      <w:r>
        <w:rPr>
          <w:rFonts w:hint="eastAsia" w:ascii="宋体" w:hAnsi="宋体"/>
          <w:color w:val="auto"/>
          <w:sz w:val="44"/>
          <w:szCs w:val="44"/>
          <w:highlight w:val="none"/>
        </w:rPr>
        <w:t>项目名称：</w:t>
      </w:r>
      <w:r>
        <w:rPr>
          <w:rFonts w:ascii="宋体" w:hAnsi="宋体"/>
          <w:color w:val="auto"/>
          <w:sz w:val="44"/>
          <w:szCs w:val="44"/>
          <w:highlight w:val="none"/>
          <w:u w:val="single"/>
        </w:rPr>
        <w:t xml:space="preserve">                                </w:t>
      </w:r>
    </w:p>
    <w:p w14:paraId="5E072B69">
      <w:pPr>
        <w:autoSpaceDE w:val="0"/>
        <w:autoSpaceDN w:val="0"/>
        <w:adjustRightInd w:val="0"/>
        <w:spacing w:line="360" w:lineRule="auto"/>
        <w:rPr>
          <w:rFonts w:ascii="宋体" w:hAnsi="宋体"/>
          <w:color w:val="auto"/>
          <w:sz w:val="44"/>
          <w:szCs w:val="44"/>
          <w:highlight w:val="none"/>
          <w:u w:val="single"/>
        </w:rPr>
      </w:pPr>
      <w:r>
        <w:rPr>
          <w:rFonts w:hint="eastAsia" w:ascii="宋体" w:hAnsi="宋体"/>
          <w:color w:val="auto"/>
          <w:sz w:val="44"/>
          <w:szCs w:val="44"/>
          <w:highlight w:val="none"/>
        </w:rPr>
        <w:t>项目编号：</w:t>
      </w:r>
      <w:r>
        <w:rPr>
          <w:rFonts w:ascii="宋体" w:hAnsi="宋体"/>
          <w:color w:val="auto"/>
          <w:sz w:val="44"/>
          <w:szCs w:val="44"/>
          <w:highlight w:val="none"/>
          <w:u w:val="single"/>
        </w:rPr>
        <w:t xml:space="preserve">                                </w:t>
      </w:r>
    </w:p>
    <w:p w14:paraId="1BCB6CCB">
      <w:pPr>
        <w:autoSpaceDE w:val="0"/>
        <w:autoSpaceDN w:val="0"/>
        <w:adjustRightInd w:val="0"/>
        <w:spacing w:line="360" w:lineRule="auto"/>
        <w:rPr>
          <w:rFonts w:ascii="宋体"/>
          <w:color w:val="auto"/>
          <w:sz w:val="84"/>
          <w:szCs w:val="84"/>
          <w:highlight w:val="none"/>
        </w:rPr>
      </w:pPr>
    </w:p>
    <w:p w14:paraId="357E84B4">
      <w:pPr>
        <w:autoSpaceDE w:val="0"/>
        <w:autoSpaceDN w:val="0"/>
        <w:adjustRightInd w:val="0"/>
        <w:spacing w:line="360" w:lineRule="auto"/>
        <w:jc w:val="center"/>
        <w:rPr>
          <w:rFonts w:ascii="黑体" w:hAnsi="黑体" w:eastAsia="黑体"/>
          <w:b/>
          <w:color w:val="auto"/>
          <w:spacing w:val="60"/>
          <w:sz w:val="84"/>
          <w:szCs w:val="84"/>
          <w:highlight w:val="none"/>
        </w:rPr>
      </w:pPr>
      <w:r>
        <w:rPr>
          <w:rFonts w:hint="eastAsia" w:ascii="黑体" w:hAnsi="黑体" w:eastAsia="黑体"/>
          <w:b/>
          <w:color w:val="auto"/>
          <w:spacing w:val="60"/>
          <w:sz w:val="84"/>
          <w:szCs w:val="84"/>
          <w:highlight w:val="none"/>
        </w:rPr>
        <w:t>响</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应</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文</w:t>
      </w:r>
      <w:r>
        <w:rPr>
          <w:rFonts w:ascii="黑体" w:hAnsi="黑体" w:eastAsia="黑体"/>
          <w:b/>
          <w:color w:val="auto"/>
          <w:spacing w:val="60"/>
          <w:sz w:val="84"/>
          <w:szCs w:val="84"/>
          <w:highlight w:val="none"/>
        </w:rPr>
        <w:t xml:space="preserve"> </w:t>
      </w:r>
      <w:r>
        <w:rPr>
          <w:rFonts w:hint="eastAsia" w:ascii="黑体" w:hAnsi="黑体" w:eastAsia="黑体"/>
          <w:b/>
          <w:color w:val="auto"/>
          <w:spacing w:val="60"/>
          <w:sz w:val="84"/>
          <w:szCs w:val="84"/>
          <w:highlight w:val="none"/>
        </w:rPr>
        <w:t>件</w:t>
      </w:r>
    </w:p>
    <w:p w14:paraId="14C3ABEA">
      <w:pPr>
        <w:autoSpaceDE w:val="0"/>
        <w:autoSpaceDN w:val="0"/>
        <w:adjustRightInd w:val="0"/>
        <w:spacing w:line="360" w:lineRule="auto"/>
        <w:jc w:val="center"/>
        <w:rPr>
          <w:rFonts w:ascii="宋体"/>
          <w:color w:val="auto"/>
          <w:sz w:val="24"/>
          <w:highlight w:val="none"/>
        </w:rPr>
      </w:pPr>
    </w:p>
    <w:p w14:paraId="57FF71B1">
      <w:pPr>
        <w:autoSpaceDE w:val="0"/>
        <w:autoSpaceDN w:val="0"/>
        <w:adjustRightInd w:val="0"/>
        <w:spacing w:line="360" w:lineRule="auto"/>
        <w:jc w:val="center"/>
        <w:rPr>
          <w:rFonts w:ascii="宋体"/>
          <w:color w:val="auto"/>
          <w:sz w:val="24"/>
          <w:highlight w:val="none"/>
        </w:rPr>
      </w:pPr>
    </w:p>
    <w:p w14:paraId="67340078">
      <w:pPr>
        <w:autoSpaceDE w:val="0"/>
        <w:autoSpaceDN w:val="0"/>
        <w:adjustRightInd w:val="0"/>
        <w:spacing w:line="360" w:lineRule="auto"/>
        <w:jc w:val="center"/>
        <w:rPr>
          <w:rFonts w:ascii="宋体"/>
          <w:color w:val="auto"/>
          <w:sz w:val="24"/>
          <w:highlight w:val="none"/>
        </w:rPr>
      </w:pPr>
    </w:p>
    <w:p w14:paraId="41B318B4">
      <w:pPr>
        <w:autoSpaceDE w:val="0"/>
        <w:autoSpaceDN w:val="0"/>
        <w:adjustRightInd w:val="0"/>
        <w:spacing w:line="360" w:lineRule="auto"/>
        <w:jc w:val="center"/>
        <w:rPr>
          <w:rFonts w:ascii="宋体"/>
          <w:color w:val="auto"/>
          <w:sz w:val="24"/>
          <w:highlight w:val="none"/>
        </w:rPr>
      </w:pPr>
    </w:p>
    <w:p w14:paraId="759B9247">
      <w:pPr>
        <w:pStyle w:val="15"/>
        <w:spacing w:line="360" w:lineRule="auto"/>
        <w:rPr>
          <w:rFonts w:hAnsi="宋体"/>
          <w:color w:val="auto"/>
          <w:szCs w:val="24"/>
          <w:highlight w:val="none"/>
          <w:u w:val="single"/>
        </w:rPr>
      </w:pPr>
    </w:p>
    <w:p w14:paraId="0ACAA97A">
      <w:pPr>
        <w:pStyle w:val="15"/>
        <w:spacing w:line="360" w:lineRule="auto"/>
        <w:jc w:val="both"/>
        <w:rPr>
          <w:rFonts w:hAnsi="宋体"/>
          <w:color w:val="auto"/>
          <w:sz w:val="28"/>
          <w:szCs w:val="28"/>
          <w:highlight w:val="none"/>
          <w:u w:val="single"/>
        </w:rPr>
      </w:pPr>
      <w:r>
        <w:rPr>
          <w:rFonts w:hAnsi="宋体"/>
          <w:color w:val="auto"/>
          <w:sz w:val="28"/>
          <w:szCs w:val="28"/>
          <w:highlight w:val="none"/>
        </w:rPr>
        <w:t xml:space="preserve">  </w:t>
      </w:r>
      <w:r>
        <w:rPr>
          <w:rFonts w:hint="eastAsia" w:hAnsi="宋体"/>
          <w:color w:val="auto"/>
          <w:sz w:val="28"/>
          <w:szCs w:val="28"/>
          <w:highlight w:val="none"/>
        </w:rPr>
        <w:t>供应商（电子签章）：</w:t>
      </w:r>
      <w:r>
        <w:rPr>
          <w:rFonts w:hAnsi="宋体"/>
          <w:color w:val="auto"/>
          <w:sz w:val="28"/>
          <w:szCs w:val="28"/>
          <w:highlight w:val="none"/>
          <w:u w:val="single"/>
        </w:rPr>
        <w:t xml:space="preserve">                                    </w:t>
      </w:r>
    </w:p>
    <w:p w14:paraId="1254F7DE">
      <w:pPr>
        <w:pStyle w:val="15"/>
        <w:spacing w:line="360" w:lineRule="auto"/>
        <w:ind w:firstLine="280" w:firstLineChars="100"/>
        <w:rPr>
          <w:rFonts w:hAnsi="宋体"/>
          <w:color w:val="auto"/>
          <w:sz w:val="28"/>
          <w:szCs w:val="28"/>
          <w:highlight w:val="none"/>
        </w:rPr>
      </w:pPr>
    </w:p>
    <w:p w14:paraId="4B8B04E6">
      <w:pPr>
        <w:pStyle w:val="15"/>
        <w:spacing w:line="360" w:lineRule="auto"/>
        <w:ind w:firstLine="280" w:firstLineChars="100"/>
        <w:rPr>
          <w:rFonts w:hAnsi="宋体"/>
          <w:color w:val="auto"/>
          <w:sz w:val="28"/>
          <w:szCs w:val="28"/>
          <w:highlight w:val="none"/>
          <w:u w:val="single"/>
        </w:rPr>
      </w:pPr>
      <w:r>
        <w:rPr>
          <w:rFonts w:hint="eastAsia" w:hAnsi="宋体"/>
          <w:color w:val="auto"/>
          <w:sz w:val="28"/>
          <w:szCs w:val="28"/>
          <w:highlight w:val="none"/>
        </w:rPr>
        <w:t>法定代表人（电子签名或签章）：</w:t>
      </w:r>
      <w:r>
        <w:rPr>
          <w:rFonts w:hAnsi="宋体"/>
          <w:color w:val="auto"/>
          <w:sz w:val="28"/>
          <w:szCs w:val="28"/>
          <w:highlight w:val="none"/>
          <w:u w:val="single"/>
        </w:rPr>
        <w:t xml:space="preserve">                              </w:t>
      </w:r>
    </w:p>
    <w:p w14:paraId="7278E4C5">
      <w:pPr>
        <w:pStyle w:val="15"/>
        <w:spacing w:line="360" w:lineRule="auto"/>
        <w:jc w:val="center"/>
        <w:rPr>
          <w:rFonts w:hAnsi="宋体"/>
          <w:color w:val="auto"/>
          <w:sz w:val="28"/>
          <w:szCs w:val="28"/>
          <w:highlight w:val="none"/>
        </w:rPr>
      </w:pPr>
    </w:p>
    <w:p w14:paraId="31A99176">
      <w:pPr>
        <w:pStyle w:val="15"/>
        <w:spacing w:line="360" w:lineRule="auto"/>
        <w:jc w:val="both"/>
        <w:rPr>
          <w:rFonts w:hAnsi="宋体"/>
          <w:color w:val="auto"/>
          <w:sz w:val="28"/>
          <w:szCs w:val="28"/>
          <w:highlight w:val="none"/>
        </w:rPr>
      </w:pPr>
    </w:p>
    <w:p w14:paraId="0726E0B0">
      <w:pPr>
        <w:widowControl w:val="0"/>
        <w:tabs>
          <w:tab w:val="left" w:pos="9365"/>
        </w:tabs>
        <w:snapToGrid w:val="0"/>
        <w:spacing w:before="56" w:after="56" w:line="560" w:lineRule="atLeast"/>
        <w:jc w:val="left"/>
        <w:textAlignment w:val="top"/>
        <w:rPr>
          <w:color w:val="auto"/>
          <w:sz w:val="28"/>
          <w:highlight w:val="none"/>
        </w:rPr>
      </w:pPr>
      <w:r>
        <w:rPr>
          <w:rFonts w:ascii="宋体" w:cs="楷体_GB2312"/>
          <w:b/>
          <w:bCs/>
          <w:color w:val="auto"/>
          <w:sz w:val="44"/>
          <w:szCs w:val="44"/>
          <w:highlight w:val="none"/>
          <w:lang w:val="zh-CN"/>
        </w:rPr>
        <w:br w:type="page"/>
      </w:r>
      <w:bookmarkStart w:id="47" w:name="OLE_LINK35"/>
      <w:bookmarkStart w:id="48" w:name="OLE_LINK10"/>
    </w:p>
    <w:p w14:paraId="4398F369">
      <w:pPr>
        <w:spacing w:line="351" w:lineRule="atLeast"/>
        <w:ind w:left="419"/>
        <w:jc w:val="center"/>
        <w:rPr>
          <w:rFonts w:ascii="黑体" w:eastAsia="黑体"/>
          <w:b/>
          <w:color w:val="auto"/>
          <w:spacing w:val="60"/>
          <w:sz w:val="36"/>
          <w:szCs w:val="36"/>
          <w:highlight w:val="none"/>
        </w:rPr>
      </w:pPr>
      <w:r>
        <w:rPr>
          <w:rFonts w:hint="eastAsia" w:ascii="黑体" w:eastAsia="黑体"/>
          <w:b/>
          <w:color w:val="auto"/>
          <w:spacing w:val="60"/>
          <w:sz w:val="36"/>
          <w:szCs w:val="36"/>
          <w:highlight w:val="none"/>
        </w:rPr>
        <w:t>一、投标书</w:t>
      </w:r>
      <w:bookmarkEnd w:id="47"/>
    </w:p>
    <w:bookmarkEnd w:id="48"/>
    <w:p w14:paraId="74D85471">
      <w:pPr>
        <w:widowControl w:val="0"/>
        <w:snapToGrid w:val="0"/>
        <w:spacing w:line="560" w:lineRule="exact"/>
        <w:rPr>
          <w:color w:val="auto"/>
          <w:sz w:val="28"/>
          <w:highlight w:val="none"/>
        </w:rPr>
      </w:pPr>
    </w:p>
    <w:p w14:paraId="16CAF6FC">
      <w:pPr>
        <w:widowControl w:val="0"/>
        <w:snapToGrid w:val="0"/>
        <w:spacing w:line="360" w:lineRule="auto"/>
        <w:rPr>
          <w:color w:val="auto"/>
          <w:sz w:val="24"/>
          <w:szCs w:val="24"/>
          <w:highlight w:val="none"/>
        </w:rPr>
      </w:pPr>
      <w:r>
        <w:rPr>
          <w:rFonts w:hint="eastAsia"/>
          <w:color w:val="auto"/>
          <w:sz w:val="24"/>
          <w:szCs w:val="24"/>
          <w:highlight w:val="none"/>
        </w:rPr>
        <w:t>致：</w:t>
      </w:r>
      <w:r>
        <w:rPr>
          <w:rFonts w:hint="eastAsia"/>
          <w:color w:val="auto"/>
          <w:sz w:val="24"/>
          <w:szCs w:val="24"/>
          <w:highlight w:val="none"/>
          <w:lang w:val="en-US" w:eastAsia="zh-CN"/>
        </w:rPr>
        <w:t>安阳</w:t>
      </w:r>
      <w:r>
        <w:rPr>
          <w:rFonts w:hint="eastAsia"/>
          <w:color w:val="auto"/>
          <w:sz w:val="24"/>
          <w:szCs w:val="24"/>
          <w:highlight w:val="none"/>
        </w:rPr>
        <w:t>市方正招标采购服务有限责任公司</w:t>
      </w:r>
    </w:p>
    <w:p w14:paraId="6DE2D499">
      <w:pPr>
        <w:widowControl w:val="0"/>
        <w:snapToGrid w:val="0"/>
        <w:spacing w:line="360" w:lineRule="auto"/>
        <w:ind w:firstLine="578"/>
        <w:textAlignment w:val="top"/>
        <w:rPr>
          <w:color w:val="auto"/>
          <w:sz w:val="24"/>
          <w:szCs w:val="24"/>
          <w:highlight w:val="none"/>
        </w:rPr>
      </w:pPr>
      <w:r>
        <w:rPr>
          <w:rFonts w:hint="eastAsia"/>
          <w:color w:val="auto"/>
          <w:sz w:val="24"/>
          <w:szCs w:val="24"/>
          <w:highlight w:val="none"/>
        </w:rPr>
        <w:t>根据贵方竞争性磋商</w:t>
      </w:r>
      <w:r>
        <w:rPr>
          <w:rFonts w:hint="eastAsia"/>
          <w:color w:val="auto"/>
          <w:sz w:val="18"/>
          <w:szCs w:val="18"/>
          <w:highlight w:val="none"/>
          <w:u w:val="single"/>
        </w:rPr>
        <w:t>（项目名称）</w:t>
      </w:r>
      <w:r>
        <w:rPr>
          <w:color w:val="auto"/>
          <w:sz w:val="18"/>
          <w:szCs w:val="18"/>
          <w:highlight w:val="none"/>
          <w:u w:val="single"/>
        </w:rPr>
        <w:t xml:space="preserve">               </w:t>
      </w:r>
      <w:r>
        <w:rPr>
          <w:rFonts w:hint="eastAsia"/>
          <w:color w:val="auto"/>
          <w:sz w:val="24"/>
          <w:szCs w:val="24"/>
          <w:highlight w:val="none"/>
        </w:rPr>
        <w:t>的《磋商文件》（项目编号：</w:t>
      </w:r>
      <w:r>
        <w:rPr>
          <w:color w:val="auto"/>
          <w:sz w:val="24"/>
          <w:szCs w:val="24"/>
          <w:highlight w:val="none"/>
          <w:u w:val="single"/>
        </w:rPr>
        <w:t xml:space="preserve">         </w:t>
      </w:r>
      <w:r>
        <w:rPr>
          <w:rFonts w:hint="eastAsia"/>
          <w:color w:val="auto"/>
          <w:sz w:val="24"/>
          <w:szCs w:val="24"/>
          <w:highlight w:val="none"/>
        </w:rPr>
        <w:t>），经详细研究，我们决定参加该项目的采购活动并按要求提交《响应文件》。我们郑重声明对我单位提交的所有投标资料的真实准确完整承担完全责任、并对之负法律责任。</w:t>
      </w:r>
    </w:p>
    <w:p w14:paraId="57B7C3D6">
      <w:pPr>
        <w:adjustRightInd w:val="0"/>
        <w:snapToGrid w:val="0"/>
        <w:spacing w:line="300" w:lineRule="auto"/>
        <w:ind w:firstLine="539"/>
        <w:textAlignment w:val="top"/>
        <w:rPr>
          <w:color w:val="auto"/>
          <w:sz w:val="24"/>
          <w:szCs w:val="24"/>
          <w:highlight w:val="none"/>
        </w:rPr>
      </w:pPr>
    </w:p>
    <w:p w14:paraId="2D9DDCB3">
      <w:pPr>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w:t>
      </w:r>
      <w:r>
        <w:rPr>
          <w:rFonts w:hint="eastAsia"/>
          <w:color w:val="auto"/>
          <w:sz w:val="24"/>
          <w:highlight w:val="none"/>
        </w:rPr>
        <w:t>）投标书。</w:t>
      </w:r>
    </w:p>
    <w:p w14:paraId="6DFC8A1C">
      <w:pPr>
        <w:adjustRightInd w:val="0"/>
        <w:snapToGrid w:val="0"/>
        <w:spacing w:line="300" w:lineRule="auto"/>
        <w:ind w:firstLine="539"/>
        <w:textAlignment w:val="top"/>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2</w:t>
      </w:r>
      <w:r>
        <w:rPr>
          <w:rFonts w:hint="eastAsia" w:ascii="宋体" w:hAnsi="宋体" w:cs="楷体_GB2312"/>
          <w:color w:val="auto"/>
          <w:sz w:val="24"/>
          <w:highlight w:val="none"/>
          <w:lang w:val="zh-CN"/>
        </w:rPr>
        <w:t>）</w:t>
      </w:r>
      <w:r>
        <w:rPr>
          <w:rFonts w:hint="eastAsia" w:ascii="宋体" w:hAnsi="宋体"/>
          <w:color w:val="auto"/>
          <w:sz w:val="24"/>
          <w:szCs w:val="24"/>
          <w:highlight w:val="none"/>
        </w:rPr>
        <w:t>开标一览表（即交易系统中报价一览表）</w:t>
      </w:r>
    </w:p>
    <w:p w14:paraId="1AC5A612">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3</w:t>
      </w:r>
      <w:r>
        <w:rPr>
          <w:rFonts w:hint="eastAsia" w:ascii="宋体" w:hAnsi="宋体" w:cs="楷体_GB2312"/>
          <w:color w:val="auto"/>
          <w:sz w:val="24"/>
          <w:highlight w:val="none"/>
          <w:lang w:val="zh-CN"/>
        </w:rPr>
        <w:t>）第一次报价明细表</w:t>
      </w:r>
    </w:p>
    <w:p w14:paraId="40016B89">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4</w:t>
      </w:r>
      <w:r>
        <w:rPr>
          <w:rFonts w:hint="eastAsia" w:ascii="宋体" w:hAnsi="宋体" w:cs="楷体_GB2312"/>
          <w:color w:val="auto"/>
          <w:sz w:val="24"/>
          <w:highlight w:val="none"/>
          <w:lang w:val="zh-CN"/>
        </w:rPr>
        <w:t>）服务方案及服务质量承诺</w:t>
      </w:r>
    </w:p>
    <w:p w14:paraId="2E5F70EF">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5</w:t>
      </w:r>
      <w:r>
        <w:rPr>
          <w:rFonts w:hint="eastAsia" w:ascii="宋体" w:hAnsi="宋体" w:cs="楷体_GB2312"/>
          <w:color w:val="auto"/>
          <w:sz w:val="24"/>
          <w:highlight w:val="none"/>
          <w:lang w:val="zh-CN"/>
        </w:rPr>
        <w:t>）服务拟投入设备清单及其技术参数</w:t>
      </w:r>
    </w:p>
    <w:p w14:paraId="29CA9EF3">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6</w:t>
      </w:r>
      <w:r>
        <w:rPr>
          <w:rFonts w:hint="eastAsia" w:ascii="宋体" w:hAnsi="宋体" w:cs="楷体_GB2312"/>
          <w:color w:val="auto"/>
          <w:sz w:val="24"/>
          <w:highlight w:val="none"/>
          <w:lang w:val="zh-CN"/>
        </w:rPr>
        <w:t>）服务拟投入的人员情况表</w:t>
      </w:r>
    </w:p>
    <w:p w14:paraId="3EA7DC57">
      <w:pPr>
        <w:adjustRightInd w:val="0"/>
        <w:snapToGrid w:val="0"/>
        <w:spacing w:line="300" w:lineRule="auto"/>
        <w:ind w:firstLine="539"/>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7</w:t>
      </w:r>
      <w:r>
        <w:rPr>
          <w:rFonts w:hint="eastAsia" w:ascii="宋体" w:hAnsi="宋体" w:cs="楷体_GB2312"/>
          <w:color w:val="auto"/>
          <w:sz w:val="24"/>
          <w:highlight w:val="none"/>
          <w:lang w:val="zh-CN"/>
        </w:rPr>
        <w:t>）偏差表</w:t>
      </w:r>
    </w:p>
    <w:p w14:paraId="474831F8">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8</w:t>
      </w:r>
      <w:r>
        <w:rPr>
          <w:rFonts w:hint="eastAsia" w:ascii="宋体" w:hAnsi="宋体" w:cs="楷体_GB2312"/>
          <w:color w:val="auto"/>
          <w:sz w:val="24"/>
          <w:highlight w:val="none"/>
          <w:lang w:val="zh-CN"/>
        </w:rPr>
        <w:t>）</w:t>
      </w:r>
      <w:r>
        <w:rPr>
          <w:rFonts w:hint="eastAsia"/>
          <w:color w:val="auto"/>
          <w:sz w:val="24"/>
          <w:highlight w:val="none"/>
        </w:rPr>
        <w:t>关于资格的声明函</w:t>
      </w:r>
    </w:p>
    <w:p w14:paraId="09B46B50">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9</w:t>
      </w:r>
      <w:r>
        <w:rPr>
          <w:rFonts w:hint="eastAsia" w:ascii="宋体" w:hAnsi="宋体" w:cs="楷体_GB2312"/>
          <w:color w:val="auto"/>
          <w:sz w:val="24"/>
          <w:highlight w:val="none"/>
          <w:lang w:val="zh-CN"/>
        </w:rPr>
        <w:t>）</w:t>
      </w:r>
      <w:r>
        <w:rPr>
          <w:rFonts w:hint="eastAsia"/>
          <w:color w:val="auto"/>
          <w:sz w:val="24"/>
          <w:highlight w:val="none"/>
        </w:rPr>
        <w:t>反商业贿赂承诺书。</w:t>
      </w:r>
    </w:p>
    <w:p w14:paraId="782BAE71">
      <w:pPr>
        <w:adjustRightInd w:val="0"/>
        <w:snapToGrid w:val="0"/>
        <w:spacing w:line="300" w:lineRule="auto"/>
        <w:ind w:firstLine="539"/>
        <w:rPr>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10</w:t>
      </w:r>
      <w:r>
        <w:rPr>
          <w:rFonts w:hint="eastAsia" w:ascii="宋体" w:hAnsi="宋体" w:cs="楷体_GB2312"/>
          <w:color w:val="auto"/>
          <w:sz w:val="24"/>
          <w:highlight w:val="none"/>
          <w:lang w:val="zh-CN"/>
        </w:rPr>
        <w:t>）</w:t>
      </w:r>
      <w:r>
        <w:rPr>
          <w:rFonts w:hint="eastAsia"/>
          <w:color w:val="auto"/>
          <w:sz w:val="24"/>
          <w:highlight w:val="none"/>
        </w:rPr>
        <w:t>履约承诺书。</w:t>
      </w:r>
    </w:p>
    <w:p w14:paraId="01DCC1A3">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11</w:t>
      </w:r>
      <w:r>
        <w:rPr>
          <w:rFonts w:hint="eastAsia"/>
          <w:color w:val="auto"/>
          <w:sz w:val="24"/>
          <w:highlight w:val="none"/>
        </w:rPr>
        <w:t>）资格要求相关证明材料（文件）</w:t>
      </w:r>
    </w:p>
    <w:p w14:paraId="2BB9CBDB">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12</w:t>
      </w:r>
      <w:r>
        <w:rPr>
          <w:rFonts w:hint="eastAsia"/>
          <w:color w:val="auto"/>
          <w:sz w:val="24"/>
          <w:highlight w:val="none"/>
        </w:rPr>
        <w:t>）采购项目及服务要求所需的其他材料（按条款需要）</w:t>
      </w:r>
    </w:p>
    <w:p w14:paraId="59AE6CCE">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13</w:t>
      </w:r>
      <w:r>
        <w:rPr>
          <w:rFonts w:hint="eastAsia"/>
          <w:color w:val="auto"/>
          <w:sz w:val="24"/>
          <w:highlight w:val="none"/>
        </w:rPr>
        <w:t>）供应商须知所需的其他材料（按条款需要）</w:t>
      </w:r>
    </w:p>
    <w:p w14:paraId="23251D1D">
      <w:pPr>
        <w:widowControl w:val="0"/>
        <w:adjustRightInd w:val="0"/>
        <w:snapToGrid w:val="0"/>
        <w:spacing w:line="300" w:lineRule="auto"/>
        <w:ind w:firstLine="539"/>
        <w:textAlignment w:val="top"/>
        <w:rPr>
          <w:color w:val="auto"/>
          <w:sz w:val="24"/>
          <w:highlight w:val="none"/>
        </w:rPr>
      </w:pPr>
      <w:r>
        <w:rPr>
          <w:rFonts w:hint="eastAsia"/>
          <w:color w:val="auto"/>
          <w:sz w:val="24"/>
          <w:highlight w:val="none"/>
        </w:rPr>
        <w:t>（</w:t>
      </w:r>
      <w:r>
        <w:rPr>
          <w:color w:val="auto"/>
          <w:sz w:val="24"/>
          <w:highlight w:val="none"/>
        </w:rPr>
        <w:t>14</w:t>
      </w:r>
      <w:r>
        <w:rPr>
          <w:rFonts w:hint="eastAsia"/>
          <w:color w:val="auto"/>
          <w:sz w:val="24"/>
          <w:highlight w:val="none"/>
        </w:rPr>
        <w:t>）评审办法所需的其他材料（按条款需要）</w:t>
      </w:r>
    </w:p>
    <w:p w14:paraId="2F4C8035">
      <w:pPr>
        <w:adjustRightInd w:val="0"/>
        <w:snapToGrid w:val="0"/>
        <w:spacing w:line="300" w:lineRule="auto"/>
        <w:ind w:firstLine="657" w:firstLineChars="274"/>
        <w:textAlignment w:val="top"/>
        <w:rPr>
          <w:rFonts w:ascii="宋体" w:hAnsi="宋体" w:cs="楷体_GB2312"/>
          <w:color w:val="auto"/>
          <w:sz w:val="24"/>
          <w:highlight w:val="none"/>
          <w:lang w:val="zh-CN"/>
        </w:rPr>
      </w:pPr>
      <w:r>
        <w:rPr>
          <w:rFonts w:hint="eastAsia" w:ascii="宋体" w:hAnsi="宋体" w:cs="楷体_GB2312"/>
          <w:color w:val="auto"/>
          <w:sz w:val="24"/>
          <w:highlight w:val="none"/>
          <w:lang w:val="zh-CN"/>
        </w:rPr>
        <w:t>14-1附件：证明材料查询核验工作的清单及要求</w:t>
      </w:r>
    </w:p>
    <w:p w14:paraId="083DEE43">
      <w:pPr>
        <w:autoSpaceDE w:val="0"/>
        <w:autoSpaceDN w:val="0"/>
        <w:adjustRightInd w:val="0"/>
        <w:snapToGrid w:val="0"/>
        <w:spacing w:line="300" w:lineRule="auto"/>
        <w:ind w:firstLine="520" w:firstLineChars="217"/>
        <w:rPr>
          <w:rFonts w:ascii="宋体" w:hAnsi="宋体"/>
          <w:color w:val="auto"/>
          <w:sz w:val="24"/>
          <w:highlight w:val="none"/>
        </w:rPr>
      </w:pPr>
      <w:r>
        <w:rPr>
          <w:rFonts w:hint="eastAsia" w:ascii="宋体" w:hAnsi="宋体" w:cs="楷体_GB2312"/>
          <w:color w:val="auto"/>
          <w:sz w:val="24"/>
          <w:highlight w:val="none"/>
          <w:lang w:val="zh-CN"/>
        </w:rPr>
        <w:t>（</w:t>
      </w:r>
      <w:r>
        <w:rPr>
          <w:rFonts w:ascii="宋体" w:hAnsi="宋体" w:cs="楷体_GB2312"/>
          <w:color w:val="auto"/>
          <w:sz w:val="24"/>
          <w:highlight w:val="none"/>
          <w:lang w:val="zh-CN"/>
        </w:rPr>
        <w:t>15</w:t>
      </w:r>
      <w:r>
        <w:rPr>
          <w:rFonts w:hint="eastAsia" w:ascii="宋体" w:hAnsi="宋体" w:cs="楷体_GB2312"/>
          <w:color w:val="auto"/>
          <w:sz w:val="24"/>
          <w:highlight w:val="none"/>
          <w:lang w:val="zh-CN"/>
        </w:rPr>
        <w:t>）</w:t>
      </w:r>
      <w:r>
        <w:rPr>
          <w:rFonts w:hint="eastAsia" w:ascii="宋体" w:hAnsi="宋体"/>
          <w:color w:val="auto"/>
          <w:sz w:val="24"/>
          <w:highlight w:val="none"/>
        </w:rPr>
        <w:t>供应商认为有必要提交的其它材料</w:t>
      </w:r>
    </w:p>
    <w:p w14:paraId="60218DEA">
      <w:pPr>
        <w:widowControl w:val="0"/>
        <w:snapToGrid w:val="0"/>
        <w:spacing w:line="560" w:lineRule="exact"/>
        <w:ind w:firstLine="555"/>
        <w:rPr>
          <w:color w:val="auto"/>
          <w:sz w:val="24"/>
          <w:szCs w:val="24"/>
          <w:highlight w:val="none"/>
        </w:rPr>
      </w:pPr>
      <w:r>
        <w:rPr>
          <w:color w:val="auto"/>
          <w:sz w:val="24"/>
          <w:szCs w:val="24"/>
          <w:highlight w:val="none"/>
        </w:rPr>
        <w:t>.........</w:t>
      </w:r>
    </w:p>
    <w:p w14:paraId="7A6EADEC">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据此函，签字代表宣布同意如下：</w:t>
      </w:r>
    </w:p>
    <w:p w14:paraId="4FFEFA53">
      <w:pPr>
        <w:widowControl w:val="0"/>
        <w:snapToGrid w:val="0"/>
        <w:spacing w:before="120" w:beforeLines="50" w:line="300" w:lineRule="auto"/>
        <w:ind w:firstLine="556"/>
        <w:rPr>
          <w:color w:val="auto"/>
          <w:sz w:val="24"/>
          <w:szCs w:val="24"/>
          <w:highlight w:val="none"/>
        </w:rPr>
      </w:pPr>
      <w:r>
        <w:rPr>
          <w:color w:val="auto"/>
          <w:sz w:val="24"/>
          <w:szCs w:val="24"/>
          <w:highlight w:val="none"/>
        </w:rPr>
        <w:t>1.</w:t>
      </w:r>
      <w:r>
        <w:rPr>
          <w:rFonts w:hint="eastAsia"/>
          <w:color w:val="auto"/>
          <w:sz w:val="24"/>
          <w:szCs w:val="24"/>
          <w:highlight w:val="none"/>
        </w:rPr>
        <w:t>所附“《响应文件》开标一览表”中规定的应提供和交付的投标总价为：</w:t>
      </w:r>
    </w:p>
    <w:p w14:paraId="297394C3">
      <w:pPr>
        <w:widowControl w:val="0"/>
        <w:snapToGrid w:val="0"/>
        <w:spacing w:before="120" w:beforeLines="50" w:line="300" w:lineRule="auto"/>
        <w:ind w:left="550" w:leftChars="262"/>
        <w:rPr>
          <w:color w:val="auto"/>
          <w:sz w:val="24"/>
          <w:szCs w:val="24"/>
          <w:highlight w:val="none"/>
        </w:rPr>
      </w:pPr>
      <w:r>
        <w:rPr>
          <w:rFonts w:hint="eastAsia"/>
          <w:color w:val="auto"/>
          <w:sz w:val="24"/>
          <w:szCs w:val="24"/>
          <w:highlight w:val="none"/>
        </w:rPr>
        <w:t>人民币</w:t>
      </w:r>
      <w:r>
        <w:rPr>
          <w:color w:val="auto"/>
          <w:sz w:val="24"/>
          <w:szCs w:val="24"/>
          <w:highlight w:val="none"/>
          <w:u w:val="single"/>
        </w:rPr>
        <w:tab/>
      </w:r>
      <w:r>
        <w:rPr>
          <w:rFonts w:hint="eastAsia"/>
          <w:color w:val="auto"/>
          <w:sz w:val="24"/>
          <w:szCs w:val="24"/>
          <w:highlight w:val="none"/>
        </w:rPr>
        <w:t>，即</w:t>
      </w:r>
      <w:r>
        <w:rPr>
          <w:color w:val="auto"/>
          <w:sz w:val="24"/>
          <w:szCs w:val="24"/>
          <w:highlight w:val="none"/>
          <w:u w:val="single"/>
        </w:rPr>
        <w:tab/>
      </w:r>
      <w:r>
        <w:rPr>
          <w:color w:val="auto"/>
          <w:sz w:val="24"/>
          <w:szCs w:val="24"/>
          <w:highlight w:val="none"/>
          <w:u w:val="single"/>
        </w:rPr>
        <w:tab/>
      </w:r>
      <w:r>
        <w:rPr>
          <w:color w:val="auto"/>
          <w:sz w:val="24"/>
          <w:szCs w:val="24"/>
          <w:highlight w:val="none"/>
          <w:u w:val="single"/>
        </w:rPr>
        <w:tab/>
      </w:r>
      <w:r>
        <w:rPr>
          <w:rFonts w:hint="eastAsia"/>
          <w:color w:val="auto"/>
          <w:sz w:val="24"/>
          <w:szCs w:val="24"/>
          <w:highlight w:val="none"/>
        </w:rPr>
        <w:t>（文字表述），服务期：</w:t>
      </w:r>
      <w:r>
        <w:rPr>
          <w:rFonts w:hint="eastAsia"/>
          <w:color w:val="auto"/>
          <w:sz w:val="24"/>
          <w:szCs w:val="24"/>
          <w:highlight w:val="none"/>
          <w:u w:val="single"/>
        </w:rPr>
        <w:t xml:space="preserve">                   </w:t>
      </w:r>
      <w:r>
        <w:rPr>
          <w:rFonts w:hint="eastAsia"/>
          <w:color w:val="auto"/>
          <w:sz w:val="24"/>
          <w:szCs w:val="24"/>
          <w:highlight w:val="none"/>
        </w:rPr>
        <w:t>，服务地点：</w:t>
      </w:r>
      <w:r>
        <w:rPr>
          <w:rFonts w:hint="eastAsia"/>
          <w:color w:val="auto"/>
          <w:sz w:val="24"/>
          <w:szCs w:val="24"/>
          <w:highlight w:val="none"/>
          <w:u w:val="single"/>
        </w:rPr>
        <w:t xml:space="preserve">                                 </w:t>
      </w:r>
      <w:r>
        <w:rPr>
          <w:rFonts w:hint="eastAsia"/>
          <w:color w:val="auto"/>
          <w:sz w:val="24"/>
          <w:szCs w:val="24"/>
          <w:highlight w:val="none"/>
        </w:rPr>
        <w:t>。</w:t>
      </w:r>
    </w:p>
    <w:p w14:paraId="0443BE42">
      <w:pPr>
        <w:widowControl w:val="0"/>
        <w:snapToGrid w:val="0"/>
        <w:spacing w:before="120" w:beforeLines="50" w:line="300" w:lineRule="auto"/>
        <w:ind w:firstLine="556"/>
        <w:rPr>
          <w:color w:val="auto"/>
          <w:sz w:val="24"/>
          <w:szCs w:val="24"/>
          <w:highlight w:val="none"/>
        </w:rPr>
      </w:pPr>
      <w:r>
        <w:rPr>
          <w:color w:val="auto"/>
          <w:sz w:val="24"/>
          <w:szCs w:val="24"/>
          <w:highlight w:val="none"/>
        </w:rPr>
        <w:t>2.</w:t>
      </w:r>
      <w:r>
        <w:rPr>
          <w:rFonts w:hint="eastAsia"/>
          <w:color w:val="auto"/>
          <w:sz w:val="24"/>
          <w:szCs w:val="24"/>
          <w:highlight w:val="none"/>
        </w:rPr>
        <w:t>如果我单位的投标书被接受，我单位将履行《磋商文件》中规定的每一项要求，按期、按质、按量履行合同。</w:t>
      </w:r>
    </w:p>
    <w:p w14:paraId="04881B92">
      <w:pPr>
        <w:widowControl w:val="0"/>
        <w:snapToGrid w:val="0"/>
        <w:spacing w:before="120" w:beforeLines="50" w:line="300" w:lineRule="auto"/>
        <w:ind w:firstLine="556"/>
        <w:rPr>
          <w:color w:val="auto"/>
          <w:sz w:val="24"/>
          <w:szCs w:val="24"/>
          <w:highlight w:val="none"/>
        </w:rPr>
      </w:pPr>
      <w:r>
        <w:rPr>
          <w:color w:val="auto"/>
          <w:sz w:val="24"/>
          <w:szCs w:val="24"/>
          <w:highlight w:val="none"/>
        </w:rPr>
        <w:t xml:space="preserve">3. </w:t>
      </w:r>
      <w:r>
        <w:rPr>
          <w:rFonts w:hint="eastAsia"/>
          <w:color w:val="auto"/>
          <w:sz w:val="24"/>
          <w:szCs w:val="24"/>
          <w:highlight w:val="none"/>
        </w:rPr>
        <w:t>我单位愿按《中华人民共和国民法典》履行我单位的全部责任。</w:t>
      </w:r>
    </w:p>
    <w:p w14:paraId="00865013">
      <w:pPr>
        <w:widowControl w:val="0"/>
        <w:snapToGrid w:val="0"/>
        <w:spacing w:before="120" w:beforeLines="50" w:line="300" w:lineRule="auto"/>
        <w:ind w:firstLine="556"/>
        <w:rPr>
          <w:color w:val="auto"/>
          <w:sz w:val="24"/>
          <w:szCs w:val="24"/>
          <w:highlight w:val="none"/>
        </w:rPr>
      </w:pPr>
      <w:r>
        <w:rPr>
          <w:color w:val="auto"/>
          <w:sz w:val="24"/>
          <w:szCs w:val="24"/>
          <w:highlight w:val="none"/>
        </w:rPr>
        <w:t xml:space="preserve">4. </w:t>
      </w:r>
      <w:r>
        <w:rPr>
          <w:rFonts w:hint="eastAsia"/>
          <w:color w:val="auto"/>
          <w:sz w:val="24"/>
          <w:szCs w:val="24"/>
          <w:highlight w:val="none"/>
        </w:rPr>
        <w:t>我单位已详细阅读并完全理解、同意《磋商文件》的全部内容，包括澄清、修改、补充文件（竞争性磋商公告所述媒体公布）以及全部参考资料和有关附件；除我单位在《磋商文件》规定期间内书面提出的疑问外，我单位放弃对这方面有不明及误解的权力。</w:t>
      </w:r>
    </w:p>
    <w:p w14:paraId="3240B09D">
      <w:pPr>
        <w:widowControl w:val="0"/>
        <w:snapToGrid w:val="0"/>
        <w:spacing w:before="120" w:beforeLines="50" w:line="300" w:lineRule="auto"/>
        <w:ind w:firstLine="556"/>
        <w:rPr>
          <w:color w:val="auto"/>
          <w:sz w:val="24"/>
          <w:szCs w:val="24"/>
          <w:highlight w:val="none"/>
        </w:rPr>
      </w:pPr>
      <w:r>
        <w:rPr>
          <w:color w:val="auto"/>
          <w:sz w:val="24"/>
          <w:szCs w:val="24"/>
          <w:highlight w:val="none"/>
        </w:rPr>
        <w:t>5.</w:t>
      </w:r>
      <w:r>
        <w:rPr>
          <w:rFonts w:hint="eastAsia"/>
          <w:color w:val="auto"/>
          <w:sz w:val="24"/>
          <w:szCs w:val="24"/>
          <w:highlight w:val="none"/>
        </w:rPr>
        <w:t>《响应文件》自开启日起有效期为</w:t>
      </w:r>
      <w:r>
        <w:rPr>
          <w:color w:val="auto"/>
          <w:sz w:val="24"/>
          <w:szCs w:val="24"/>
          <w:highlight w:val="none"/>
        </w:rPr>
        <w:t>90</w:t>
      </w:r>
      <w:r>
        <w:rPr>
          <w:rFonts w:hint="eastAsia"/>
          <w:color w:val="auto"/>
          <w:sz w:val="24"/>
          <w:szCs w:val="24"/>
          <w:highlight w:val="none"/>
        </w:rPr>
        <w:t>日历天。</w:t>
      </w:r>
    </w:p>
    <w:p w14:paraId="1613CEFD">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6.我单位承诺按照《磋商文件》规定的付款方式执行。</w:t>
      </w:r>
    </w:p>
    <w:p w14:paraId="004637A9">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如果在规定的开标时间后，我单位在投标有效期内撤回投标的，依据</w:t>
      </w:r>
      <w:r>
        <w:rPr>
          <w:rFonts w:hint="eastAsia" w:ascii="宋体" w:hAnsi="宋体"/>
          <w:color w:val="auto"/>
          <w:sz w:val="24"/>
          <w:szCs w:val="24"/>
          <w:highlight w:val="none"/>
        </w:rPr>
        <w:t>磋商</w:t>
      </w:r>
      <w:r>
        <w:rPr>
          <w:rFonts w:hint="eastAsia"/>
          <w:color w:val="auto"/>
          <w:sz w:val="24"/>
          <w:szCs w:val="24"/>
          <w:highlight w:val="none"/>
        </w:rPr>
        <w:t>文件“第三章3.5.5 违背承诺的责任追究措施”，我单位承担相应法律责任及违约责任。</w:t>
      </w:r>
    </w:p>
    <w:p w14:paraId="5343BACA">
      <w:pPr>
        <w:widowControl w:val="0"/>
        <w:snapToGrid w:val="0"/>
        <w:spacing w:before="120" w:beforeLines="50" w:line="300" w:lineRule="auto"/>
        <w:ind w:firstLine="556"/>
        <w:rPr>
          <w:color w:val="auto"/>
          <w:sz w:val="24"/>
          <w:szCs w:val="24"/>
          <w:highlight w:val="none"/>
        </w:rPr>
      </w:pPr>
      <w:r>
        <w:rPr>
          <w:rFonts w:hint="eastAsia"/>
          <w:color w:val="auto"/>
          <w:sz w:val="24"/>
          <w:szCs w:val="24"/>
          <w:highlight w:val="none"/>
        </w:rPr>
        <w:t>8</w:t>
      </w:r>
      <w:r>
        <w:rPr>
          <w:color w:val="auto"/>
          <w:sz w:val="24"/>
          <w:szCs w:val="24"/>
          <w:highlight w:val="none"/>
        </w:rPr>
        <w:t xml:space="preserve">. </w:t>
      </w:r>
      <w:r>
        <w:rPr>
          <w:rFonts w:hint="eastAsia"/>
          <w:color w:val="auto"/>
          <w:sz w:val="24"/>
          <w:szCs w:val="24"/>
          <w:highlight w:val="none"/>
        </w:rPr>
        <w:t>我单位同意提供按照贵方可能要求的与磋商有关的一切数据或资料，理解贵方不一定要接受最低价的投标或收到的任何投标。</w:t>
      </w:r>
    </w:p>
    <w:p w14:paraId="1F06B120">
      <w:pPr>
        <w:widowControl w:val="0"/>
        <w:snapToGrid w:val="0"/>
        <w:spacing w:line="560" w:lineRule="exact"/>
        <w:ind w:firstLine="555"/>
        <w:rPr>
          <w:color w:val="auto"/>
          <w:sz w:val="24"/>
          <w:szCs w:val="24"/>
          <w:highlight w:val="none"/>
        </w:rPr>
      </w:pPr>
      <w:r>
        <w:rPr>
          <w:rFonts w:hint="eastAsia"/>
          <w:color w:val="auto"/>
          <w:sz w:val="24"/>
          <w:szCs w:val="24"/>
          <w:highlight w:val="none"/>
        </w:rPr>
        <w:t>9</w:t>
      </w:r>
      <w:r>
        <w:rPr>
          <w:color w:val="auto"/>
          <w:sz w:val="24"/>
          <w:szCs w:val="24"/>
          <w:highlight w:val="none"/>
        </w:rPr>
        <w:t>.</w:t>
      </w:r>
      <w:r>
        <w:rPr>
          <w:rFonts w:hint="eastAsia"/>
          <w:color w:val="auto"/>
          <w:sz w:val="24"/>
          <w:szCs w:val="24"/>
          <w:highlight w:val="none"/>
        </w:rPr>
        <w:t>与本投标有关的一切正式往来请寄：</w:t>
      </w:r>
    </w:p>
    <w:p w14:paraId="1ADAD62C">
      <w:pPr>
        <w:widowControl w:val="0"/>
        <w:snapToGrid w:val="0"/>
        <w:spacing w:line="560" w:lineRule="exact"/>
        <w:ind w:firstLine="555"/>
        <w:jc w:val="left"/>
        <w:rPr>
          <w:color w:val="auto"/>
          <w:sz w:val="24"/>
          <w:szCs w:val="24"/>
          <w:highlight w:val="none"/>
        </w:rPr>
      </w:pPr>
      <w:r>
        <w:rPr>
          <w:rFonts w:hint="eastAsia"/>
          <w:color w:val="auto"/>
          <w:sz w:val="24"/>
          <w:szCs w:val="24"/>
          <w:highlight w:val="none"/>
        </w:rPr>
        <w:t>地址：</w:t>
      </w:r>
      <w:r>
        <w:rPr>
          <w:color w:val="auto"/>
          <w:sz w:val="24"/>
          <w:szCs w:val="24"/>
          <w:highlight w:val="none"/>
        </w:rPr>
        <w:tab/>
      </w:r>
      <w:r>
        <w:rPr>
          <w:color w:val="auto"/>
          <w:sz w:val="24"/>
          <w:szCs w:val="24"/>
          <w:highlight w:val="none"/>
        </w:rPr>
        <w:tab/>
      </w:r>
      <w:r>
        <w:rPr>
          <w:rFonts w:hint="eastAsia"/>
          <w:color w:val="auto"/>
          <w:sz w:val="24"/>
          <w:szCs w:val="24"/>
          <w:highlight w:val="none"/>
        </w:rPr>
        <w:t>邮政编码：</w:t>
      </w:r>
      <w:r>
        <w:rPr>
          <w:color w:val="auto"/>
          <w:sz w:val="24"/>
          <w:szCs w:val="24"/>
          <w:highlight w:val="none"/>
        </w:rPr>
        <w:tab/>
      </w:r>
    </w:p>
    <w:p w14:paraId="5D062459">
      <w:pPr>
        <w:widowControl w:val="0"/>
        <w:snapToGrid w:val="0"/>
        <w:spacing w:line="560" w:lineRule="exact"/>
        <w:ind w:firstLine="555"/>
        <w:rPr>
          <w:color w:val="auto"/>
          <w:sz w:val="24"/>
          <w:szCs w:val="24"/>
          <w:highlight w:val="none"/>
        </w:rPr>
      </w:pPr>
      <w:r>
        <w:rPr>
          <w:rFonts w:hint="eastAsia"/>
          <w:color w:val="auto"/>
          <w:sz w:val="24"/>
          <w:szCs w:val="24"/>
          <w:highlight w:val="none"/>
        </w:rPr>
        <w:t>电话：</w:t>
      </w:r>
      <w:r>
        <w:rPr>
          <w:color w:val="auto"/>
          <w:sz w:val="24"/>
          <w:szCs w:val="24"/>
          <w:highlight w:val="none"/>
        </w:rPr>
        <w:tab/>
      </w:r>
      <w:r>
        <w:rPr>
          <w:color w:val="auto"/>
          <w:sz w:val="24"/>
          <w:szCs w:val="24"/>
          <w:highlight w:val="none"/>
        </w:rPr>
        <w:tab/>
      </w:r>
      <w:r>
        <w:rPr>
          <w:rFonts w:hint="eastAsia"/>
          <w:color w:val="auto"/>
          <w:sz w:val="24"/>
          <w:szCs w:val="24"/>
          <w:highlight w:val="none"/>
        </w:rPr>
        <w:t>传真：</w:t>
      </w:r>
    </w:p>
    <w:p w14:paraId="6CCD8334">
      <w:pPr>
        <w:widowControl w:val="0"/>
        <w:snapToGrid w:val="0"/>
        <w:spacing w:line="560" w:lineRule="exact"/>
        <w:ind w:firstLine="555"/>
        <w:rPr>
          <w:color w:val="auto"/>
          <w:sz w:val="24"/>
          <w:szCs w:val="24"/>
          <w:highlight w:val="none"/>
        </w:rPr>
      </w:pPr>
    </w:p>
    <w:p w14:paraId="6A8AA5D7">
      <w:pPr>
        <w:widowControl w:val="0"/>
        <w:snapToGrid w:val="0"/>
        <w:spacing w:line="560" w:lineRule="exact"/>
        <w:ind w:firstLine="555"/>
        <w:rPr>
          <w:color w:val="auto"/>
          <w:sz w:val="24"/>
          <w:szCs w:val="24"/>
          <w:highlight w:val="none"/>
        </w:rPr>
      </w:pPr>
    </w:p>
    <w:p w14:paraId="06AE9B96">
      <w:pPr>
        <w:widowControl w:val="0"/>
        <w:snapToGrid w:val="0"/>
        <w:spacing w:line="560" w:lineRule="exact"/>
        <w:ind w:firstLine="555"/>
        <w:rPr>
          <w:color w:val="auto"/>
          <w:sz w:val="24"/>
          <w:szCs w:val="24"/>
          <w:highlight w:val="none"/>
        </w:rPr>
      </w:pPr>
    </w:p>
    <w:p w14:paraId="14D4E4A8">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747A0A55">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65EC8150">
      <w:pPr>
        <w:autoSpaceDE w:val="0"/>
        <w:autoSpaceDN w:val="0"/>
        <w:adjustRightInd w:val="0"/>
        <w:spacing w:line="360" w:lineRule="auto"/>
        <w:ind w:right="-817"/>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7D16356">
      <w:pPr>
        <w:spacing w:line="240" w:lineRule="auto"/>
        <w:jc w:val="left"/>
        <w:textAlignment w:val="auto"/>
        <w:rPr>
          <w:color w:val="auto"/>
          <w:sz w:val="24"/>
          <w:szCs w:val="24"/>
          <w:highlight w:val="none"/>
        </w:rPr>
      </w:pPr>
      <w:r>
        <w:rPr>
          <w:color w:val="auto"/>
          <w:sz w:val="24"/>
          <w:szCs w:val="24"/>
          <w:highlight w:val="none"/>
        </w:rPr>
        <w:br w:type="page"/>
      </w:r>
    </w:p>
    <w:p w14:paraId="51AEBAD4">
      <w:pPr>
        <w:widowControl w:val="0"/>
        <w:snapToGrid w:val="0"/>
        <w:spacing w:line="560" w:lineRule="exact"/>
        <w:jc w:val="center"/>
        <w:rPr>
          <w:rFonts w:eastAsia="方正黑体简体"/>
          <w:b/>
          <w:color w:val="auto"/>
          <w:sz w:val="30"/>
          <w:szCs w:val="30"/>
          <w:highlight w:val="none"/>
        </w:rPr>
      </w:pPr>
      <w:r>
        <w:rPr>
          <w:rFonts w:hint="eastAsia" w:eastAsia="方正黑体简体"/>
          <w:b/>
          <w:color w:val="auto"/>
          <w:sz w:val="30"/>
          <w:szCs w:val="30"/>
          <w:highlight w:val="none"/>
        </w:rPr>
        <w:t>二、开标一览表</w:t>
      </w:r>
      <w:r>
        <w:rPr>
          <w:rFonts w:hint="eastAsia" w:ascii="宋体" w:hAnsi="宋体"/>
          <w:b/>
          <w:color w:val="auto"/>
          <w:sz w:val="24"/>
          <w:szCs w:val="24"/>
          <w:highlight w:val="none"/>
        </w:rPr>
        <w:t>（即交易系统中报价一览表）</w:t>
      </w:r>
    </w:p>
    <w:p w14:paraId="2DDFA1A5">
      <w:pPr>
        <w:pStyle w:val="8"/>
        <w:adjustRightInd w:val="0"/>
        <w:snapToGrid w:val="0"/>
        <w:spacing w:before="0" w:beforeAutospacing="0" w:after="0" w:afterAutospacing="0"/>
        <w:rPr>
          <w:color w:val="auto"/>
          <w:highlight w:val="none"/>
        </w:rPr>
      </w:pPr>
    </w:p>
    <w:p w14:paraId="52E0F2B4">
      <w:pPr>
        <w:widowControl w:val="0"/>
        <w:snapToGrid w:val="0"/>
        <w:spacing w:before="120" w:beforeLines="50" w:line="240" w:lineRule="auto"/>
        <w:ind w:firstLine="542"/>
        <w:rPr>
          <w:b/>
          <w:color w:val="auto"/>
          <w:sz w:val="24"/>
          <w:szCs w:val="24"/>
          <w:highlight w:val="none"/>
        </w:rPr>
      </w:pPr>
      <w:r>
        <w:rPr>
          <w:rFonts w:hint="eastAsia"/>
          <w:b/>
          <w:color w:val="auto"/>
          <w:sz w:val="24"/>
          <w:szCs w:val="24"/>
          <w:highlight w:val="none"/>
        </w:rPr>
        <w:t>注：</w:t>
      </w:r>
      <w:r>
        <w:rPr>
          <w:b/>
          <w:color w:val="auto"/>
          <w:sz w:val="24"/>
          <w:szCs w:val="24"/>
          <w:highlight w:val="none"/>
        </w:rPr>
        <w:t>1</w:t>
      </w:r>
      <w:r>
        <w:rPr>
          <w:rFonts w:hint="eastAsia"/>
          <w:b/>
          <w:color w:val="auto"/>
          <w:sz w:val="24"/>
          <w:szCs w:val="24"/>
          <w:highlight w:val="none"/>
        </w:rPr>
        <w:t>、供应商需在</w:t>
      </w:r>
      <w:r>
        <w:rPr>
          <w:rFonts w:hint="eastAsia"/>
          <w:b/>
          <w:color w:val="auto"/>
          <w:sz w:val="24"/>
          <w:szCs w:val="24"/>
          <w:highlight w:val="none"/>
          <w:lang w:eastAsia="zh-CN"/>
        </w:rPr>
        <w:t>安阳</w:t>
      </w:r>
      <w:r>
        <w:rPr>
          <w:rFonts w:hint="eastAsia"/>
          <w:b/>
          <w:color w:val="auto"/>
          <w:sz w:val="24"/>
          <w:szCs w:val="24"/>
          <w:highlight w:val="none"/>
        </w:rPr>
        <w:t>市公共资源电子交易平台投标文件制作工具中、按系统要求填列报价一览表（即开标一览表），系统中填列的报价一览表（即开标一览表）为供应商《投标文件》的一部分。</w:t>
      </w:r>
    </w:p>
    <w:p w14:paraId="7DD9B299">
      <w:pPr>
        <w:widowControl w:val="0"/>
        <w:snapToGrid w:val="0"/>
        <w:spacing w:before="120" w:beforeLines="50" w:line="240" w:lineRule="auto"/>
        <w:ind w:firstLine="540"/>
        <w:rPr>
          <w:color w:val="auto"/>
          <w:sz w:val="24"/>
          <w:szCs w:val="24"/>
          <w:highlight w:val="none"/>
        </w:rPr>
      </w:pPr>
      <w:r>
        <w:rPr>
          <w:color w:val="auto"/>
          <w:sz w:val="24"/>
          <w:szCs w:val="24"/>
          <w:highlight w:val="none"/>
        </w:rPr>
        <w:t>2</w:t>
      </w:r>
      <w:r>
        <w:rPr>
          <w:rFonts w:hint="eastAsia"/>
          <w:color w:val="auto"/>
          <w:sz w:val="24"/>
          <w:szCs w:val="24"/>
          <w:highlight w:val="none"/>
        </w:rPr>
        <w:t>、供应商的投标报价（价格构成）应包括磋商文件所述投标报价的所有内容。</w:t>
      </w:r>
    </w:p>
    <w:p w14:paraId="01D388A2">
      <w:pPr>
        <w:widowControl w:val="0"/>
        <w:snapToGrid w:val="0"/>
        <w:spacing w:before="120" w:beforeLines="50" w:line="240" w:lineRule="auto"/>
        <w:ind w:firstLine="540"/>
        <w:jc w:val="left"/>
        <w:rPr>
          <w:color w:val="auto"/>
          <w:sz w:val="24"/>
          <w:szCs w:val="24"/>
          <w:highlight w:val="none"/>
        </w:rPr>
      </w:pPr>
      <w:r>
        <w:rPr>
          <w:color w:val="auto"/>
          <w:sz w:val="24"/>
          <w:szCs w:val="24"/>
          <w:highlight w:val="none"/>
        </w:rPr>
        <w:t>3</w:t>
      </w:r>
      <w:r>
        <w:rPr>
          <w:rFonts w:hint="eastAsia"/>
          <w:color w:val="auto"/>
          <w:sz w:val="24"/>
          <w:szCs w:val="24"/>
          <w:highlight w:val="none"/>
        </w:rPr>
        <w:t>、供应商可对磋商文件中所列的所有标段（包）进行分别投标，也可选择其中一个标段（包）或几个标段（包）投标，但不得将磋商文件规定的同一标段（包）的内容拆开投标，否则将按无效投标处理。</w:t>
      </w:r>
    </w:p>
    <w:p w14:paraId="4A4DF9B2">
      <w:pPr>
        <w:widowControl w:val="0"/>
        <w:snapToGrid w:val="0"/>
        <w:spacing w:before="120" w:beforeLines="50" w:line="240" w:lineRule="auto"/>
        <w:ind w:firstLine="540"/>
        <w:jc w:val="left"/>
        <w:rPr>
          <w:color w:val="auto"/>
          <w:sz w:val="24"/>
          <w:szCs w:val="24"/>
          <w:highlight w:val="none"/>
        </w:rPr>
      </w:pPr>
      <w:r>
        <w:rPr>
          <w:color w:val="auto"/>
          <w:sz w:val="24"/>
          <w:szCs w:val="24"/>
          <w:highlight w:val="none"/>
        </w:rPr>
        <w:t>4</w:t>
      </w:r>
      <w:r>
        <w:rPr>
          <w:rFonts w:hint="eastAsia"/>
          <w:color w:val="auto"/>
          <w:sz w:val="24"/>
          <w:szCs w:val="24"/>
          <w:highlight w:val="none"/>
        </w:rPr>
        <w:t>、开标一览表与报价明细表有差别时，以开标一览表为准；大写文字表示的数据与小写数字表示的有差别时，以大写文字表示的数据为准。</w:t>
      </w:r>
    </w:p>
    <w:p w14:paraId="4BF2F9D2">
      <w:pPr>
        <w:widowControl w:val="0"/>
        <w:snapToGrid w:val="0"/>
        <w:spacing w:line="360" w:lineRule="auto"/>
        <w:textAlignment w:val="top"/>
        <w:rPr>
          <w:b/>
          <w:color w:val="auto"/>
          <w:sz w:val="24"/>
          <w:szCs w:val="24"/>
          <w:highlight w:val="none"/>
        </w:rPr>
      </w:pPr>
    </w:p>
    <w:p w14:paraId="73C9FA39">
      <w:pPr>
        <w:widowControl w:val="0"/>
        <w:snapToGrid w:val="0"/>
        <w:spacing w:line="360" w:lineRule="auto"/>
        <w:textAlignment w:val="top"/>
        <w:rPr>
          <w:b/>
          <w:color w:val="auto"/>
          <w:sz w:val="24"/>
          <w:szCs w:val="24"/>
          <w:highlight w:val="none"/>
        </w:rPr>
      </w:pPr>
    </w:p>
    <w:p w14:paraId="6C906569">
      <w:pPr>
        <w:widowControl w:val="0"/>
        <w:snapToGrid w:val="0"/>
        <w:spacing w:line="360" w:lineRule="auto"/>
        <w:textAlignment w:val="top"/>
        <w:rPr>
          <w:b/>
          <w:color w:val="auto"/>
          <w:sz w:val="24"/>
          <w:szCs w:val="24"/>
          <w:highlight w:val="none"/>
        </w:rPr>
      </w:pPr>
    </w:p>
    <w:p w14:paraId="3360B23F">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358A0B0E">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4E721163">
      <w:pPr>
        <w:widowControl w:val="0"/>
        <w:tabs>
          <w:tab w:val="left" w:pos="9365"/>
        </w:tabs>
        <w:snapToGrid w:val="0"/>
        <w:spacing w:after="56" w:line="360" w:lineRule="exact"/>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01A7D8B6">
      <w:pPr>
        <w:widowControl w:val="0"/>
        <w:snapToGrid w:val="0"/>
        <w:spacing w:line="560" w:lineRule="exact"/>
        <w:jc w:val="center"/>
        <w:rPr>
          <w:rFonts w:ascii="黑体" w:hAnsi="黑体" w:eastAsia="黑体"/>
          <w:b/>
          <w:color w:val="auto"/>
          <w:sz w:val="30"/>
          <w:szCs w:val="30"/>
          <w:highlight w:val="none"/>
        </w:rPr>
      </w:pPr>
      <w:r>
        <w:rPr>
          <w:rFonts w:ascii="黑体" w:hAnsi="黑体" w:eastAsia="黑体"/>
          <w:b/>
          <w:color w:val="auto"/>
          <w:sz w:val="30"/>
          <w:szCs w:val="30"/>
          <w:highlight w:val="none"/>
        </w:rPr>
        <w:br w:type="page"/>
      </w:r>
    </w:p>
    <w:p w14:paraId="7D542DDD">
      <w:pPr>
        <w:widowControl w:val="0"/>
        <w:snapToGrid w:val="0"/>
        <w:spacing w:line="560" w:lineRule="exact"/>
        <w:jc w:val="center"/>
        <w:rPr>
          <w:b/>
          <w:color w:val="auto"/>
          <w:sz w:val="24"/>
          <w:szCs w:val="24"/>
          <w:highlight w:val="none"/>
        </w:rPr>
      </w:pPr>
      <w:r>
        <w:rPr>
          <w:rFonts w:hint="eastAsia" w:ascii="黑体" w:hAnsi="黑体" w:eastAsia="黑体"/>
          <w:b/>
          <w:color w:val="auto"/>
          <w:sz w:val="30"/>
          <w:szCs w:val="30"/>
          <w:highlight w:val="none"/>
        </w:rPr>
        <w:t>三、第一次报价明细表</w:t>
      </w:r>
    </w:p>
    <w:p w14:paraId="7CBB4AE8">
      <w:pPr>
        <w:pStyle w:val="8"/>
        <w:adjustRightInd w:val="0"/>
        <w:snapToGrid w:val="0"/>
        <w:spacing w:before="120" w:beforeLines="50" w:beforeAutospacing="0" w:after="0" w:afterAutospacing="0"/>
        <w:rPr>
          <w:color w:val="auto"/>
          <w:highlight w:val="none"/>
        </w:rPr>
      </w:pPr>
    </w:p>
    <w:p w14:paraId="08F3C95E">
      <w:pPr>
        <w:pStyle w:val="8"/>
        <w:adjustRightInd w:val="0"/>
        <w:snapToGrid w:val="0"/>
        <w:spacing w:before="0" w:beforeAutospacing="0" w:after="0" w:afterAutospacing="0"/>
        <w:rPr>
          <w:color w:val="auto"/>
          <w:highlight w:val="none"/>
          <w:u w:val="single"/>
        </w:rPr>
      </w:pPr>
      <w:r>
        <w:rPr>
          <w:rFonts w:hint="eastAsia"/>
          <w:color w:val="auto"/>
          <w:highlight w:val="none"/>
        </w:rPr>
        <w:t>项目名称：</w:t>
      </w:r>
    </w:p>
    <w:p w14:paraId="16A15F34">
      <w:pPr>
        <w:pStyle w:val="8"/>
        <w:adjustRightInd w:val="0"/>
        <w:snapToGrid w:val="0"/>
        <w:spacing w:before="0" w:beforeAutospacing="0" w:after="0" w:afterAutospacing="0"/>
        <w:rPr>
          <w:color w:val="auto"/>
          <w:highlight w:val="none"/>
        </w:rPr>
      </w:pPr>
      <w:r>
        <w:rPr>
          <w:rFonts w:hint="eastAsia"/>
          <w:color w:val="auto"/>
          <w:highlight w:val="none"/>
        </w:rPr>
        <w:t>项目编号：</w:t>
      </w:r>
    </w:p>
    <w:tbl>
      <w:tblPr>
        <w:tblStyle w:val="9"/>
        <w:tblW w:w="917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780"/>
        <w:gridCol w:w="749"/>
        <w:gridCol w:w="1134"/>
        <w:gridCol w:w="2268"/>
      </w:tblGrid>
      <w:tr w14:paraId="0468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14:paraId="6D6A59BF">
            <w:pPr>
              <w:spacing w:line="560" w:lineRule="exact"/>
              <w:jc w:val="center"/>
              <w:rPr>
                <w:color w:val="auto"/>
                <w:sz w:val="28"/>
                <w:highlight w:val="none"/>
              </w:rPr>
            </w:pPr>
            <w:r>
              <w:rPr>
                <w:rFonts w:hint="eastAsia"/>
                <w:color w:val="auto"/>
                <w:highlight w:val="none"/>
              </w:rPr>
              <w:t>序号</w:t>
            </w:r>
          </w:p>
        </w:tc>
        <w:tc>
          <w:tcPr>
            <w:tcW w:w="1623" w:type="dxa"/>
            <w:tcBorders>
              <w:top w:val="single" w:color="000000" w:sz="8" w:space="0"/>
              <w:bottom w:val="single" w:color="000000" w:sz="4" w:space="0"/>
              <w:right w:val="single" w:color="000000" w:sz="4" w:space="0"/>
            </w:tcBorders>
            <w:vAlign w:val="center"/>
          </w:tcPr>
          <w:p w14:paraId="60884CF8">
            <w:pPr>
              <w:spacing w:line="560" w:lineRule="exact"/>
              <w:jc w:val="center"/>
              <w:rPr>
                <w:color w:val="auto"/>
                <w:sz w:val="28"/>
                <w:highlight w:val="none"/>
              </w:rPr>
            </w:pPr>
            <w:r>
              <w:rPr>
                <w:rFonts w:hint="eastAsia"/>
                <w:color w:val="auto"/>
                <w:highlight w:val="none"/>
              </w:rPr>
              <w:t>费用名称</w:t>
            </w:r>
          </w:p>
        </w:tc>
        <w:tc>
          <w:tcPr>
            <w:tcW w:w="2160" w:type="dxa"/>
            <w:tcBorders>
              <w:top w:val="single" w:color="000000" w:sz="8" w:space="0"/>
              <w:bottom w:val="single" w:color="000000" w:sz="4" w:space="0"/>
            </w:tcBorders>
            <w:vAlign w:val="center"/>
          </w:tcPr>
          <w:p w14:paraId="7B5587E5">
            <w:pPr>
              <w:spacing w:line="560" w:lineRule="exact"/>
              <w:jc w:val="center"/>
              <w:rPr>
                <w:color w:val="auto"/>
                <w:sz w:val="28"/>
                <w:highlight w:val="none"/>
              </w:rPr>
            </w:pPr>
            <w:r>
              <w:rPr>
                <w:rFonts w:hint="eastAsia"/>
                <w:color w:val="auto"/>
                <w:highlight w:val="none"/>
              </w:rPr>
              <w:t>费用内容</w:t>
            </w:r>
          </w:p>
        </w:tc>
        <w:tc>
          <w:tcPr>
            <w:tcW w:w="780" w:type="dxa"/>
            <w:tcBorders>
              <w:top w:val="single" w:color="000000" w:sz="8" w:space="0"/>
              <w:bottom w:val="single" w:color="000000" w:sz="4" w:space="0"/>
              <w:right w:val="single" w:color="000000" w:sz="4" w:space="0"/>
            </w:tcBorders>
            <w:vAlign w:val="center"/>
          </w:tcPr>
          <w:p w14:paraId="23C1E4E1">
            <w:pPr>
              <w:spacing w:line="560" w:lineRule="exact"/>
              <w:jc w:val="center"/>
              <w:rPr>
                <w:color w:val="auto"/>
                <w:sz w:val="28"/>
                <w:highlight w:val="none"/>
              </w:rPr>
            </w:pPr>
            <w:r>
              <w:rPr>
                <w:rFonts w:hint="eastAsia"/>
                <w:color w:val="auto"/>
                <w:highlight w:val="none"/>
              </w:rPr>
              <w:t>单位</w:t>
            </w:r>
          </w:p>
        </w:tc>
        <w:tc>
          <w:tcPr>
            <w:tcW w:w="749" w:type="dxa"/>
            <w:tcBorders>
              <w:top w:val="single" w:color="000000" w:sz="8" w:space="0"/>
              <w:bottom w:val="single" w:color="000000" w:sz="4" w:space="0"/>
              <w:right w:val="single" w:color="000000" w:sz="4" w:space="0"/>
            </w:tcBorders>
            <w:vAlign w:val="center"/>
          </w:tcPr>
          <w:p w14:paraId="07E0B483">
            <w:pPr>
              <w:spacing w:line="560" w:lineRule="exact"/>
              <w:jc w:val="center"/>
              <w:rPr>
                <w:color w:val="auto"/>
                <w:sz w:val="28"/>
                <w:highlight w:val="none"/>
              </w:rPr>
            </w:pPr>
            <w:r>
              <w:rPr>
                <w:rFonts w:hint="eastAsia"/>
                <w:color w:val="auto"/>
                <w:highlight w:val="none"/>
              </w:rPr>
              <w:t>数量</w:t>
            </w:r>
          </w:p>
        </w:tc>
        <w:tc>
          <w:tcPr>
            <w:tcW w:w="1134" w:type="dxa"/>
            <w:tcBorders>
              <w:top w:val="single" w:color="000000" w:sz="8" w:space="0"/>
              <w:bottom w:val="single" w:color="000000" w:sz="4" w:space="0"/>
              <w:right w:val="single" w:color="000000" w:sz="4" w:space="0"/>
            </w:tcBorders>
            <w:vAlign w:val="center"/>
          </w:tcPr>
          <w:p w14:paraId="3BDD4B93">
            <w:pPr>
              <w:spacing w:line="560" w:lineRule="exact"/>
              <w:jc w:val="center"/>
              <w:rPr>
                <w:color w:val="auto"/>
                <w:sz w:val="28"/>
                <w:highlight w:val="none"/>
              </w:rPr>
            </w:pPr>
            <w:r>
              <w:rPr>
                <w:rFonts w:hint="eastAsia"/>
                <w:color w:val="auto"/>
                <w:highlight w:val="none"/>
              </w:rPr>
              <w:t>单价</w:t>
            </w:r>
          </w:p>
        </w:tc>
        <w:tc>
          <w:tcPr>
            <w:tcW w:w="2268" w:type="dxa"/>
            <w:tcBorders>
              <w:top w:val="single" w:color="000000" w:sz="8" w:space="0"/>
              <w:bottom w:val="single" w:color="000000" w:sz="4" w:space="0"/>
              <w:right w:val="single" w:color="000000" w:sz="8" w:space="0"/>
            </w:tcBorders>
            <w:vAlign w:val="center"/>
          </w:tcPr>
          <w:p w14:paraId="2A1CE64F">
            <w:pPr>
              <w:spacing w:line="560" w:lineRule="exact"/>
              <w:jc w:val="center"/>
              <w:rPr>
                <w:color w:val="auto"/>
                <w:sz w:val="28"/>
                <w:highlight w:val="none"/>
              </w:rPr>
            </w:pPr>
            <w:r>
              <w:rPr>
                <w:rFonts w:hint="eastAsia"/>
                <w:color w:val="auto"/>
                <w:highlight w:val="none"/>
              </w:rPr>
              <w:t>小计</w:t>
            </w:r>
          </w:p>
        </w:tc>
      </w:tr>
      <w:tr w14:paraId="3930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14:paraId="360D5F98">
            <w:pPr>
              <w:spacing w:line="560" w:lineRule="exact"/>
              <w:jc w:val="center"/>
              <w:rPr>
                <w:color w:val="auto"/>
                <w:sz w:val="28"/>
                <w:highlight w:val="none"/>
              </w:rPr>
            </w:pPr>
            <w:r>
              <w:rPr>
                <w:color w:val="auto"/>
                <w:highlight w:val="none"/>
              </w:rPr>
              <w:t>1</w:t>
            </w:r>
          </w:p>
        </w:tc>
        <w:tc>
          <w:tcPr>
            <w:tcW w:w="1623" w:type="dxa"/>
            <w:tcBorders>
              <w:bottom w:val="single" w:color="000000" w:sz="4" w:space="0"/>
              <w:right w:val="single" w:color="000000" w:sz="4" w:space="0"/>
            </w:tcBorders>
            <w:vAlign w:val="center"/>
          </w:tcPr>
          <w:p w14:paraId="167C3502">
            <w:pPr>
              <w:spacing w:line="560" w:lineRule="exact"/>
              <w:jc w:val="center"/>
              <w:rPr>
                <w:color w:val="auto"/>
                <w:sz w:val="28"/>
                <w:highlight w:val="none"/>
              </w:rPr>
            </w:pPr>
          </w:p>
        </w:tc>
        <w:tc>
          <w:tcPr>
            <w:tcW w:w="2160" w:type="dxa"/>
            <w:tcBorders>
              <w:bottom w:val="single" w:color="000000" w:sz="4" w:space="0"/>
            </w:tcBorders>
            <w:vAlign w:val="center"/>
          </w:tcPr>
          <w:p w14:paraId="36349F66">
            <w:pPr>
              <w:spacing w:line="560" w:lineRule="exact"/>
              <w:jc w:val="left"/>
              <w:rPr>
                <w:color w:val="auto"/>
                <w:sz w:val="28"/>
                <w:highlight w:val="none"/>
              </w:rPr>
            </w:pPr>
          </w:p>
        </w:tc>
        <w:tc>
          <w:tcPr>
            <w:tcW w:w="780" w:type="dxa"/>
            <w:tcBorders>
              <w:bottom w:val="single" w:color="000000" w:sz="4" w:space="0"/>
              <w:right w:val="single" w:color="000000" w:sz="4" w:space="0"/>
            </w:tcBorders>
            <w:vAlign w:val="center"/>
          </w:tcPr>
          <w:p w14:paraId="118BCAB0">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1FB6B6CE">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218459A4">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674176D6">
            <w:pPr>
              <w:spacing w:line="560" w:lineRule="exact"/>
              <w:jc w:val="center"/>
              <w:rPr>
                <w:color w:val="auto"/>
                <w:sz w:val="28"/>
                <w:highlight w:val="none"/>
              </w:rPr>
            </w:pPr>
          </w:p>
        </w:tc>
      </w:tr>
      <w:tr w14:paraId="3483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72A50C85">
            <w:pPr>
              <w:spacing w:line="560" w:lineRule="exact"/>
              <w:jc w:val="center"/>
              <w:rPr>
                <w:color w:val="auto"/>
                <w:sz w:val="28"/>
                <w:highlight w:val="none"/>
              </w:rPr>
            </w:pPr>
            <w:r>
              <w:rPr>
                <w:color w:val="auto"/>
                <w:highlight w:val="none"/>
              </w:rPr>
              <w:t>2</w:t>
            </w:r>
          </w:p>
        </w:tc>
        <w:tc>
          <w:tcPr>
            <w:tcW w:w="1623" w:type="dxa"/>
            <w:tcBorders>
              <w:bottom w:val="single" w:color="000000" w:sz="4" w:space="0"/>
              <w:right w:val="single" w:color="000000" w:sz="4" w:space="0"/>
            </w:tcBorders>
            <w:vAlign w:val="center"/>
          </w:tcPr>
          <w:p w14:paraId="72E38A5B">
            <w:pPr>
              <w:spacing w:line="560" w:lineRule="exact"/>
              <w:jc w:val="center"/>
              <w:rPr>
                <w:color w:val="auto"/>
                <w:sz w:val="28"/>
                <w:highlight w:val="none"/>
              </w:rPr>
            </w:pPr>
          </w:p>
        </w:tc>
        <w:tc>
          <w:tcPr>
            <w:tcW w:w="2160" w:type="dxa"/>
            <w:tcBorders>
              <w:bottom w:val="single" w:color="000000" w:sz="4" w:space="0"/>
            </w:tcBorders>
            <w:vAlign w:val="center"/>
          </w:tcPr>
          <w:p w14:paraId="18E7C319">
            <w:pPr>
              <w:spacing w:line="560" w:lineRule="exact"/>
              <w:jc w:val="left"/>
              <w:rPr>
                <w:color w:val="auto"/>
                <w:sz w:val="28"/>
                <w:highlight w:val="none"/>
              </w:rPr>
            </w:pPr>
          </w:p>
        </w:tc>
        <w:tc>
          <w:tcPr>
            <w:tcW w:w="780" w:type="dxa"/>
            <w:tcBorders>
              <w:bottom w:val="single" w:color="000000" w:sz="4" w:space="0"/>
              <w:right w:val="single" w:color="000000" w:sz="4" w:space="0"/>
            </w:tcBorders>
            <w:vAlign w:val="center"/>
          </w:tcPr>
          <w:p w14:paraId="17A75717">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2954C403">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438130D2">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2B305432">
            <w:pPr>
              <w:spacing w:line="560" w:lineRule="exact"/>
              <w:jc w:val="center"/>
              <w:rPr>
                <w:color w:val="auto"/>
                <w:sz w:val="28"/>
                <w:highlight w:val="none"/>
              </w:rPr>
            </w:pPr>
          </w:p>
        </w:tc>
      </w:tr>
      <w:tr w14:paraId="4068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3E917835">
            <w:pPr>
              <w:spacing w:line="560" w:lineRule="exact"/>
              <w:jc w:val="center"/>
              <w:rPr>
                <w:color w:val="auto"/>
                <w:sz w:val="28"/>
                <w:highlight w:val="none"/>
              </w:rPr>
            </w:pPr>
            <w:r>
              <w:rPr>
                <w:color w:val="auto"/>
                <w:highlight w:val="none"/>
              </w:rPr>
              <w:t>3</w:t>
            </w:r>
          </w:p>
        </w:tc>
        <w:tc>
          <w:tcPr>
            <w:tcW w:w="1623" w:type="dxa"/>
            <w:tcBorders>
              <w:bottom w:val="single" w:color="000000" w:sz="4" w:space="0"/>
              <w:right w:val="single" w:color="000000" w:sz="4" w:space="0"/>
            </w:tcBorders>
            <w:vAlign w:val="center"/>
          </w:tcPr>
          <w:p w14:paraId="7E1090C2">
            <w:pPr>
              <w:spacing w:line="560" w:lineRule="exact"/>
              <w:jc w:val="center"/>
              <w:rPr>
                <w:color w:val="auto"/>
                <w:sz w:val="28"/>
                <w:highlight w:val="none"/>
              </w:rPr>
            </w:pPr>
          </w:p>
        </w:tc>
        <w:tc>
          <w:tcPr>
            <w:tcW w:w="2160" w:type="dxa"/>
            <w:tcBorders>
              <w:bottom w:val="single" w:color="000000" w:sz="4" w:space="0"/>
            </w:tcBorders>
            <w:vAlign w:val="center"/>
          </w:tcPr>
          <w:p w14:paraId="62E37CE3">
            <w:pPr>
              <w:spacing w:line="560" w:lineRule="exact"/>
              <w:jc w:val="left"/>
              <w:rPr>
                <w:color w:val="auto"/>
                <w:sz w:val="28"/>
                <w:highlight w:val="none"/>
              </w:rPr>
            </w:pPr>
          </w:p>
        </w:tc>
        <w:tc>
          <w:tcPr>
            <w:tcW w:w="780" w:type="dxa"/>
            <w:tcBorders>
              <w:bottom w:val="single" w:color="000000" w:sz="4" w:space="0"/>
              <w:right w:val="single" w:color="000000" w:sz="4" w:space="0"/>
            </w:tcBorders>
            <w:vAlign w:val="center"/>
          </w:tcPr>
          <w:p w14:paraId="2712C99B">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49CBD477">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40A0B7D0">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3B5B6E00">
            <w:pPr>
              <w:spacing w:line="560" w:lineRule="exact"/>
              <w:jc w:val="center"/>
              <w:rPr>
                <w:color w:val="auto"/>
                <w:sz w:val="28"/>
                <w:highlight w:val="none"/>
              </w:rPr>
            </w:pPr>
          </w:p>
        </w:tc>
      </w:tr>
      <w:tr w14:paraId="382A5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14:paraId="47DE152C">
            <w:pPr>
              <w:spacing w:line="560" w:lineRule="exact"/>
              <w:jc w:val="center"/>
              <w:rPr>
                <w:color w:val="auto"/>
                <w:sz w:val="28"/>
                <w:highlight w:val="none"/>
              </w:rPr>
            </w:pPr>
            <w:r>
              <w:rPr>
                <w:color w:val="auto"/>
                <w:highlight w:val="none"/>
              </w:rPr>
              <w:t>4</w:t>
            </w:r>
          </w:p>
        </w:tc>
        <w:tc>
          <w:tcPr>
            <w:tcW w:w="1623" w:type="dxa"/>
            <w:tcBorders>
              <w:bottom w:val="single" w:color="000000" w:sz="4" w:space="0"/>
              <w:right w:val="single" w:color="000000" w:sz="4" w:space="0"/>
            </w:tcBorders>
            <w:vAlign w:val="center"/>
          </w:tcPr>
          <w:p w14:paraId="29F3844C">
            <w:pPr>
              <w:spacing w:line="560" w:lineRule="exact"/>
              <w:jc w:val="center"/>
              <w:rPr>
                <w:color w:val="auto"/>
                <w:sz w:val="28"/>
                <w:highlight w:val="none"/>
              </w:rPr>
            </w:pPr>
          </w:p>
        </w:tc>
        <w:tc>
          <w:tcPr>
            <w:tcW w:w="2160" w:type="dxa"/>
            <w:tcBorders>
              <w:bottom w:val="single" w:color="000000" w:sz="4" w:space="0"/>
            </w:tcBorders>
            <w:vAlign w:val="center"/>
          </w:tcPr>
          <w:p w14:paraId="22FCB906">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5F101059">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2E0F1BE7">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100AA4BE">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25343A78">
            <w:pPr>
              <w:spacing w:line="560" w:lineRule="exact"/>
              <w:jc w:val="center"/>
              <w:rPr>
                <w:color w:val="auto"/>
                <w:sz w:val="28"/>
                <w:highlight w:val="none"/>
              </w:rPr>
            </w:pPr>
          </w:p>
        </w:tc>
      </w:tr>
      <w:tr w14:paraId="7E25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14:paraId="27B34A23">
            <w:pPr>
              <w:spacing w:line="560" w:lineRule="exact"/>
              <w:jc w:val="center"/>
              <w:rPr>
                <w:color w:val="auto"/>
                <w:sz w:val="28"/>
                <w:highlight w:val="none"/>
              </w:rPr>
            </w:pPr>
            <w:r>
              <w:rPr>
                <w:color w:val="auto"/>
                <w:highlight w:val="none"/>
              </w:rPr>
              <w:t>5</w:t>
            </w:r>
          </w:p>
        </w:tc>
        <w:tc>
          <w:tcPr>
            <w:tcW w:w="1623" w:type="dxa"/>
            <w:tcBorders>
              <w:bottom w:val="single" w:color="000000" w:sz="4" w:space="0"/>
              <w:right w:val="single" w:color="000000" w:sz="4" w:space="0"/>
            </w:tcBorders>
            <w:vAlign w:val="center"/>
          </w:tcPr>
          <w:p w14:paraId="5395A93E">
            <w:pPr>
              <w:spacing w:line="560" w:lineRule="exact"/>
              <w:jc w:val="center"/>
              <w:rPr>
                <w:color w:val="auto"/>
                <w:sz w:val="28"/>
                <w:highlight w:val="none"/>
              </w:rPr>
            </w:pPr>
          </w:p>
        </w:tc>
        <w:tc>
          <w:tcPr>
            <w:tcW w:w="2160" w:type="dxa"/>
            <w:tcBorders>
              <w:bottom w:val="single" w:color="000000" w:sz="4" w:space="0"/>
            </w:tcBorders>
            <w:vAlign w:val="center"/>
          </w:tcPr>
          <w:p w14:paraId="14DB713A">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0B89EC10">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55439894">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7185334A">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6C2E7C2A">
            <w:pPr>
              <w:spacing w:line="560" w:lineRule="exact"/>
              <w:jc w:val="center"/>
              <w:rPr>
                <w:color w:val="auto"/>
                <w:sz w:val="28"/>
                <w:highlight w:val="none"/>
              </w:rPr>
            </w:pPr>
          </w:p>
        </w:tc>
      </w:tr>
      <w:tr w14:paraId="0C51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7250BC3F">
            <w:pPr>
              <w:spacing w:line="560" w:lineRule="exact"/>
              <w:jc w:val="center"/>
              <w:rPr>
                <w:color w:val="auto"/>
                <w:sz w:val="28"/>
                <w:highlight w:val="none"/>
              </w:rPr>
            </w:pPr>
            <w:r>
              <w:rPr>
                <w:color w:val="auto"/>
                <w:highlight w:val="none"/>
              </w:rPr>
              <w:t>6</w:t>
            </w:r>
          </w:p>
        </w:tc>
        <w:tc>
          <w:tcPr>
            <w:tcW w:w="1623" w:type="dxa"/>
            <w:tcBorders>
              <w:bottom w:val="single" w:color="000000" w:sz="4" w:space="0"/>
              <w:right w:val="single" w:color="000000" w:sz="4" w:space="0"/>
            </w:tcBorders>
            <w:vAlign w:val="center"/>
          </w:tcPr>
          <w:p w14:paraId="29D20B74">
            <w:pPr>
              <w:spacing w:line="560" w:lineRule="exact"/>
              <w:jc w:val="center"/>
              <w:rPr>
                <w:color w:val="auto"/>
                <w:sz w:val="28"/>
                <w:highlight w:val="none"/>
              </w:rPr>
            </w:pPr>
          </w:p>
        </w:tc>
        <w:tc>
          <w:tcPr>
            <w:tcW w:w="2160" w:type="dxa"/>
            <w:tcBorders>
              <w:bottom w:val="single" w:color="000000" w:sz="4" w:space="0"/>
            </w:tcBorders>
            <w:vAlign w:val="center"/>
          </w:tcPr>
          <w:p w14:paraId="6774D89E">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1B25A7A2">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589244D6">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58A3DF84">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3CA51AA9">
            <w:pPr>
              <w:spacing w:line="560" w:lineRule="exact"/>
              <w:jc w:val="center"/>
              <w:rPr>
                <w:color w:val="auto"/>
                <w:sz w:val="28"/>
                <w:highlight w:val="none"/>
              </w:rPr>
            </w:pPr>
          </w:p>
        </w:tc>
      </w:tr>
      <w:tr w14:paraId="5E640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14:paraId="19272920">
            <w:pPr>
              <w:spacing w:line="560" w:lineRule="exact"/>
              <w:jc w:val="center"/>
              <w:rPr>
                <w:color w:val="auto"/>
                <w:sz w:val="28"/>
                <w:highlight w:val="none"/>
              </w:rPr>
            </w:pPr>
            <w:r>
              <w:rPr>
                <w:color w:val="auto"/>
                <w:highlight w:val="none"/>
              </w:rPr>
              <w:t>7</w:t>
            </w:r>
          </w:p>
        </w:tc>
        <w:tc>
          <w:tcPr>
            <w:tcW w:w="1623" w:type="dxa"/>
            <w:tcBorders>
              <w:bottom w:val="single" w:color="000000" w:sz="4" w:space="0"/>
              <w:right w:val="single" w:color="000000" w:sz="4" w:space="0"/>
            </w:tcBorders>
            <w:vAlign w:val="center"/>
          </w:tcPr>
          <w:p w14:paraId="03438F09">
            <w:pPr>
              <w:spacing w:line="560" w:lineRule="exact"/>
              <w:jc w:val="center"/>
              <w:rPr>
                <w:color w:val="auto"/>
                <w:sz w:val="28"/>
                <w:highlight w:val="none"/>
              </w:rPr>
            </w:pPr>
          </w:p>
        </w:tc>
        <w:tc>
          <w:tcPr>
            <w:tcW w:w="2160" w:type="dxa"/>
            <w:tcBorders>
              <w:bottom w:val="single" w:color="000000" w:sz="4" w:space="0"/>
            </w:tcBorders>
            <w:vAlign w:val="center"/>
          </w:tcPr>
          <w:p w14:paraId="0A3CC8A2">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580D3237">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7E328869">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5C307118">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32B63BC3">
            <w:pPr>
              <w:spacing w:line="560" w:lineRule="exact"/>
              <w:jc w:val="center"/>
              <w:rPr>
                <w:color w:val="auto"/>
                <w:sz w:val="28"/>
                <w:highlight w:val="none"/>
              </w:rPr>
            </w:pPr>
          </w:p>
        </w:tc>
      </w:tr>
      <w:tr w14:paraId="3693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14:paraId="3781FC03">
            <w:pPr>
              <w:spacing w:line="560" w:lineRule="exact"/>
              <w:jc w:val="center"/>
              <w:rPr>
                <w:color w:val="auto"/>
                <w:sz w:val="28"/>
                <w:highlight w:val="none"/>
              </w:rPr>
            </w:pPr>
            <w:r>
              <w:rPr>
                <w:color w:val="auto"/>
                <w:highlight w:val="none"/>
              </w:rPr>
              <w:t>8</w:t>
            </w:r>
          </w:p>
        </w:tc>
        <w:tc>
          <w:tcPr>
            <w:tcW w:w="1623" w:type="dxa"/>
            <w:tcBorders>
              <w:bottom w:val="single" w:color="000000" w:sz="4" w:space="0"/>
              <w:right w:val="single" w:color="000000" w:sz="4" w:space="0"/>
            </w:tcBorders>
            <w:vAlign w:val="center"/>
          </w:tcPr>
          <w:p w14:paraId="0A811CB2">
            <w:pPr>
              <w:spacing w:line="560" w:lineRule="exact"/>
              <w:jc w:val="center"/>
              <w:rPr>
                <w:color w:val="auto"/>
                <w:sz w:val="28"/>
                <w:highlight w:val="none"/>
              </w:rPr>
            </w:pPr>
          </w:p>
        </w:tc>
        <w:tc>
          <w:tcPr>
            <w:tcW w:w="2160" w:type="dxa"/>
            <w:tcBorders>
              <w:bottom w:val="single" w:color="000000" w:sz="4" w:space="0"/>
            </w:tcBorders>
            <w:vAlign w:val="center"/>
          </w:tcPr>
          <w:p w14:paraId="12892788">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51E0D937">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51C1C38A">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3678DE02">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2578FA75">
            <w:pPr>
              <w:spacing w:line="560" w:lineRule="exact"/>
              <w:jc w:val="center"/>
              <w:rPr>
                <w:color w:val="auto"/>
                <w:sz w:val="28"/>
                <w:highlight w:val="none"/>
              </w:rPr>
            </w:pPr>
          </w:p>
        </w:tc>
      </w:tr>
      <w:tr w14:paraId="33230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14:paraId="1EB8384E">
            <w:pPr>
              <w:spacing w:line="560" w:lineRule="exact"/>
              <w:jc w:val="center"/>
              <w:rPr>
                <w:color w:val="auto"/>
                <w:sz w:val="28"/>
                <w:highlight w:val="none"/>
              </w:rPr>
            </w:pPr>
            <w:r>
              <w:rPr>
                <w:color w:val="auto"/>
                <w:highlight w:val="none"/>
              </w:rPr>
              <w:t>9</w:t>
            </w:r>
          </w:p>
        </w:tc>
        <w:tc>
          <w:tcPr>
            <w:tcW w:w="1623" w:type="dxa"/>
            <w:tcBorders>
              <w:bottom w:val="single" w:color="000000" w:sz="4" w:space="0"/>
              <w:right w:val="single" w:color="000000" w:sz="4" w:space="0"/>
            </w:tcBorders>
            <w:vAlign w:val="center"/>
          </w:tcPr>
          <w:p w14:paraId="7E334FF9">
            <w:pPr>
              <w:spacing w:line="560" w:lineRule="exact"/>
              <w:jc w:val="center"/>
              <w:rPr>
                <w:color w:val="auto"/>
                <w:sz w:val="28"/>
                <w:highlight w:val="none"/>
              </w:rPr>
            </w:pPr>
          </w:p>
        </w:tc>
        <w:tc>
          <w:tcPr>
            <w:tcW w:w="2160" w:type="dxa"/>
            <w:tcBorders>
              <w:bottom w:val="single" w:color="000000" w:sz="4" w:space="0"/>
            </w:tcBorders>
            <w:vAlign w:val="center"/>
          </w:tcPr>
          <w:p w14:paraId="6CB99109">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6A6EF386">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26850CF7">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530C8BF1">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268084E7">
            <w:pPr>
              <w:spacing w:line="560" w:lineRule="exact"/>
              <w:jc w:val="center"/>
              <w:rPr>
                <w:color w:val="auto"/>
                <w:sz w:val="28"/>
                <w:highlight w:val="none"/>
              </w:rPr>
            </w:pPr>
          </w:p>
        </w:tc>
      </w:tr>
      <w:tr w14:paraId="6B66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14:paraId="06B65715">
            <w:pPr>
              <w:spacing w:line="560" w:lineRule="exact"/>
              <w:jc w:val="center"/>
              <w:rPr>
                <w:color w:val="auto"/>
                <w:sz w:val="28"/>
                <w:highlight w:val="none"/>
              </w:rPr>
            </w:pPr>
            <w:r>
              <w:rPr>
                <w:color w:val="auto"/>
                <w:highlight w:val="none"/>
              </w:rPr>
              <w:t>......</w:t>
            </w:r>
          </w:p>
        </w:tc>
        <w:tc>
          <w:tcPr>
            <w:tcW w:w="1623" w:type="dxa"/>
            <w:tcBorders>
              <w:bottom w:val="single" w:color="000000" w:sz="4" w:space="0"/>
              <w:right w:val="single" w:color="000000" w:sz="4" w:space="0"/>
            </w:tcBorders>
            <w:vAlign w:val="center"/>
          </w:tcPr>
          <w:p w14:paraId="2B86EFE2">
            <w:pPr>
              <w:spacing w:line="560" w:lineRule="exact"/>
              <w:jc w:val="center"/>
              <w:rPr>
                <w:color w:val="auto"/>
                <w:sz w:val="28"/>
                <w:highlight w:val="none"/>
              </w:rPr>
            </w:pPr>
          </w:p>
        </w:tc>
        <w:tc>
          <w:tcPr>
            <w:tcW w:w="2160" w:type="dxa"/>
            <w:tcBorders>
              <w:bottom w:val="single" w:color="000000" w:sz="4" w:space="0"/>
            </w:tcBorders>
            <w:vAlign w:val="center"/>
          </w:tcPr>
          <w:p w14:paraId="2BE24111">
            <w:pPr>
              <w:spacing w:line="560" w:lineRule="exact"/>
              <w:jc w:val="center"/>
              <w:rPr>
                <w:color w:val="auto"/>
                <w:sz w:val="28"/>
                <w:highlight w:val="none"/>
              </w:rPr>
            </w:pPr>
          </w:p>
        </w:tc>
        <w:tc>
          <w:tcPr>
            <w:tcW w:w="780" w:type="dxa"/>
            <w:tcBorders>
              <w:bottom w:val="single" w:color="000000" w:sz="4" w:space="0"/>
              <w:right w:val="single" w:color="000000" w:sz="4" w:space="0"/>
            </w:tcBorders>
            <w:vAlign w:val="center"/>
          </w:tcPr>
          <w:p w14:paraId="27004EEB">
            <w:pPr>
              <w:spacing w:line="560" w:lineRule="exact"/>
              <w:jc w:val="center"/>
              <w:rPr>
                <w:color w:val="auto"/>
                <w:sz w:val="28"/>
                <w:highlight w:val="none"/>
              </w:rPr>
            </w:pPr>
          </w:p>
        </w:tc>
        <w:tc>
          <w:tcPr>
            <w:tcW w:w="749" w:type="dxa"/>
            <w:tcBorders>
              <w:bottom w:val="single" w:color="000000" w:sz="4" w:space="0"/>
              <w:right w:val="single" w:color="000000" w:sz="4" w:space="0"/>
            </w:tcBorders>
            <w:vAlign w:val="center"/>
          </w:tcPr>
          <w:p w14:paraId="59D89657">
            <w:pPr>
              <w:spacing w:line="560" w:lineRule="exact"/>
              <w:jc w:val="center"/>
              <w:rPr>
                <w:color w:val="auto"/>
                <w:sz w:val="28"/>
                <w:highlight w:val="none"/>
              </w:rPr>
            </w:pPr>
          </w:p>
        </w:tc>
        <w:tc>
          <w:tcPr>
            <w:tcW w:w="1134" w:type="dxa"/>
            <w:tcBorders>
              <w:bottom w:val="single" w:color="000000" w:sz="4" w:space="0"/>
              <w:right w:val="single" w:color="000000" w:sz="4" w:space="0"/>
            </w:tcBorders>
            <w:vAlign w:val="center"/>
          </w:tcPr>
          <w:p w14:paraId="5A982972">
            <w:pPr>
              <w:spacing w:line="560" w:lineRule="exact"/>
              <w:jc w:val="center"/>
              <w:rPr>
                <w:color w:val="auto"/>
                <w:sz w:val="28"/>
                <w:highlight w:val="none"/>
              </w:rPr>
            </w:pPr>
          </w:p>
        </w:tc>
        <w:tc>
          <w:tcPr>
            <w:tcW w:w="2268" w:type="dxa"/>
            <w:tcBorders>
              <w:bottom w:val="single" w:color="000000" w:sz="4" w:space="0"/>
              <w:right w:val="single" w:color="000000" w:sz="8" w:space="0"/>
            </w:tcBorders>
            <w:vAlign w:val="center"/>
          </w:tcPr>
          <w:p w14:paraId="393F390E">
            <w:pPr>
              <w:spacing w:line="560" w:lineRule="exact"/>
              <w:jc w:val="center"/>
              <w:rPr>
                <w:color w:val="auto"/>
                <w:sz w:val="28"/>
                <w:highlight w:val="none"/>
              </w:rPr>
            </w:pPr>
          </w:p>
        </w:tc>
      </w:tr>
      <w:tr w14:paraId="7A5B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9179" w:type="dxa"/>
            <w:gridSpan w:val="7"/>
            <w:tcBorders>
              <w:left w:val="single" w:color="000000" w:sz="8" w:space="0"/>
              <w:bottom w:val="single" w:color="000000" w:sz="8" w:space="0"/>
              <w:right w:val="single" w:color="000000" w:sz="8" w:space="0"/>
            </w:tcBorders>
            <w:vAlign w:val="center"/>
          </w:tcPr>
          <w:p w14:paraId="76E541E3">
            <w:pPr>
              <w:spacing w:line="560" w:lineRule="exact"/>
              <w:jc w:val="left"/>
              <w:rPr>
                <w:color w:val="auto"/>
                <w:highlight w:val="none"/>
              </w:rPr>
            </w:pPr>
            <w:r>
              <w:rPr>
                <w:rFonts w:hint="eastAsia"/>
                <w:color w:val="auto"/>
                <w:highlight w:val="none"/>
              </w:rPr>
              <w:t>磋商报价：佰</w:t>
            </w:r>
            <w:r>
              <w:rPr>
                <w:color w:val="auto"/>
                <w:highlight w:val="none"/>
              </w:rPr>
              <w:t xml:space="preserve">   </w:t>
            </w:r>
            <w:r>
              <w:rPr>
                <w:rFonts w:hint="eastAsia"/>
                <w:color w:val="auto"/>
                <w:highlight w:val="none"/>
              </w:rPr>
              <w:t>拾</w:t>
            </w:r>
            <w:r>
              <w:rPr>
                <w:color w:val="auto"/>
                <w:highlight w:val="none"/>
              </w:rPr>
              <w:t xml:space="preserve">   </w:t>
            </w:r>
            <w:r>
              <w:rPr>
                <w:rFonts w:hint="eastAsia"/>
                <w:color w:val="auto"/>
                <w:highlight w:val="none"/>
              </w:rPr>
              <w:t>万</w:t>
            </w:r>
            <w:r>
              <w:rPr>
                <w:color w:val="auto"/>
                <w:highlight w:val="none"/>
              </w:rPr>
              <w:t xml:space="preserve">   </w:t>
            </w:r>
            <w:r>
              <w:rPr>
                <w:rFonts w:hint="eastAsia"/>
                <w:color w:val="auto"/>
                <w:highlight w:val="none"/>
              </w:rPr>
              <w:t>仟</w:t>
            </w:r>
            <w:r>
              <w:rPr>
                <w:color w:val="auto"/>
                <w:highlight w:val="none"/>
              </w:rPr>
              <w:t xml:space="preserve">   </w:t>
            </w:r>
            <w:r>
              <w:rPr>
                <w:rFonts w:hint="eastAsia"/>
                <w:color w:val="auto"/>
                <w:highlight w:val="none"/>
              </w:rPr>
              <w:t>佰</w:t>
            </w:r>
            <w:r>
              <w:rPr>
                <w:color w:val="auto"/>
                <w:highlight w:val="none"/>
              </w:rPr>
              <w:t xml:space="preserve">   </w:t>
            </w:r>
            <w:r>
              <w:rPr>
                <w:rFonts w:hint="eastAsia"/>
                <w:color w:val="auto"/>
                <w:highlight w:val="none"/>
              </w:rPr>
              <w:t>拾</w:t>
            </w:r>
            <w:r>
              <w:rPr>
                <w:color w:val="auto"/>
                <w:highlight w:val="none"/>
              </w:rPr>
              <w:t xml:space="preserve">     </w:t>
            </w:r>
            <w:r>
              <w:rPr>
                <w:rFonts w:hint="eastAsia"/>
                <w:color w:val="auto"/>
                <w:highlight w:val="none"/>
              </w:rPr>
              <w:t>元整</w:t>
            </w:r>
          </w:p>
          <w:p w14:paraId="0F3F6BFE">
            <w:pPr>
              <w:spacing w:line="560" w:lineRule="exact"/>
              <w:jc w:val="center"/>
              <w:rPr>
                <w:color w:val="auto"/>
                <w:sz w:val="28"/>
                <w:highlight w:val="none"/>
              </w:rPr>
            </w:pPr>
            <w:r>
              <w:rPr>
                <w:rFonts w:hint="eastAsia"/>
                <w:color w:val="auto"/>
                <w:highlight w:val="none"/>
              </w:rPr>
              <w:t>（小写：￥　</w:t>
            </w:r>
            <w:r>
              <w:rPr>
                <w:color w:val="auto"/>
                <w:highlight w:val="none"/>
              </w:rPr>
              <w:t xml:space="preserve">      </w:t>
            </w:r>
            <w:r>
              <w:rPr>
                <w:rFonts w:hint="eastAsia"/>
                <w:color w:val="auto"/>
                <w:highlight w:val="none"/>
              </w:rPr>
              <w:t>　　　元）</w:t>
            </w:r>
          </w:p>
        </w:tc>
      </w:tr>
    </w:tbl>
    <w:p w14:paraId="473EB1E7">
      <w:pPr>
        <w:widowControl w:val="0"/>
        <w:tabs>
          <w:tab w:val="left" w:pos="9365"/>
        </w:tabs>
        <w:snapToGrid w:val="0"/>
        <w:spacing w:after="56" w:line="360" w:lineRule="exact"/>
        <w:ind w:right="85" w:firstLine="601"/>
        <w:textAlignment w:val="top"/>
        <w:rPr>
          <w:color w:val="auto"/>
          <w:highlight w:val="none"/>
        </w:rPr>
      </w:pPr>
    </w:p>
    <w:p w14:paraId="7A1D8CBB">
      <w:pPr>
        <w:widowControl w:val="0"/>
        <w:tabs>
          <w:tab w:val="left" w:pos="9365"/>
        </w:tabs>
        <w:snapToGrid w:val="0"/>
        <w:spacing w:after="56" w:line="360" w:lineRule="exact"/>
        <w:ind w:right="85" w:firstLine="601"/>
        <w:textAlignment w:val="top"/>
        <w:rPr>
          <w:color w:val="auto"/>
          <w:highlight w:val="none"/>
        </w:rPr>
      </w:pPr>
    </w:p>
    <w:p w14:paraId="364E6FC9">
      <w:pPr>
        <w:widowControl w:val="0"/>
        <w:tabs>
          <w:tab w:val="left" w:pos="9365"/>
        </w:tabs>
        <w:snapToGrid w:val="0"/>
        <w:spacing w:after="56" w:line="360" w:lineRule="exact"/>
        <w:ind w:right="85" w:firstLine="601"/>
        <w:textAlignment w:val="top"/>
        <w:rPr>
          <w:b/>
          <w:color w:val="auto"/>
          <w:highlight w:val="none"/>
        </w:rPr>
      </w:pPr>
    </w:p>
    <w:p w14:paraId="3B1C343D">
      <w:pPr>
        <w:autoSpaceDE w:val="0"/>
        <w:autoSpaceDN w:val="0"/>
        <w:adjustRightInd w:val="0"/>
        <w:spacing w:line="360" w:lineRule="auto"/>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7F0A9A1A">
      <w:pPr>
        <w:autoSpaceDE w:val="0"/>
        <w:autoSpaceDN w:val="0"/>
        <w:adjustRightInd w:val="0"/>
        <w:spacing w:line="360" w:lineRule="auto"/>
        <w:ind w:left="-2" w:right="-817" w:firstLine="2"/>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42230CCA">
      <w:pPr>
        <w:widowControl w:val="0"/>
        <w:tabs>
          <w:tab w:val="left" w:pos="9365"/>
        </w:tabs>
        <w:snapToGrid w:val="0"/>
        <w:spacing w:after="56" w:line="360" w:lineRule="exact"/>
        <w:ind w:right="85"/>
        <w:textAlignment w:val="top"/>
        <w:rPr>
          <w:b/>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965A268">
      <w:pPr>
        <w:widowControl w:val="0"/>
        <w:snapToGrid w:val="0"/>
        <w:spacing w:line="560" w:lineRule="exact"/>
        <w:jc w:val="left"/>
        <w:rPr>
          <w:color w:val="auto"/>
          <w:sz w:val="28"/>
          <w:highlight w:val="none"/>
        </w:rPr>
      </w:pPr>
      <w:r>
        <w:rPr>
          <w:color w:val="auto"/>
          <w:sz w:val="28"/>
          <w:highlight w:val="none"/>
        </w:rPr>
        <w:br w:type="page"/>
      </w:r>
    </w:p>
    <w:p w14:paraId="1A200146">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四、服务方案及服务质量承诺</w:t>
      </w:r>
    </w:p>
    <w:p w14:paraId="5B6AD0A9">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（格式自定）</w:t>
      </w:r>
    </w:p>
    <w:p w14:paraId="02FC55DA">
      <w:pPr>
        <w:pStyle w:val="8"/>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739C7377">
      <w:pPr>
        <w:pStyle w:val="8"/>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p w14:paraId="56C92D3C">
      <w:pPr>
        <w:widowControl w:val="0"/>
        <w:snapToGrid w:val="0"/>
        <w:spacing w:line="560" w:lineRule="exact"/>
        <w:jc w:val="center"/>
        <w:rPr>
          <w:color w:val="auto"/>
          <w:highlight w:val="none"/>
        </w:rPr>
      </w:pPr>
    </w:p>
    <w:p w14:paraId="3F2E1F94">
      <w:pPr>
        <w:widowControl w:val="0"/>
        <w:snapToGrid w:val="0"/>
        <w:spacing w:line="560" w:lineRule="exact"/>
        <w:jc w:val="center"/>
        <w:rPr>
          <w:color w:val="auto"/>
          <w:sz w:val="28"/>
          <w:highlight w:val="none"/>
        </w:rPr>
      </w:pPr>
    </w:p>
    <w:p w14:paraId="04584725">
      <w:pPr>
        <w:widowControl w:val="0"/>
        <w:snapToGrid w:val="0"/>
        <w:spacing w:line="560" w:lineRule="exact"/>
        <w:jc w:val="center"/>
        <w:rPr>
          <w:color w:val="auto"/>
          <w:sz w:val="28"/>
          <w:highlight w:val="none"/>
        </w:rPr>
      </w:pPr>
    </w:p>
    <w:p w14:paraId="37DA25E9">
      <w:pPr>
        <w:widowControl w:val="0"/>
        <w:snapToGrid w:val="0"/>
        <w:spacing w:line="560" w:lineRule="exact"/>
        <w:jc w:val="center"/>
        <w:rPr>
          <w:color w:val="auto"/>
          <w:sz w:val="28"/>
          <w:highlight w:val="none"/>
        </w:rPr>
      </w:pPr>
    </w:p>
    <w:p w14:paraId="0795227C">
      <w:pPr>
        <w:widowControl w:val="0"/>
        <w:snapToGrid w:val="0"/>
        <w:spacing w:line="560" w:lineRule="exact"/>
        <w:jc w:val="center"/>
        <w:rPr>
          <w:color w:val="auto"/>
          <w:sz w:val="28"/>
          <w:highlight w:val="none"/>
        </w:rPr>
      </w:pPr>
    </w:p>
    <w:p w14:paraId="51EFA873">
      <w:pPr>
        <w:widowControl w:val="0"/>
        <w:snapToGrid w:val="0"/>
        <w:spacing w:line="560" w:lineRule="exact"/>
        <w:jc w:val="center"/>
        <w:rPr>
          <w:color w:val="auto"/>
          <w:sz w:val="28"/>
          <w:highlight w:val="none"/>
        </w:rPr>
      </w:pPr>
    </w:p>
    <w:p w14:paraId="0CC6F72B">
      <w:pPr>
        <w:widowControl w:val="0"/>
        <w:snapToGrid w:val="0"/>
        <w:spacing w:line="560" w:lineRule="exact"/>
        <w:jc w:val="center"/>
        <w:rPr>
          <w:color w:val="auto"/>
          <w:sz w:val="28"/>
          <w:highlight w:val="none"/>
        </w:rPr>
      </w:pPr>
    </w:p>
    <w:p w14:paraId="12223379">
      <w:pPr>
        <w:widowControl w:val="0"/>
        <w:snapToGrid w:val="0"/>
        <w:spacing w:line="560" w:lineRule="exact"/>
        <w:jc w:val="center"/>
        <w:rPr>
          <w:color w:val="auto"/>
          <w:sz w:val="28"/>
          <w:highlight w:val="none"/>
        </w:rPr>
      </w:pPr>
    </w:p>
    <w:p w14:paraId="6B466B01">
      <w:pPr>
        <w:widowControl w:val="0"/>
        <w:snapToGrid w:val="0"/>
        <w:spacing w:line="560" w:lineRule="exact"/>
        <w:jc w:val="center"/>
        <w:rPr>
          <w:color w:val="auto"/>
          <w:sz w:val="28"/>
          <w:highlight w:val="none"/>
        </w:rPr>
      </w:pPr>
    </w:p>
    <w:p w14:paraId="18957093">
      <w:pPr>
        <w:widowControl w:val="0"/>
        <w:snapToGrid w:val="0"/>
        <w:spacing w:line="560" w:lineRule="exact"/>
        <w:jc w:val="center"/>
        <w:rPr>
          <w:color w:val="auto"/>
          <w:sz w:val="28"/>
          <w:highlight w:val="none"/>
        </w:rPr>
      </w:pPr>
    </w:p>
    <w:p w14:paraId="211A64A8">
      <w:pPr>
        <w:widowControl w:val="0"/>
        <w:snapToGrid w:val="0"/>
        <w:spacing w:line="560" w:lineRule="exact"/>
        <w:jc w:val="center"/>
        <w:rPr>
          <w:color w:val="auto"/>
          <w:sz w:val="28"/>
          <w:highlight w:val="none"/>
        </w:rPr>
      </w:pPr>
    </w:p>
    <w:p w14:paraId="5DAE587B">
      <w:pPr>
        <w:widowControl w:val="0"/>
        <w:snapToGrid w:val="0"/>
        <w:spacing w:line="560" w:lineRule="exact"/>
        <w:jc w:val="center"/>
        <w:rPr>
          <w:color w:val="auto"/>
          <w:sz w:val="28"/>
          <w:highlight w:val="none"/>
        </w:rPr>
      </w:pPr>
    </w:p>
    <w:p w14:paraId="174927E6">
      <w:pPr>
        <w:widowControl w:val="0"/>
        <w:snapToGrid w:val="0"/>
        <w:spacing w:line="560" w:lineRule="exact"/>
        <w:jc w:val="center"/>
        <w:rPr>
          <w:color w:val="auto"/>
          <w:sz w:val="28"/>
          <w:highlight w:val="none"/>
        </w:rPr>
      </w:pPr>
    </w:p>
    <w:p w14:paraId="53CD8209">
      <w:pPr>
        <w:widowControl w:val="0"/>
        <w:snapToGrid w:val="0"/>
        <w:spacing w:line="560" w:lineRule="exact"/>
        <w:jc w:val="center"/>
        <w:rPr>
          <w:color w:val="auto"/>
          <w:sz w:val="28"/>
          <w:highlight w:val="none"/>
        </w:rPr>
      </w:pPr>
    </w:p>
    <w:p w14:paraId="0DC369B1">
      <w:pPr>
        <w:widowControl w:val="0"/>
        <w:snapToGrid w:val="0"/>
        <w:spacing w:line="560" w:lineRule="exact"/>
        <w:jc w:val="center"/>
        <w:rPr>
          <w:color w:val="auto"/>
          <w:sz w:val="28"/>
          <w:highlight w:val="none"/>
        </w:rPr>
      </w:pPr>
    </w:p>
    <w:p w14:paraId="13210797">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4B1CF946">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6532E567">
      <w:pPr>
        <w:widowControl w:val="0"/>
        <w:tabs>
          <w:tab w:val="left" w:pos="9365"/>
        </w:tabs>
        <w:snapToGrid w:val="0"/>
        <w:spacing w:after="56" w:line="560" w:lineRule="exact"/>
        <w:ind w:right="56"/>
        <w:jc w:val="left"/>
        <w:textAlignment w:val="top"/>
        <w:rPr>
          <w:color w:val="auto"/>
          <w:highlight w:val="none"/>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B3FA851">
      <w:pPr>
        <w:spacing w:line="240" w:lineRule="auto"/>
        <w:rPr>
          <w:color w:val="auto"/>
          <w:sz w:val="24"/>
          <w:highlight w:val="none"/>
        </w:rPr>
      </w:pPr>
    </w:p>
    <w:p w14:paraId="36444234">
      <w:pPr>
        <w:widowControl w:val="0"/>
        <w:snapToGrid w:val="0"/>
        <w:spacing w:line="560" w:lineRule="exact"/>
        <w:jc w:val="center"/>
        <w:rPr>
          <w:rFonts w:hint="eastAsia" w:eastAsia="方正黑体简体"/>
          <w:b/>
          <w:color w:val="auto"/>
          <w:sz w:val="30"/>
          <w:szCs w:val="30"/>
          <w:highlight w:val="none"/>
        </w:rPr>
      </w:pPr>
      <w:r>
        <w:rPr>
          <w:rFonts w:eastAsia="方正黑体简体"/>
          <w:b/>
          <w:color w:val="auto"/>
          <w:sz w:val="30"/>
          <w:szCs w:val="30"/>
          <w:highlight w:val="none"/>
        </w:rPr>
        <w:br w:type="page"/>
      </w:r>
      <w:bookmarkStart w:id="49" w:name="OLE_LINK22"/>
    </w:p>
    <w:p w14:paraId="39671001">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五、</w:t>
      </w:r>
      <w:bookmarkEnd w:id="49"/>
      <w:r>
        <w:rPr>
          <w:rFonts w:hint="eastAsia" w:ascii="黑体" w:hAnsi="黑体" w:eastAsia="黑体"/>
          <w:b/>
          <w:color w:val="auto"/>
          <w:sz w:val="30"/>
          <w:szCs w:val="30"/>
          <w:highlight w:val="none"/>
        </w:rPr>
        <w:t>服务拟投入设备清单及其技术参数</w:t>
      </w:r>
    </w:p>
    <w:p w14:paraId="30BF84EE">
      <w:pPr>
        <w:pStyle w:val="8"/>
        <w:adjustRightInd w:val="0"/>
        <w:snapToGrid w:val="0"/>
        <w:spacing w:before="0" w:beforeAutospacing="0" w:after="0" w:afterAutospacing="0"/>
        <w:rPr>
          <w:color w:val="auto"/>
          <w:highlight w:val="none"/>
        </w:rPr>
      </w:pPr>
    </w:p>
    <w:p w14:paraId="32A94ACD">
      <w:pPr>
        <w:pStyle w:val="8"/>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24E367BE">
      <w:pPr>
        <w:pStyle w:val="8"/>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9"/>
        <w:tblW w:w="9371"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0"/>
        <w:gridCol w:w="2759"/>
        <w:gridCol w:w="540"/>
        <w:gridCol w:w="540"/>
        <w:gridCol w:w="1755"/>
        <w:gridCol w:w="3297"/>
      </w:tblGrid>
      <w:tr w14:paraId="3F24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480" w:type="dxa"/>
            <w:tcBorders>
              <w:top w:val="single" w:color="000000" w:sz="8" w:space="0"/>
              <w:bottom w:val="single" w:color="000000" w:sz="4" w:space="0"/>
              <w:right w:val="single" w:color="000000" w:sz="4" w:space="0"/>
            </w:tcBorders>
            <w:vAlign w:val="center"/>
          </w:tcPr>
          <w:p w14:paraId="00B6FD18">
            <w:pPr>
              <w:spacing w:line="360" w:lineRule="exact"/>
              <w:jc w:val="center"/>
              <w:rPr>
                <w:color w:val="auto"/>
                <w:sz w:val="28"/>
                <w:highlight w:val="none"/>
              </w:rPr>
            </w:pPr>
            <w:r>
              <w:rPr>
                <w:rFonts w:hint="eastAsia"/>
                <w:color w:val="auto"/>
                <w:highlight w:val="none"/>
              </w:rPr>
              <w:t>序号</w:t>
            </w:r>
          </w:p>
        </w:tc>
        <w:tc>
          <w:tcPr>
            <w:tcW w:w="2759" w:type="dxa"/>
            <w:tcBorders>
              <w:top w:val="single" w:color="000000" w:sz="8" w:space="0"/>
              <w:bottom w:val="single" w:color="000000" w:sz="4" w:space="0"/>
              <w:right w:val="single" w:color="000000" w:sz="4" w:space="0"/>
            </w:tcBorders>
            <w:vAlign w:val="center"/>
          </w:tcPr>
          <w:p w14:paraId="6BF82252">
            <w:pPr>
              <w:widowControl w:val="0"/>
              <w:snapToGrid w:val="0"/>
              <w:spacing w:line="360" w:lineRule="exact"/>
              <w:jc w:val="center"/>
              <w:rPr>
                <w:color w:val="auto"/>
                <w:sz w:val="28"/>
                <w:highlight w:val="none"/>
              </w:rPr>
            </w:pPr>
            <w:r>
              <w:rPr>
                <w:rFonts w:hint="eastAsia"/>
                <w:color w:val="auto"/>
                <w:highlight w:val="none"/>
              </w:rPr>
              <w:t>设备名称</w:t>
            </w:r>
          </w:p>
        </w:tc>
        <w:tc>
          <w:tcPr>
            <w:tcW w:w="540" w:type="dxa"/>
            <w:tcBorders>
              <w:top w:val="single" w:color="000000" w:sz="8" w:space="0"/>
              <w:bottom w:val="single" w:color="000000" w:sz="4" w:space="0"/>
              <w:right w:val="single" w:color="000000" w:sz="4" w:space="0"/>
            </w:tcBorders>
            <w:vAlign w:val="center"/>
          </w:tcPr>
          <w:p w14:paraId="7999EE7E">
            <w:pPr>
              <w:spacing w:line="360" w:lineRule="exact"/>
              <w:jc w:val="center"/>
              <w:rPr>
                <w:color w:val="auto"/>
                <w:sz w:val="28"/>
                <w:highlight w:val="none"/>
              </w:rPr>
            </w:pPr>
            <w:r>
              <w:rPr>
                <w:rFonts w:hint="eastAsia"/>
                <w:color w:val="auto"/>
                <w:highlight w:val="none"/>
              </w:rPr>
              <w:t>单位</w:t>
            </w:r>
          </w:p>
        </w:tc>
        <w:tc>
          <w:tcPr>
            <w:tcW w:w="540" w:type="dxa"/>
            <w:tcBorders>
              <w:top w:val="single" w:color="000000" w:sz="8" w:space="0"/>
              <w:bottom w:val="single" w:color="000000" w:sz="4" w:space="0"/>
              <w:right w:val="single" w:color="000000" w:sz="4" w:space="0"/>
            </w:tcBorders>
            <w:vAlign w:val="center"/>
          </w:tcPr>
          <w:p w14:paraId="019AA398">
            <w:pPr>
              <w:spacing w:line="360" w:lineRule="exact"/>
              <w:jc w:val="center"/>
              <w:rPr>
                <w:color w:val="auto"/>
                <w:sz w:val="28"/>
                <w:highlight w:val="none"/>
              </w:rPr>
            </w:pPr>
            <w:r>
              <w:rPr>
                <w:rFonts w:hint="eastAsia"/>
                <w:color w:val="auto"/>
                <w:highlight w:val="none"/>
              </w:rPr>
              <w:t>数量</w:t>
            </w:r>
          </w:p>
        </w:tc>
        <w:tc>
          <w:tcPr>
            <w:tcW w:w="1755" w:type="dxa"/>
            <w:tcBorders>
              <w:top w:val="single" w:color="000000" w:sz="8" w:space="0"/>
              <w:bottom w:val="single" w:color="000000" w:sz="4" w:space="0"/>
              <w:right w:val="single" w:color="000000" w:sz="4" w:space="0"/>
            </w:tcBorders>
            <w:vAlign w:val="center"/>
          </w:tcPr>
          <w:p w14:paraId="772D691C">
            <w:pPr>
              <w:spacing w:line="360" w:lineRule="exact"/>
              <w:jc w:val="center"/>
              <w:rPr>
                <w:color w:val="auto"/>
                <w:sz w:val="28"/>
                <w:highlight w:val="none"/>
              </w:rPr>
            </w:pPr>
            <w:r>
              <w:rPr>
                <w:rFonts w:hint="eastAsia"/>
                <w:color w:val="auto"/>
                <w:highlight w:val="none"/>
              </w:rPr>
              <w:t>品牌型号</w:t>
            </w:r>
          </w:p>
        </w:tc>
        <w:tc>
          <w:tcPr>
            <w:tcW w:w="3297" w:type="dxa"/>
            <w:tcBorders>
              <w:top w:val="single" w:color="000000" w:sz="8" w:space="0"/>
              <w:bottom w:val="single" w:color="000000" w:sz="4" w:space="0"/>
              <w:right w:val="single" w:color="000000" w:sz="4" w:space="0"/>
            </w:tcBorders>
            <w:vAlign w:val="center"/>
          </w:tcPr>
          <w:p w14:paraId="6321DFF9">
            <w:pPr>
              <w:spacing w:line="360" w:lineRule="exact"/>
              <w:jc w:val="center"/>
              <w:rPr>
                <w:color w:val="auto"/>
                <w:sz w:val="28"/>
                <w:highlight w:val="none"/>
              </w:rPr>
            </w:pPr>
            <w:r>
              <w:rPr>
                <w:rFonts w:hint="eastAsia"/>
                <w:color w:val="auto"/>
                <w:highlight w:val="none"/>
              </w:rPr>
              <w:t>技术参数</w:t>
            </w:r>
          </w:p>
        </w:tc>
      </w:tr>
      <w:tr w14:paraId="5AE3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53" w:hRule="atLeast"/>
        </w:trPr>
        <w:tc>
          <w:tcPr>
            <w:tcW w:w="480" w:type="dxa"/>
            <w:tcBorders>
              <w:bottom w:val="single" w:color="000000" w:sz="4" w:space="0"/>
              <w:right w:val="single" w:color="000000" w:sz="4" w:space="0"/>
            </w:tcBorders>
            <w:vAlign w:val="center"/>
          </w:tcPr>
          <w:p w14:paraId="32679B97">
            <w:pPr>
              <w:spacing w:line="360" w:lineRule="exact"/>
              <w:jc w:val="center"/>
              <w:rPr>
                <w:color w:val="auto"/>
                <w:sz w:val="28"/>
                <w:highlight w:val="none"/>
              </w:rPr>
            </w:pPr>
            <w:r>
              <w:rPr>
                <w:color w:val="auto"/>
                <w:highlight w:val="none"/>
              </w:rPr>
              <w:t>1</w:t>
            </w:r>
          </w:p>
        </w:tc>
        <w:tc>
          <w:tcPr>
            <w:tcW w:w="2759" w:type="dxa"/>
            <w:tcBorders>
              <w:bottom w:val="single" w:color="000000" w:sz="4" w:space="0"/>
              <w:right w:val="single" w:color="000000" w:sz="4" w:space="0"/>
            </w:tcBorders>
            <w:vAlign w:val="center"/>
          </w:tcPr>
          <w:p w14:paraId="106FE365">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06674AE8">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2EDF5995">
            <w:pPr>
              <w:spacing w:line="360" w:lineRule="exact"/>
              <w:jc w:val="center"/>
              <w:rPr>
                <w:color w:val="auto"/>
                <w:sz w:val="28"/>
                <w:highlight w:val="none"/>
              </w:rPr>
            </w:pPr>
          </w:p>
        </w:tc>
        <w:tc>
          <w:tcPr>
            <w:tcW w:w="1755" w:type="dxa"/>
            <w:tcBorders>
              <w:bottom w:val="single" w:color="000000" w:sz="4" w:space="0"/>
              <w:right w:val="single" w:color="000000" w:sz="4" w:space="0"/>
            </w:tcBorders>
            <w:vAlign w:val="center"/>
          </w:tcPr>
          <w:p w14:paraId="718EAC56">
            <w:pPr>
              <w:spacing w:line="360" w:lineRule="exact"/>
              <w:jc w:val="center"/>
              <w:rPr>
                <w:color w:val="auto"/>
                <w:sz w:val="28"/>
                <w:highlight w:val="none"/>
              </w:rPr>
            </w:pPr>
          </w:p>
        </w:tc>
        <w:tc>
          <w:tcPr>
            <w:tcW w:w="3297" w:type="dxa"/>
            <w:tcBorders>
              <w:bottom w:val="single" w:color="000000" w:sz="4" w:space="0"/>
              <w:right w:val="single" w:color="000000" w:sz="4" w:space="0"/>
            </w:tcBorders>
            <w:vAlign w:val="center"/>
          </w:tcPr>
          <w:p w14:paraId="0B919D5E">
            <w:pPr>
              <w:spacing w:line="360" w:lineRule="exact"/>
              <w:jc w:val="center"/>
              <w:rPr>
                <w:color w:val="auto"/>
                <w:sz w:val="28"/>
                <w:highlight w:val="none"/>
              </w:rPr>
            </w:pPr>
          </w:p>
        </w:tc>
      </w:tr>
      <w:tr w14:paraId="2563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49" w:hRule="atLeast"/>
        </w:trPr>
        <w:tc>
          <w:tcPr>
            <w:tcW w:w="480" w:type="dxa"/>
            <w:tcBorders>
              <w:left w:val="single" w:color="000000" w:sz="4" w:space="0"/>
              <w:bottom w:val="single" w:color="000000" w:sz="4" w:space="0"/>
              <w:right w:val="single" w:color="000000" w:sz="4" w:space="0"/>
            </w:tcBorders>
            <w:vAlign w:val="center"/>
          </w:tcPr>
          <w:p w14:paraId="57C12088">
            <w:pPr>
              <w:spacing w:line="360" w:lineRule="exact"/>
              <w:jc w:val="center"/>
              <w:rPr>
                <w:color w:val="auto"/>
                <w:sz w:val="28"/>
                <w:highlight w:val="none"/>
              </w:rPr>
            </w:pPr>
            <w:r>
              <w:rPr>
                <w:color w:val="auto"/>
                <w:highlight w:val="none"/>
              </w:rPr>
              <w:t>2</w:t>
            </w:r>
          </w:p>
        </w:tc>
        <w:tc>
          <w:tcPr>
            <w:tcW w:w="2759" w:type="dxa"/>
            <w:tcBorders>
              <w:bottom w:val="single" w:color="000000" w:sz="4" w:space="0"/>
              <w:right w:val="single" w:color="000000" w:sz="4" w:space="0"/>
            </w:tcBorders>
            <w:vAlign w:val="center"/>
          </w:tcPr>
          <w:p w14:paraId="2649BD30">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718A06DF">
            <w:pPr>
              <w:spacing w:line="360" w:lineRule="exact"/>
              <w:jc w:val="center"/>
              <w:rPr>
                <w:color w:val="auto"/>
                <w:sz w:val="28"/>
                <w:highlight w:val="none"/>
              </w:rPr>
            </w:pPr>
          </w:p>
        </w:tc>
        <w:tc>
          <w:tcPr>
            <w:tcW w:w="540" w:type="dxa"/>
            <w:tcBorders>
              <w:bottom w:val="single" w:color="000000" w:sz="4" w:space="0"/>
              <w:right w:val="single" w:color="000000" w:sz="4" w:space="0"/>
            </w:tcBorders>
            <w:vAlign w:val="center"/>
          </w:tcPr>
          <w:p w14:paraId="7914011C">
            <w:pPr>
              <w:spacing w:line="360" w:lineRule="exact"/>
              <w:jc w:val="center"/>
              <w:rPr>
                <w:color w:val="auto"/>
                <w:sz w:val="28"/>
                <w:highlight w:val="none"/>
              </w:rPr>
            </w:pPr>
          </w:p>
        </w:tc>
        <w:tc>
          <w:tcPr>
            <w:tcW w:w="1755" w:type="dxa"/>
            <w:tcBorders>
              <w:bottom w:val="single" w:color="000000" w:sz="4" w:space="0"/>
              <w:right w:val="single" w:color="000000" w:sz="4" w:space="0"/>
            </w:tcBorders>
            <w:vAlign w:val="center"/>
          </w:tcPr>
          <w:p w14:paraId="73125603">
            <w:pPr>
              <w:spacing w:line="360" w:lineRule="exact"/>
              <w:jc w:val="center"/>
              <w:rPr>
                <w:color w:val="auto"/>
                <w:sz w:val="28"/>
                <w:highlight w:val="none"/>
              </w:rPr>
            </w:pPr>
          </w:p>
        </w:tc>
        <w:tc>
          <w:tcPr>
            <w:tcW w:w="3297" w:type="dxa"/>
            <w:tcBorders>
              <w:bottom w:val="single" w:color="000000" w:sz="4" w:space="0"/>
              <w:right w:val="single" w:color="000000" w:sz="4" w:space="0"/>
            </w:tcBorders>
            <w:vAlign w:val="center"/>
          </w:tcPr>
          <w:p w14:paraId="19A2A65A">
            <w:pPr>
              <w:spacing w:line="360" w:lineRule="exact"/>
              <w:jc w:val="center"/>
              <w:rPr>
                <w:color w:val="auto"/>
                <w:sz w:val="28"/>
                <w:highlight w:val="none"/>
              </w:rPr>
            </w:pPr>
          </w:p>
        </w:tc>
      </w:tr>
      <w:tr w14:paraId="52D4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1B50BD1F">
            <w:pPr>
              <w:spacing w:line="360" w:lineRule="exact"/>
              <w:jc w:val="center"/>
              <w:rPr>
                <w:color w:val="auto"/>
                <w:sz w:val="28"/>
                <w:highlight w:val="none"/>
              </w:rPr>
            </w:pPr>
            <w:r>
              <w:rPr>
                <w:color w:val="auto"/>
                <w:highlight w:val="none"/>
              </w:rPr>
              <w:t>3</w:t>
            </w:r>
          </w:p>
        </w:tc>
        <w:tc>
          <w:tcPr>
            <w:tcW w:w="2759" w:type="dxa"/>
            <w:tcBorders>
              <w:right w:val="single" w:color="000000" w:sz="4" w:space="0"/>
            </w:tcBorders>
            <w:vAlign w:val="center"/>
          </w:tcPr>
          <w:p w14:paraId="195B7435">
            <w:pPr>
              <w:spacing w:line="360" w:lineRule="exact"/>
              <w:jc w:val="center"/>
              <w:rPr>
                <w:color w:val="auto"/>
                <w:sz w:val="28"/>
                <w:highlight w:val="none"/>
              </w:rPr>
            </w:pPr>
          </w:p>
        </w:tc>
        <w:tc>
          <w:tcPr>
            <w:tcW w:w="540" w:type="dxa"/>
            <w:tcBorders>
              <w:right w:val="single" w:color="000000" w:sz="4" w:space="0"/>
            </w:tcBorders>
            <w:vAlign w:val="center"/>
          </w:tcPr>
          <w:p w14:paraId="72DF37E1">
            <w:pPr>
              <w:spacing w:line="360" w:lineRule="exact"/>
              <w:jc w:val="center"/>
              <w:rPr>
                <w:color w:val="auto"/>
                <w:sz w:val="28"/>
                <w:highlight w:val="none"/>
              </w:rPr>
            </w:pPr>
          </w:p>
        </w:tc>
        <w:tc>
          <w:tcPr>
            <w:tcW w:w="540" w:type="dxa"/>
            <w:tcBorders>
              <w:right w:val="single" w:color="000000" w:sz="4" w:space="0"/>
            </w:tcBorders>
            <w:vAlign w:val="center"/>
          </w:tcPr>
          <w:p w14:paraId="717DCF68">
            <w:pPr>
              <w:spacing w:line="360" w:lineRule="exact"/>
              <w:jc w:val="center"/>
              <w:rPr>
                <w:color w:val="auto"/>
                <w:sz w:val="28"/>
                <w:highlight w:val="none"/>
              </w:rPr>
            </w:pPr>
          </w:p>
        </w:tc>
        <w:tc>
          <w:tcPr>
            <w:tcW w:w="1755" w:type="dxa"/>
            <w:tcBorders>
              <w:right w:val="single" w:color="000000" w:sz="4" w:space="0"/>
            </w:tcBorders>
            <w:vAlign w:val="center"/>
          </w:tcPr>
          <w:p w14:paraId="680CD545">
            <w:pPr>
              <w:spacing w:line="360" w:lineRule="exact"/>
              <w:jc w:val="center"/>
              <w:rPr>
                <w:color w:val="auto"/>
                <w:sz w:val="28"/>
                <w:highlight w:val="none"/>
              </w:rPr>
            </w:pPr>
          </w:p>
        </w:tc>
        <w:tc>
          <w:tcPr>
            <w:tcW w:w="3297" w:type="dxa"/>
            <w:tcBorders>
              <w:right w:val="single" w:color="000000" w:sz="4" w:space="0"/>
            </w:tcBorders>
            <w:vAlign w:val="center"/>
          </w:tcPr>
          <w:p w14:paraId="3B46EECD">
            <w:pPr>
              <w:spacing w:line="360" w:lineRule="exact"/>
              <w:jc w:val="center"/>
              <w:rPr>
                <w:color w:val="auto"/>
                <w:sz w:val="28"/>
                <w:highlight w:val="none"/>
              </w:rPr>
            </w:pPr>
          </w:p>
        </w:tc>
      </w:tr>
      <w:tr w14:paraId="5C71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9" w:hRule="atLeast"/>
        </w:trPr>
        <w:tc>
          <w:tcPr>
            <w:tcW w:w="480" w:type="dxa"/>
            <w:tcBorders>
              <w:left w:val="single" w:color="000000" w:sz="4" w:space="0"/>
              <w:right w:val="single" w:color="000000" w:sz="4" w:space="0"/>
            </w:tcBorders>
            <w:vAlign w:val="center"/>
          </w:tcPr>
          <w:p w14:paraId="28881F45">
            <w:pPr>
              <w:spacing w:line="360" w:lineRule="exact"/>
              <w:jc w:val="center"/>
              <w:rPr>
                <w:color w:val="auto"/>
                <w:highlight w:val="none"/>
              </w:rPr>
            </w:pPr>
            <w:r>
              <w:rPr>
                <w:rFonts w:hint="eastAsia"/>
                <w:color w:val="auto"/>
                <w:highlight w:val="none"/>
              </w:rPr>
              <w:t>……</w:t>
            </w:r>
          </w:p>
        </w:tc>
        <w:tc>
          <w:tcPr>
            <w:tcW w:w="2759" w:type="dxa"/>
            <w:tcBorders>
              <w:right w:val="single" w:color="000000" w:sz="4" w:space="0"/>
            </w:tcBorders>
            <w:vAlign w:val="center"/>
          </w:tcPr>
          <w:p w14:paraId="6EBA579B">
            <w:pPr>
              <w:spacing w:line="360" w:lineRule="exact"/>
              <w:jc w:val="center"/>
              <w:rPr>
                <w:color w:val="auto"/>
                <w:sz w:val="28"/>
                <w:highlight w:val="none"/>
              </w:rPr>
            </w:pPr>
          </w:p>
        </w:tc>
        <w:tc>
          <w:tcPr>
            <w:tcW w:w="540" w:type="dxa"/>
            <w:tcBorders>
              <w:right w:val="single" w:color="000000" w:sz="4" w:space="0"/>
            </w:tcBorders>
            <w:vAlign w:val="center"/>
          </w:tcPr>
          <w:p w14:paraId="2B794386">
            <w:pPr>
              <w:spacing w:line="360" w:lineRule="exact"/>
              <w:jc w:val="center"/>
              <w:rPr>
                <w:color w:val="auto"/>
                <w:sz w:val="28"/>
                <w:highlight w:val="none"/>
              </w:rPr>
            </w:pPr>
          </w:p>
        </w:tc>
        <w:tc>
          <w:tcPr>
            <w:tcW w:w="540" w:type="dxa"/>
            <w:tcBorders>
              <w:right w:val="single" w:color="000000" w:sz="4" w:space="0"/>
            </w:tcBorders>
            <w:vAlign w:val="center"/>
          </w:tcPr>
          <w:p w14:paraId="1AE9A3EA">
            <w:pPr>
              <w:spacing w:line="360" w:lineRule="exact"/>
              <w:jc w:val="center"/>
              <w:rPr>
                <w:color w:val="auto"/>
                <w:sz w:val="28"/>
                <w:highlight w:val="none"/>
              </w:rPr>
            </w:pPr>
          </w:p>
        </w:tc>
        <w:tc>
          <w:tcPr>
            <w:tcW w:w="1755" w:type="dxa"/>
            <w:tcBorders>
              <w:right w:val="single" w:color="000000" w:sz="4" w:space="0"/>
            </w:tcBorders>
            <w:vAlign w:val="center"/>
          </w:tcPr>
          <w:p w14:paraId="15AC56AF">
            <w:pPr>
              <w:spacing w:line="360" w:lineRule="exact"/>
              <w:jc w:val="center"/>
              <w:rPr>
                <w:color w:val="auto"/>
                <w:sz w:val="28"/>
                <w:highlight w:val="none"/>
              </w:rPr>
            </w:pPr>
          </w:p>
        </w:tc>
        <w:tc>
          <w:tcPr>
            <w:tcW w:w="3297" w:type="dxa"/>
            <w:tcBorders>
              <w:right w:val="single" w:color="000000" w:sz="4" w:space="0"/>
            </w:tcBorders>
            <w:vAlign w:val="center"/>
          </w:tcPr>
          <w:p w14:paraId="13D6B594">
            <w:pPr>
              <w:spacing w:line="360" w:lineRule="exact"/>
              <w:jc w:val="center"/>
              <w:rPr>
                <w:color w:val="auto"/>
                <w:sz w:val="28"/>
                <w:highlight w:val="none"/>
              </w:rPr>
            </w:pPr>
          </w:p>
        </w:tc>
      </w:tr>
    </w:tbl>
    <w:p w14:paraId="4C9CE701">
      <w:pPr>
        <w:autoSpaceDE w:val="0"/>
        <w:autoSpaceDN w:val="0"/>
        <w:adjustRightInd w:val="0"/>
        <w:spacing w:line="240" w:lineRule="auto"/>
        <w:rPr>
          <w:color w:val="auto"/>
          <w:highlight w:val="none"/>
        </w:rPr>
      </w:pPr>
      <w:r>
        <w:rPr>
          <w:rFonts w:hint="eastAsia"/>
          <w:color w:val="auto"/>
          <w:highlight w:val="none"/>
        </w:rPr>
        <w:t>注：供应商应详细填写服务投入设备的具体技术参数。包括货物的品牌型号、规格等技术参数。</w:t>
      </w:r>
    </w:p>
    <w:p w14:paraId="16FF1261">
      <w:pPr>
        <w:widowControl w:val="0"/>
        <w:snapToGrid w:val="0"/>
        <w:spacing w:line="560" w:lineRule="exact"/>
        <w:jc w:val="center"/>
        <w:rPr>
          <w:rFonts w:ascii="宋体"/>
          <w:color w:val="auto"/>
          <w:sz w:val="24"/>
          <w:highlight w:val="none"/>
        </w:rPr>
      </w:pPr>
    </w:p>
    <w:p w14:paraId="4EB69AC1">
      <w:pPr>
        <w:widowControl w:val="0"/>
        <w:snapToGrid w:val="0"/>
        <w:spacing w:line="560" w:lineRule="exact"/>
        <w:jc w:val="center"/>
        <w:rPr>
          <w:rFonts w:ascii="宋体"/>
          <w:color w:val="auto"/>
          <w:sz w:val="24"/>
          <w:highlight w:val="none"/>
        </w:rPr>
      </w:pPr>
    </w:p>
    <w:p w14:paraId="51063431">
      <w:pPr>
        <w:widowControl w:val="0"/>
        <w:snapToGrid w:val="0"/>
        <w:spacing w:line="560" w:lineRule="exact"/>
        <w:jc w:val="center"/>
        <w:rPr>
          <w:rFonts w:ascii="宋体"/>
          <w:color w:val="auto"/>
          <w:sz w:val="24"/>
          <w:highlight w:val="none"/>
        </w:rPr>
      </w:pPr>
    </w:p>
    <w:p w14:paraId="629F0D05">
      <w:pPr>
        <w:widowControl w:val="0"/>
        <w:snapToGrid w:val="0"/>
        <w:spacing w:line="560" w:lineRule="exact"/>
        <w:jc w:val="center"/>
        <w:rPr>
          <w:rFonts w:ascii="宋体"/>
          <w:color w:val="auto"/>
          <w:sz w:val="24"/>
          <w:highlight w:val="none"/>
        </w:rPr>
      </w:pPr>
    </w:p>
    <w:p w14:paraId="624B9964">
      <w:pPr>
        <w:widowControl w:val="0"/>
        <w:snapToGrid w:val="0"/>
        <w:spacing w:line="560" w:lineRule="exact"/>
        <w:jc w:val="center"/>
        <w:rPr>
          <w:rFonts w:ascii="宋体"/>
          <w:color w:val="auto"/>
          <w:sz w:val="24"/>
          <w:highlight w:val="none"/>
        </w:rPr>
      </w:pPr>
    </w:p>
    <w:p w14:paraId="73471DBD">
      <w:pPr>
        <w:widowControl w:val="0"/>
        <w:snapToGrid w:val="0"/>
        <w:spacing w:line="560" w:lineRule="exact"/>
        <w:jc w:val="center"/>
        <w:rPr>
          <w:rFonts w:ascii="宋体"/>
          <w:color w:val="auto"/>
          <w:sz w:val="24"/>
          <w:highlight w:val="none"/>
        </w:rPr>
      </w:pPr>
    </w:p>
    <w:p w14:paraId="13813958">
      <w:pPr>
        <w:autoSpaceDE w:val="0"/>
        <w:autoSpaceDN w:val="0"/>
        <w:adjustRightInd w:val="0"/>
        <w:spacing w:line="360" w:lineRule="auto"/>
        <w:jc w:val="left"/>
        <w:rPr>
          <w:rFonts w:ascii="宋体" w:cs="楷体_GB2312"/>
          <w:color w:val="auto"/>
          <w:sz w:val="24"/>
          <w:highlight w:val="none"/>
          <w:lang w:val="zh-CN"/>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s="楷体_GB2312"/>
          <w:color w:val="auto"/>
          <w:sz w:val="24"/>
          <w:highlight w:val="none"/>
          <w:lang w:val="zh-CN"/>
        </w:rPr>
        <w:t>：</w:t>
      </w:r>
    </w:p>
    <w:p w14:paraId="43972DE0">
      <w:pPr>
        <w:autoSpaceDE w:val="0"/>
        <w:autoSpaceDN w:val="0"/>
        <w:adjustRightInd w:val="0"/>
        <w:spacing w:line="360" w:lineRule="auto"/>
        <w:ind w:left="-2" w:right="-817" w:firstLine="2"/>
        <w:jc w:val="left"/>
        <w:rPr>
          <w:rFonts w:ascii="宋体" w:cs="楷体_GB2312"/>
          <w:color w:val="auto"/>
          <w:sz w:val="24"/>
          <w:highlight w:val="none"/>
          <w:lang w:val="zh-CN"/>
        </w:rPr>
      </w:pPr>
      <w:r>
        <w:rPr>
          <w:rFonts w:hint="eastAsia" w:ascii="宋体" w:hAnsi="宋体" w:cs="楷体_GB2312"/>
          <w:color w:val="auto"/>
          <w:sz w:val="24"/>
          <w:highlight w:val="none"/>
          <w:lang w:val="zh-CN"/>
        </w:rPr>
        <w:t>法定代表人（电子签名或签章）：</w:t>
      </w:r>
      <w:r>
        <w:rPr>
          <w:rFonts w:ascii="宋体" w:hAnsi="宋体" w:cs="楷体_GB2312"/>
          <w:color w:val="auto"/>
          <w:sz w:val="24"/>
          <w:highlight w:val="none"/>
          <w:lang w:val="zh-CN"/>
        </w:rPr>
        <w:t xml:space="preserve">  </w:t>
      </w:r>
    </w:p>
    <w:p w14:paraId="46B6F077">
      <w:pPr>
        <w:autoSpaceDE w:val="0"/>
        <w:autoSpaceDN w:val="0"/>
        <w:adjustRightInd w:val="0"/>
        <w:spacing w:line="360" w:lineRule="auto"/>
        <w:ind w:right="-817"/>
        <w:jc w:val="left"/>
        <w:rPr>
          <w:rFonts w:ascii="宋体" w:cs="楷体_GB2312"/>
          <w:color w:val="auto"/>
          <w:sz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C45B148">
      <w:pPr>
        <w:spacing w:line="240" w:lineRule="auto"/>
        <w:jc w:val="left"/>
        <w:textAlignment w:val="auto"/>
        <w:rPr>
          <w:rFonts w:eastAsia="方正黑体简体"/>
          <w:b/>
          <w:color w:val="auto"/>
          <w:sz w:val="30"/>
          <w:szCs w:val="30"/>
          <w:highlight w:val="none"/>
        </w:rPr>
      </w:pPr>
    </w:p>
    <w:p w14:paraId="264D9E8C">
      <w:pPr>
        <w:spacing w:line="240" w:lineRule="auto"/>
        <w:jc w:val="left"/>
        <w:textAlignment w:val="auto"/>
        <w:rPr>
          <w:rFonts w:eastAsia="方正黑体简体"/>
          <w:b/>
          <w:color w:val="auto"/>
          <w:sz w:val="30"/>
          <w:szCs w:val="30"/>
          <w:highlight w:val="none"/>
        </w:rPr>
      </w:pPr>
      <w:r>
        <w:rPr>
          <w:rFonts w:eastAsia="方正黑体简体"/>
          <w:b/>
          <w:color w:val="auto"/>
          <w:sz w:val="30"/>
          <w:szCs w:val="30"/>
          <w:highlight w:val="none"/>
        </w:rPr>
        <w:br w:type="page"/>
      </w:r>
    </w:p>
    <w:p w14:paraId="0F728A77">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六、服务拟投入的人员情况表</w:t>
      </w:r>
    </w:p>
    <w:p w14:paraId="69A80987">
      <w:pPr>
        <w:widowControl w:val="0"/>
        <w:snapToGrid w:val="0"/>
        <w:spacing w:line="56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（格式自定）</w:t>
      </w:r>
    </w:p>
    <w:p w14:paraId="4B8110E4">
      <w:pPr>
        <w:widowControl w:val="0"/>
        <w:snapToGrid w:val="0"/>
        <w:spacing w:line="560" w:lineRule="exact"/>
        <w:jc w:val="center"/>
        <w:rPr>
          <w:rFonts w:ascii="Adobe 宋体 Std L" w:hAnsi="Adobe 宋体 Std L" w:eastAsia="Adobe 宋体 Std L"/>
          <w:b/>
          <w:color w:val="auto"/>
          <w:sz w:val="30"/>
          <w:szCs w:val="30"/>
          <w:highlight w:val="none"/>
        </w:rPr>
      </w:pPr>
    </w:p>
    <w:p w14:paraId="157CC455">
      <w:pPr>
        <w:pStyle w:val="8"/>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1813DB7C">
      <w:pPr>
        <w:pStyle w:val="8"/>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p w14:paraId="6EDCF550">
      <w:pPr>
        <w:autoSpaceDE w:val="0"/>
        <w:autoSpaceDN w:val="0"/>
        <w:adjustRightInd w:val="0"/>
        <w:spacing w:line="360" w:lineRule="auto"/>
        <w:jc w:val="center"/>
        <w:rPr>
          <w:rFonts w:ascii="宋体"/>
          <w:color w:val="auto"/>
          <w:spacing w:val="8"/>
          <w:szCs w:val="21"/>
          <w:highlight w:val="none"/>
        </w:rPr>
      </w:pPr>
    </w:p>
    <w:p w14:paraId="7994F67E">
      <w:pPr>
        <w:autoSpaceDE w:val="0"/>
        <w:autoSpaceDN w:val="0"/>
        <w:adjustRightInd w:val="0"/>
        <w:spacing w:line="360" w:lineRule="auto"/>
        <w:jc w:val="center"/>
        <w:rPr>
          <w:rFonts w:ascii="宋体"/>
          <w:color w:val="auto"/>
          <w:spacing w:val="8"/>
          <w:szCs w:val="21"/>
          <w:highlight w:val="none"/>
        </w:rPr>
      </w:pPr>
    </w:p>
    <w:p w14:paraId="52F08B68">
      <w:pPr>
        <w:autoSpaceDE w:val="0"/>
        <w:autoSpaceDN w:val="0"/>
        <w:adjustRightInd w:val="0"/>
        <w:spacing w:line="360" w:lineRule="auto"/>
        <w:jc w:val="center"/>
        <w:rPr>
          <w:rFonts w:ascii="宋体"/>
          <w:color w:val="auto"/>
          <w:spacing w:val="8"/>
          <w:szCs w:val="21"/>
          <w:highlight w:val="none"/>
        </w:rPr>
      </w:pPr>
    </w:p>
    <w:p w14:paraId="3752ACA5">
      <w:pPr>
        <w:autoSpaceDE w:val="0"/>
        <w:autoSpaceDN w:val="0"/>
        <w:adjustRightInd w:val="0"/>
        <w:spacing w:line="360" w:lineRule="auto"/>
        <w:jc w:val="center"/>
        <w:rPr>
          <w:rFonts w:ascii="宋体"/>
          <w:color w:val="auto"/>
          <w:spacing w:val="8"/>
          <w:szCs w:val="21"/>
          <w:highlight w:val="none"/>
        </w:rPr>
      </w:pPr>
    </w:p>
    <w:p w14:paraId="60FD373B">
      <w:pPr>
        <w:autoSpaceDE w:val="0"/>
        <w:autoSpaceDN w:val="0"/>
        <w:adjustRightInd w:val="0"/>
        <w:spacing w:line="360" w:lineRule="auto"/>
        <w:jc w:val="center"/>
        <w:rPr>
          <w:rFonts w:ascii="宋体"/>
          <w:color w:val="auto"/>
          <w:spacing w:val="8"/>
          <w:szCs w:val="21"/>
          <w:highlight w:val="none"/>
        </w:rPr>
      </w:pPr>
    </w:p>
    <w:p w14:paraId="70993F85">
      <w:pPr>
        <w:autoSpaceDE w:val="0"/>
        <w:autoSpaceDN w:val="0"/>
        <w:adjustRightInd w:val="0"/>
        <w:spacing w:line="360" w:lineRule="auto"/>
        <w:jc w:val="center"/>
        <w:rPr>
          <w:rFonts w:ascii="宋体"/>
          <w:color w:val="auto"/>
          <w:spacing w:val="8"/>
          <w:szCs w:val="21"/>
          <w:highlight w:val="none"/>
        </w:rPr>
      </w:pPr>
    </w:p>
    <w:p w14:paraId="61EB3EFD">
      <w:pPr>
        <w:autoSpaceDE w:val="0"/>
        <w:autoSpaceDN w:val="0"/>
        <w:adjustRightInd w:val="0"/>
        <w:spacing w:line="360" w:lineRule="auto"/>
        <w:jc w:val="center"/>
        <w:rPr>
          <w:rFonts w:ascii="宋体"/>
          <w:color w:val="auto"/>
          <w:spacing w:val="8"/>
          <w:szCs w:val="21"/>
          <w:highlight w:val="none"/>
        </w:rPr>
      </w:pPr>
    </w:p>
    <w:p w14:paraId="74407911">
      <w:pPr>
        <w:autoSpaceDE w:val="0"/>
        <w:autoSpaceDN w:val="0"/>
        <w:adjustRightInd w:val="0"/>
        <w:spacing w:line="360" w:lineRule="auto"/>
        <w:jc w:val="center"/>
        <w:rPr>
          <w:rFonts w:ascii="宋体"/>
          <w:color w:val="auto"/>
          <w:spacing w:val="8"/>
          <w:szCs w:val="21"/>
          <w:highlight w:val="none"/>
        </w:rPr>
      </w:pPr>
    </w:p>
    <w:p w14:paraId="56BE7FA8">
      <w:pPr>
        <w:autoSpaceDE w:val="0"/>
        <w:autoSpaceDN w:val="0"/>
        <w:adjustRightInd w:val="0"/>
        <w:spacing w:line="360" w:lineRule="auto"/>
        <w:jc w:val="center"/>
        <w:rPr>
          <w:rFonts w:ascii="宋体"/>
          <w:color w:val="auto"/>
          <w:spacing w:val="8"/>
          <w:szCs w:val="21"/>
          <w:highlight w:val="none"/>
        </w:rPr>
      </w:pPr>
    </w:p>
    <w:p w14:paraId="7C622C07">
      <w:pPr>
        <w:autoSpaceDE w:val="0"/>
        <w:autoSpaceDN w:val="0"/>
        <w:adjustRightInd w:val="0"/>
        <w:spacing w:line="360" w:lineRule="auto"/>
        <w:jc w:val="center"/>
        <w:rPr>
          <w:rFonts w:ascii="宋体"/>
          <w:color w:val="auto"/>
          <w:spacing w:val="8"/>
          <w:szCs w:val="21"/>
          <w:highlight w:val="none"/>
        </w:rPr>
      </w:pPr>
    </w:p>
    <w:p w14:paraId="32CCFF73">
      <w:pPr>
        <w:autoSpaceDE w:val="0"/>
        <w:autoSpaceDN w:val="0"/>
        <w:adjustRightInd w:val="0"/>
        <w:spacing w:line="360" w:lineRule="auto"/>
        <w:jc w:val="center"/>
        <w:rPr>
          <w:rFonts w:ascii="宋体"/>
          <w:color w:val="auto"/>
          <w:spacing w:val="8"/>
          <w:szCs w:val="21"/>
          <w:highlight w:val="none"/>
        </w:rPr>
      </w:pPr>
    </w:p>
    <w:p w14:paraId="006E072C">
      <w:pPr>
        <w:autoSpaceDE w:val="0"/>
        <w:autoSpaceDN w:val="0"/>
        <w:adjustRightInd w:val="0"/>
        <w:spacing w:line="360" w:lineRule="auto"/>
        <w:jc w:val="center"/>
        <w:rPr>
          <w:rFonts w:ascii="宋体"/>
          <w:color w:val="auto"/>
          <w:spacing w:val="8"/>
          <w:szCs w:val="21"/>
          <w:highlight w:val="none"/>
        </w:rPr>
      </w:pPr>
    </w:p>
    <w:p w14:paraId="1FBC060B">
      <w:pPr>
        <w:autoSpaceDE w:val="0"/>
        <w:autoSpaceDN w:val="0"/>
        <w:adjustRightInd w:val="0"/>
        <w:spacing w:line="360" w:lineRule="auto"/>
        <w:jc w:val="center"/>
        <w:rPr>
          <w:rFonts w:ascii="宋体"/>
          <w:color w:val="auto"/>
          <w:spacing w:val="8"/>
          <w:szCs w:val="21"/>
          <w:highlight w:val="none"/>
        </w:rPr>
      </w:pPr>
    </w:p>
    <w:p w14:paraId="6CC38B4A">
      <w:pPr>
        <w:autoSpaceDE w:val="0"/>
        <w:autoSpaceDN w:val="0"/>
        <w:adjustRightInd w:val="0"/>
        <w:spacing w:line="360" w:lineRule="auto"/>
        <w:jc w:val="center"/>
        <w:rPr>
          <w:rFonts w:ascii="宋体"/>
          <w:color w:val="auto"/>
          <w:spacing w:val="8"/>
          <w:szCs w:val="21"/>
          <w:highlight w:val="none"/>
        </w:rPr>
      </w:pPr>
    </w:p>
    <w:p w14:paraId="2DD97F78">
      <w:pPr>
        <w:autoSpaceDE w:val="0"/>
        <w:autoSpaceDN w:val="0"/>
        <w:adjustRightInd w:val="0"/>
        <w:spacing w:line="360" w:lineRule="auto"/>
        <w:jc w:val="center"/>
        <w:rPr>
          <w:rFonts w:ascii="宋体"/>
          <w:color w:val="auto"/>
          <w:spacing w:val="8"/>
          <w:szCs w:val="21"/>
          <w:highlight w:val="none"/>
        </w:rPr>
      </w:pPr>
    </w:p>
    <w:p w14:paraId="1267CBF4">
      <w:pPr>
        <w:autoSpaceDE w:val="0"/>
        <w:autoSpaceDN w:val="0"/>
        <w:adjustRightInd w:val="0"/>
        <w:spacing w:line="360" w:lineRule="auto"/>
        <w:jc w:val="center"/>
        <w:rPr>
          <w:rFonts w:ascii="宋体"/>
          <w:color w:val="auto"/>
          <w:spacing w:val="8"/>
          <w:szCs w:val="21"/>
          <w:highlight w:val="none"/>
        </w:rPr>
      </w:pPr>
    </w:p>
    <w:p w14:paraId="58FF8FF7">
      <w:pPr>
        <w:autoSpaceDE w:val="0"/>
        <w:autoSpaceDN w:val="0"/>
        <w:adjustRightInd w:val="0"/>
        <w:spacing w:line="360" w:lineRule="auto"/>
        <w:jc w:val="center"/>
        <w:rPr>
          <w:rFonts w:ascii="宋体"/>
          <w:color w:val="auto"/>
          <w:spacing w:val="8"/>
          <w:szCs w:val="21"/>
          <w:highlight w:val="none"/>
        </w:rPr>
      </w:pPr>
    </w:p>
    <w:p w14:paraId="2D4D54C3">
      <w:pPr>
        <w:autoSpaceDE w:val="0"/>
        <w:autoSpaceDN w:val="0"/>
        <w:adjustRightInd w:val="0"/>
        <w:spacing w:line="360" w:lineRule="auto"/>
        <w:jc w:val="center"/>
        <w:rPr>
          <w:rFonts w:ascii="宋体"/>
          <w:color w:val="auto"/>
          <w:spacing w:val="8"/>
          <w:szCs w:val="21"/>
          <w:highlight w:val="none"/>
        </w:rPr>
      </w:pPr>
    </w:p>
    <w:p w14:paraId="38DEBDAB">
      <w:pPr>
        <w:autoSpaceDE w:val="0"/>
        <w:autoSpaceDN w:val="0"/>
        <w:adjustRightInd w:val="0"/>
        <w:spacing w:line="360" w:lineRule="auto"/>
        <w:jc w:val="center"/>
        <w:rPr>
          <w:rFonts w:ascii="宋体"/>
          <w:color w:val="auto"/>
          <w:spacing w:val="8"/>
          <w:szCs w:val="21"/>
          <w:highlight w:val="none"/>
        </w:rPr>
      </w:pPr>
    </w:p>
    <w:p w14:paraId="4CDF1640">
      <w:pPr>
        <w:tabs>
          <w:tab w:val="left" w:pos="0"/>
        </w:tabs>
        <w:adjustRightInd w:val="0"/>
        <w:snapToGrid w:val="0"/>
        <w:spacing w:before="120" w:beforeLines="50" w:line="300" w:lineRule="auto"/>
        <w:ind w:right="510"/>
        <w:rPr>
          <w:rFonts w:ascii="宋体"/>
          <w:color w:val="auto"/>
          <w:spacing w:val="8"/>
          <w:szCs w:val="21"/>
          <w:highlight w:val="none"/>
        </w:rPr>
      </w:pPr>
    </w:p>
    <w:p w14:paraId="49535673">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080C1BD3">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1C24496C">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rPr>
        <w:t xml:space="preserve">   </w:t>
      </w:r>
      <w:r>
        <w:rPr>
          <w:rFonts w:hint="eastAsia" w:ascii="宋体" w:hAnsi="宋体" w:cs="楷体_GB2312"/>
          <w:color w:val="auto"/>
          <w:sz w:val="24"/>
          <w:highlight w:val="none"/>
          <w:lang w:val="zh-CN"/>
        </w:rPr>
        <w:t>日</w:t>
      </w:r>
    </w:p>
    <w:p w14:paraId="369B0A1F">
      <w:pPr>
        <w:tabs>
          <w:tab w:val="left" w:pos="540"/>
        </w:tabs>
        <w:spacing w:line="440" w:lineRule="exact"/>
        <w:jc w:val="center"/>
        <w:rPr>
          <w:rFonts w:ascii="宋体" w:cs="楷体_GB2312"/>
          <w:b/>
          <w:color w:val="auto"/>
          <w:sz w:val="30"/>
          <w:szCs w:val="30"/>
          <w:highlight w:val="none"/>
        </w:rPr>
      </w:pPr>
    </w:p>
    <w:p w14:paraId="004E5B2D">
      <w:pPr>
        <w:widowControl w:val="0"/>
        <w:snapToGrid w:val="0"/>
        <w:spacing w:line="560" w:lineRule="exact"/>
        <w:jc w:val="left"/>
        <w:textAlignment w:val="top"/>
        <w:rPr>
          <w:color w:val="auto"/>
          <w:highlight w:val="none"/>
        </w:rPr>
      </w:pPr>
      <w:r>
        <w:rPr>
          <w:color w:val="auto"/>
          <w:highlight w:val="none"/>
        </w:rPr>
        <w:br w:type="page"/>
      </w:r>
    </w:p>
    <w:p w14:paraId="1EFD412C">
      <w:pPr>
        <w:widowControl w:val="0"/>
        <w:snapToGrid w:val="0"/>
        <w:spacing w:line="560" w:lineRule="exact"/>
        <w:jc w:val="center"/>
        <w:rPr>
          <w:rFonts w:ascii="黑体" w:hAnsi="黑体" w:eastAsia="黑体"/>
          <w:b/>
          <w:color w:val="auto"/>
          <w:sz w:val="28"/>
          <w:szCs w:val="28"/>
          <w:highlight w:val="none"/>
        </w:rPr>
      </w:pPr>
      <w:r>
        <w:rPr>
          <w:rFonts w:hint="eastAsia" w:ascii="黑体" w:hAnsi="黑体" w:eastAsia="黑体"/>
          <w:b/>
          <w:color w:val="auto"/>
          <w:sz w:val="30"/>
          <w:szCs w:val="30"/>
          <w:highlight w:val="none"/>
        </w:rPr>
        <w:t>七、偏差表</w:t>
      </w:r>
    </w:p>
    <w:p w14:paraId="51E80468">
      <w:pPr>
        <w:widowControl w:val="0"/>
        <w:snapToGrid w:val="0"/>
        <w:spacing w:line="276" w:lineRule="auto"/>
        <w:jc w:val="center"/>
        <w:rPr>
          <w:rFonts w:ascii="Adobe 宋体 Std L" w:hAnsi="Adobe 宋体 Std L" w:eastAsia="Adobe 宋体 Std L"/>
          <w:b/>
          <w:color w:val="auto"/>
          <w:sz w:val="28"/>
          <w:szCs w:val="28"/>
          <w:highlight w:val="none"/>
        </w:rPr>
      </w:pPr>
    </w:p>
    <w:p w14:paraId="5A0E0610">
      <w:pPr>
        <w:pStyle w:val="8"/>
        <w:adjustRightInd w:val="0"/>
        <w:snapToGrid w:val="0"/>
        <w:spacing w:before="0" w:beforeAutospacing="0" w:after="0" w:afterAutospacing="0"/>
        <w:rPr>
          <w:color w:val="auto"/>
          <w:highlight w:val="none"/>
          <w:u w:val="single"/>
        </w:rPr>
      </w:pPr>
      <w:r>
        <w:rPr>
          <w:rFonts w:hint="eastAsia"/>
          <w:color w:val="auto"/>
          <w:highlight w:val="none"/>
        </w:rPr>
        <w:t>项目名称：</w:t>
      </w:r>
      <w:r>
        <w:rPr>
          <w:color w:val="auto"/>
          <w:highlight w:val="none"/>
          <w:u w:val="single"/>
        </w:rPr>
        <w:t xml:space="preserve">           </w:t>
      </w:r>
    </w:p>
    <w:p w14:paraId="7D965F48">
      <w:pPr>
        <w:pStyle w:val="8"/>
        <w:adjustRightInd w:val="0"/>
        <w:snapToGrid w:val="0"/>
        <w:spacing w:before="0" w:beforeAutospacing="0" w:after="0" w:afterAutospacing="0"/>
        <w:rPr>
          <w:color w:val="auto"/>
          <w:highlight w:val="none"/>
        </w:rPr>
      </w:pPr>
      <w:r>
        <w:rPr>
          <w:rFonts w:hint="eastAsia"/>
          <w:color w:val="auto"/>
          <w:highlight w:val="none"/>
        </w:rPr>
        <w:t>项目编号：</w:t>
      </w:r>
      <w:r>
        <w:rPr>
          <w:color w:val="auto"/>
          <w:highlight w:val="none"/>
          <w:u w:val="single"/>
        </w:rPr>
        <w:t xml:space="preserve">           </w:t>
      </w:r>
    </w:p>
    <w:tbl>
      <w:tblPr>
        <w:tblStyle w:val="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7"/>
        <w:gridCol w:w="3098"/>
        <w:gridCol w:w="2947"/>
        <w:gridCol w:w="2638"/>
      </w:tblGrid>
      <w:tr w14:paraId="6A85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top w:val="single" w:color="000000" w:sz="8" w:space="0"/>
              <w:left w:val="single" w:color="000000" w:sz="8" w:space="0"/>
              <w:bottom w:val="single" w:color="000000" w:sz="4" w:space="0"/>
              <w:right w:val="single" w:color="000000" w:sz="4" w:space="0"/>
            </w:tcBorders>
            <w:vAlign w:val="center"/>
          </w:tcPr>
          <w:p w14:paraId="237539A3">
            <w:pPr>
              <w:spacing w:line="560" w:lineRule="exact"/>
              <w:jc w:val="center"/>
              <w:rPr>
                <w:b/>
                <w:color w:val="auto"/>
                <w:sz w:val="28"/>
                <w:highlight w:val="none"/>
              </w:rPr>
            </w:pPr>
            <w:r>
              <w:rPr>
                <w:rFonts w:hint="eastAsia"/>
                <w:b/>
                <w:color w:val="auto"/>
                <w:highlight w:val="none"/>
              </w:rPr>
              <w:t>序号</w:t>
            </w:r>
          </w:p>
        </w:tc>
        <w:tc>
          <w:tcPr>
            <w:tcW w:w="3098" w:type="dxa"/>
            <w:tcBorders>
              <w:top w:val="single" w:color="000000" w:sz="8" w:space="0"/>
              <w:bottom w:val="single" w:color="000000" w:sz="4" w:space="0"/>
              <w:right w:val="single" w:color="000000" w:sz="4" w:space="0"/>
            </w:tcBorders>
            <w:vAlign w:val="center"/>
          </w:tcPr>
          <w:p w14:paraId="0797B307">
            <w:pPr>
              <w:spacing w:line="560" w:lineRule="exact"/>
              <w:jc w:val="center"/>
              <w:rPr>
                <w:b/>
                <w:color w:val="auto"/>
                <w:sz w:val="28"/>
                <w:highlight w:val="none"/>
              </w:rPr>
            </w:pPr>
            <w:r>
              <w:rPr>
                <w:rFonts w:hint="eastAsia"/>
                <w:b/>
                <w:color w:val="auto"/>
                <w:highlight w:val="none"/>
              </w:rPr>
              <w:t>磋商文件要求</w:t>
            </w:r>
          </w:p>
        </w:tc>
        <w:tc>
          <w:tcPr>
            <w:tcW w:w="2947" w:type="dxa"/>
            <w:tcBorders>
              <w:top w:val="single" w:color="000000" w:sz="8" w:space="0"/>
              <w:bottom w:val="single" w:color="000000" w:sz="4" w:space="0"/>
              <w:right w:val="single" w:color="000000" w:sz="4" w:space="0"/>
            </w:tcBorders>
            <w:vAlign w:val="center"/>
          </w:tcPr>
          <w:p w14:paraId="5FCFB2FE">
            <w:pPr>
              <w:spacing w:line="560" w:lineRule="exact"/>
              <w:jc w:val="center"/>
              <w:rPr>
                <w:b/>
                <w:color w:val="auto"/>
                <w:sz w:val="28"/>
                <w:highlight w:val="none"/>
              </w:rPr>
            </w:pPr>
            <w:r>
              <w:rPr>
                <w:rFonts w:hint="eastAsia"/>
                <w:b/>
                <w:color w:val="auto"/>
                <w:highlight w:val="none"/>
              </w:rPr>
              <w:t>响应文件响应</w:t>
            </w:r>
          </w:p>
        </w:tc>
        <w:tc>
          <w:tcPr>
            <w:tcW w:w="2638" w:type="dxa"/>
            <w:tcBorders>
              <w:top w:val="single" w:color="000000" w:sz="8" w:space="0"/>
              <w:bottom w:val="single" w:color="000000" w:sz="4" w:space="0"/>
              <w:right w:val="single" w:color="000000" w:sz="8" w:space="0"/>
            </w:tcBorders>
            <w:vAlign w:val="center"/>
          </w:tcPr>
          <w:p w14:paraId="6AD5A611">
            <w:pPr>
              <w:spacing w:line="560" w:lineRule="exact"/>
              <w:jc w:val="center"/>
              <w:rPr>
                <w:b/>
                <w:color w:val="auto"/>
                <w:sz w:val="28"/>
                <w:highlight w:val="none"/>
              </w:rPr>
            </w:pPr>
            <w:r>
              <w:rPr>
                <w:rFonts w:hint="eastAsia"/>
                <w:b/>
                <w:color w:val="auto"/>
                <w:highlight w:val="none"/>
              </w:rPr>
              <w:t>偏差描述</w:t>
            </w:r>
          </w:p>
        </w:tc>
      </w:tr>
      <w:tr w14:paraId="4E72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1955B67C">
            <w:pPr>
              <w:spacing w:line="560" w:lineRule="exact"/>
              <w:jc w:val="center"/>
              <w:rPr>
                <w:color w:val="auto"/>
                <w:sz w:val="28"/>
                <w:highlight w:val="none"/>
              </w:rPr>
            </w:pPr>
            <w:r>
              <w:rPr>
                <w:color w:val="auto"/>
                <w:highlight w:val="none"/>
              </w:rPr>
              <w:t>1</w:t>
            </w:r>
          </w:p>
        </w:tc>
        <w:tc>
          <w:tcPr>
            <w:tcW w:w="3098" w:type="dxa"/>
            <w:tcBorders>
              <w:bottom w:val="single" w:color="000000" w:sz="4" w:space="0"/>
              <w:right w:val="single" w:color="000000" w:sz="4" w:space="0"/>
            </w:tcBorders>
            <w:vAlign w:val="center"/>
          </w:tcPr>
          <w:p w14:paraId="03C01EFF">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0B76E9E6">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3EB486A1">
            <w:pPr>
              <w:spacing w:line="560" w:lineRule="exact"/>
              <w:jc w:val="center"/>
              <w:rPr>
                <w:color w:val="auto"/>
                <w:sz w:val="28"/>
                <w:highlight w:val="none"/>
              </w:rPr>
            </w:pPr>
          </w:p>
        </w:tc>
      </w:tr>
      <w:tr w14:paraId="3256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76C2B513">
            <w:pPr>
              <w:spacing w:line="560" w:lineRule="exact"/>
              <w:jc w:val="center"/>
              <w:rPr>
                <w:color w:val="auto"/>
                <w:sz w:val="28"/>
                <w:highlight w:val="none"/>
              </w:rPr>
            </w:pPr>
            <w:r>
              <w:rPr>
                <w:color w:val="auto"/>
                <w:highlight w:val="none"/>
              </w:rPr>
              <w:t>2</w:t>
            </w:r>
          </w:p>
        </w:tc>
        <w:tc>
          <w:tcPr>
            <w:tcW w:w="3098" w:type="dxa"/>
            <w:tcBorders>
              <w:bottom w:val="single" w:color="000000" w:sz="4" w:space="0"/>
              <w:right w:val="single" w:color="000000" w:sz="4" w:space="0"/>
            </w:tcBorders>
            <w:vAlign w:val="center"/>
          </w:tcPr>
          <w:p w14:paraId="7DBC649F">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74527FA9">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73470648">
            <w:pPr>
              <w:spacing w:line="560" w:lineRule="exact"/>
              <w:jc w:val="center"/>
              <w:rPr>
                <w:color w:val="auto"/>
                <w:sz w:val="28"/>
                <w:highlight w:val="none"/>
              </w:rPr>
            </w:pPr>
          </w:p>
        </w:tc>
      </w:tr>
      <w:tr w14:paraId="215A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0968DF9F">
            <w:pPr>
              <w:spacing w:line="560" w:lineRule="exact"/>
              <w:jc w:val="center"/>
              <w:rPr>
                <w:color w:val="auto"/>
                <w:sz w:val="28"/>
                <w:highlight w:val="none"/>
              </w:rPr>
            </w:pPr>
            <w:r>
              <w:rPr>
                <w:color w:val="auto"/>
                <w:highlight w:val="none"/>
              </w:rPr>
              <w:t>3</w:t>
            </w:r>
          </w:p>
        </w:tc>
        <w:tc>
          <w:tcPr>
            <w:tcW w:w="3098" w:type="dxa"/>
            <w:tcBorders>
              <w:bottom w:val="single" w:color="000000" w:sz="4" w:space="0"/>
              <w:right w:val="single" w:color="000000" w:sz="4" w:space="0"/>
            </w:tcBorders>
            <w:vAlign w:val="center"/>
          </w:tcPr>
          <w:p w14:paraId="6D888EC1">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74CA3D7B">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3090925B">
            <w:pPr>
              <w:spacing w:line="560" w:lineRule="exact"/>
              <w:jc w:val="center"/>
              <w:rPr>
                <w:color w:val="auto"/>
                <w:sz w:val="28"/>
                <w:highlight w:val="none"/>
              </w:rPr>
            </w:pPr>
          </w:p>
        </w:tc>
      </w:tr>
      <w:tr w14:paraId="6E56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637" w:type="dxa"/>
            <w:tcBorders>
              <w:left w:val="single" w:color="000000" w:sz="8" w:space="0"/>
              <w:bottom w:val="single" w:color="000000" w:sz="4" w:space="0"/>
              <w:right w:val="single" w:color="000000" w:sz="4" w:space="0"/>
            </w:tcBorders>
            <w:vAlign w:val="center"/>
          </w:tcPr>
          <w:p w14:paraId="4D40C4C1">
            <w:pPr>
              <w:spacing w:line="560" w:lineRule="exact"/>
              <w:jc w:val="center"/>
              <w:rPr>
                <w:color w:val="auto"/>
                <w:sz w:val="28"/>
                <w:highlight w:val="none"/>
              </w:rPr>
            </w:pPr>
            <w:r>
              <w:rPr>
                <w:color w:val="auto"/>
                <w:highlight w:val="none"/>
              </w:rPr>
              <w:t>4</w:t>
            </w:r>
          </w:p>
        </w:tc>
        <w:tc>
          <w:tcPr>
            <w:tcW w:w="3098" w:type="dxa"/>
            <w:tcBorders>
              <w:bottom w:val="single" w:color="000000" w:sz="4" w:space="0"/>
              <w:right w:val="single" w:color="000000" w:sz="4" w:space="0"/>
            </w:tcBorders>
            <w:vAlign w:val="center"/>
          </w:tcPr>
          <w:p w14:paraId="20AFACAD">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344C028">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0FE51AF4">
            <w:pPr>
              <w:spacing w:line="560" w:lineRule="exact"/>
              <w:jc w:val="center"/>
              <w:rPr>
                <w:color w:val="auto"/>
                <w:sz w:val="28"/>
                <w:highlight w:val="none"/>
              </w:rPr>
            </w:pPr>
          </w:p>
        </w:tc>
      </w:tr>
      <w:tr w14:paraId="0333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637" w:type="dxa"/>
            <w:tcBorders>
              <w:left w:val="single" w:color="000000" w:sz="8" w:space="0"/>
              <w:bottom w:val="single" w:color="000000" w:sz="4" w:space="0"/>
              <w:right w:val="single" w:color="000000" w:sz="4" w:space="0"/>
            </w:tcBorders>
            <w:vAlign w:val="center"/>
          </w:tcPr>
          <w:p w14:paraId="5B37363A">
            <w:pPr>
              <w:spacing w:line="560" w:lineRule="exact"/>
              <w:jc w:val="center"/>
              <w:rPr>
                <w:color w:val="auto"/>
                <w:sz w:val="28"/>
                <w:highlight w:val="none"/>
              </w:rPr>
            </w:pPr>
            <w:r>
              <w:rPr>
                <w:color w:val="auto"/>
                <w:highlight w:val="none"/>
              </w:rPr>
              <w:t>5</w:t>
            </w:r>
          </w:p>
        </w:tc>
        <w:tc>
          <w:tcPr>
            <w:tcW w:w="3098" w:type="dxa"/>
            <w:tcBorders>
              <w:bottom w:val="single" w:color="000000" w:sz="4" w:space="0"/>
              <w:right w:val="single" w:color="000000" w:sz="4" w:space="0"/>
            </w:tcBorders>
            <w:vAlign w:val="center"/>
          </w:tcPr>
          <w:p w14:paraId="12E63E71">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1B8A5E52">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64B20027">
            <w:pPr>
              <w:spacing w:line="560" w:lineRule="exact"/>
              <w:jc w:val="center"/>
              <w:rPr>
                <w:color w:val="auto"/>
                <w:sz w:val="28"/>
                <w:highlight w:val="none"/>
              </w:rPr>
            </w:pPr>
          </w:p>
        </w:tc>
      </w:tr>
      <w:tr w14:paraId="02EC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4" w:space="0"/>
              <w:right w:val="single" w:color="000000" w:sz="4" w:space="0"/>
            </w:tcBorders>
            <w:vAlign w:val="center"/>
          </w:tcPr>
          <w:p w14:paraId="4EB9458D">
            <w:pPr>
              <w:spacing w:line="560" w:lineRule="exact"/>
              <w:jc w:val="center"/>
              <w:rPr>
                <w:color w:val="auto"/>
                <w:sz w:val="28"/>
                <w:highlight w:val="none"/>
              </w:rPr>
            </w:pPr>
            <w:r>
              <w:rPr>
                <w:color w:val="auto"/>
                <w:highlight w:val="none"/>
              </w:rPr>
              <w:t>6</w:t>
            </w:r>
          </w:p>
        </w:tc>
        <w:tc>
          <w:tcPr>
            <w:tcW w:w="3098" w:type="dxa"/>
            <w:tcBorders>
              <w:bottom w:val="single" w:color="000000" w:sz="4" w:space="0"/>
              <w:right w:val="single" w:color="000000" w:sz="4" w:space="0"/>
            </w:tcBorders>
            <w:vAlign w:val="center"/>
          </w:tcPr>
          <w:p w14:paraId="51576310">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513F544">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00D96935">
            <w:pPr>
              <w:spacing w:line="560" w:lineRule="exact"/>
              <w:jc w:val="center"/>
              <w:rPr>
                <w:color w:val="auto"/>
                <w:sz w:val="28"/>
                <w:highlight w:val="none"/>
              </w:rPr>
            </w:pPr>
          </w:p>
        </w:tc>
      </w:tr>
      <w:tr w14:paraId="582C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3C697E17">
            <w:pPr>
              <w:spacing w:line="560" w:lineRule="exact"/>
              <w:jc w:val="center"/>
              <w:rPr>
                <w:color w:val="auto"/>
                <w:sz w:val="28"/>
                <w:highlight w:val="none"/>
              </w:rPr>
            </w:pPr>
            <w:r>
              <w:rPr>
                <w:color w:val="auto"/>
                <w:highlight w:val="none"/>
              </w:rPr>
              <w:t>7</w:t>
            </w:r>
          </w:p>
        </w:tc>
        <w:tc>
          <w:tcPr>
            <w:tcW w:w="3098" w:type="dxa"/>
            <w:tcBorders>
              <w:bottom w:val="single" w:color="000000" w:sz="4" w:space="0"/>
              <w:right w:val="single" w:color="000000" w:sz="4" w:space="0"/>
            </w:tcBorders>
            <w:vAlign w:val="center"/>
          </w:tcPr>
          <w:p w14:paraId="279CEC1A">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5832B0C2">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684DBD28">
            <w:pPr>
              <w:spacing w:line="560" w:lineRule="exact"/>
              <w:jc w:val="center"/>
              <w:rPr>
                <w:color w:val="auto"/>
                <w:sz w:val="28"/>
                <w:highlight w:val="none"/>
              </w:rPr>
            </w:pPr>
          </w:p>
        </w:tc>
      </w:tr>
      <w:tr w14:paraId="4ED2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637" w:type="dxa"/>
            <w:tcBorders>
              <w:left w:val="single" w:color="000000" w:sz="8" w:space="0"/>
              <w:bottom w:val="single" w:color="000000" w:sz="4" w:space="0"/>
              <w:right w:val="single" w:color="000000" w:sz="4" w:space="0"/>
            </w:tcBorders>
            <w:vAlign w:val="center"/>
          </w:tcPr>
          <w:p w14:paraId="59D52796">
            <w:pPr>
              <w:spacing w:line="560" w:lineRule="exact"/>
              <w:jc w:val="center"/>
              <w:rPr>
                <w:color w:val="auto"/>
                <w:sz w:val="28"/>
                <w:highlight w:val="none"/>
              </w:rPr>
            </w:pPr>
            <w:r>
              <w:rPr>
                <w:color w:val="auto"/>
                <w:highlight w:val="none"/>
              </w:rPr>
              <w:t>8</w:t>
            </w:r>
          </w:p>
        </w:tc>
        <w:tc>
          <w:tcPr>
            <w:tcW w:w="3098" w:type="dxa"/>
            <w:tcBorders>
              <w:bottom w:val="single" w:color="000000" w:sz="4" w:space="0"/>
              <w:right w:val="single" w:color="000000" w:sz="4" w:space="0"/>
            </w:tcBorders>
            <w:vAlign w:val="center"/>
          </w:tcPr>
          <w:p w14:paraId="1BB36585">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30049296">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42F7F9A4">
            <w:pPr>
              <w:spacing w:line="560" w:lineRule="exact"/>
              <w:jc w:val="center"/>
              <w:rPr>
                <w:color w:val="auto"/>
                <w:sz w:val="28"/>
                <w:highlight w:val="none"/>
              </w:rPr>
            </w:pPr>
          </w:p>
        </w:tc>
      </w:tr>
      <w:tr w14:paraId="0C755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637" w:type="dxa"/>
            <w:tcBorders>
              <w:left w:val="single" w:color="000000" w:sz="8" w:space="0"/>
              <w:bottom w:val="single" w:color="000000" w:sz="4" w:space="0"/>
              <w:right w:val="single" w:color="000000" w:sz="4" w:space="0"/>
            </w:tcBorders>
            <w:vAlign w:val="center"/>
          </w:tcPr>
          <w:p w14:paraId="75125D39">
            <w:pPr>
              <w:spacing w:line="560" w:lineRule="exact"/>
              <w:jc w:val="center"/>
              <w:rPr>
                <w:color w:val="auto"/>
                <w:sz w:val="28"/>
                <w:highlight w:val="none"/>
              </w:rPr>
            </w:pPr>
            <w:r>
              <w:rPr>
                <w:color w:val="auto"/>
                <w:highlight w:val="none"/>
              </w:rPr>
              <w:t>9</w:t>
            </w:r>
          </w:p>
        </w:tc>
        <w:tc>
          <w:tcPr>
            <w:tcW w:w="3098" w:type="dxa"/>
            <w:tcBorders>
              <w:bottom w:val="single" w:color="000000" w:sz="4" w:space="0"/>
              <w:right w:val="single" w:color="000000" w:sz="4" w:space="0"/>
            </w:tcBorders>
            <w:vAlign w:val="center"/>
          </w:tcPr>
          <w:p w14:paraId="7F0F015E">
            <w:pPr>
              <w:spacing w:line="560" w:lineRule="exact"/>
              <w:jc w:val="center"/>
              <w:rPr>
                <w:color w:val="auto"/>
                <w:sz w:val="28"/>
                <w:highlight w:val="none"/>
              </w:rPr>
            </w:pPr>
          </w:p>
        </w:tc>
        <w:tc>
          <w:tcPr>
            <w:tcW w:w="2947" w:type="dxa"/>
            <w:tcBorders>
              <w:bottom w:val="single" w:color="000000" w:sz="4" w:space="0"/>
              <w:right w:val="single" w:color="000000" w:sz="4" w:space="0"/>
            </w:tcBorders>
            <w:vAlign w:val="center"/>
          </w:tcPr>
          <w:p w14:paraId="2C1D3795">
            <w:pPr>
              <w:spacing w:line="560" w:lineRule="exact"/>
              <w:jc w:val="center"/>
              <w:rPr>
                <w:color w:val="auto"/>
                <w:sz w:val="28"/>
                <w:highlight w:val="none"/>
              </w:rPr>
            </w:pPr>
          </w:p>
        </w:tc>
        <w:tc>
          <w:tcPr>
            <w:tcW w:w="2638" w:type="dxa"/>
            <w:tcBorders>
              <w:bottom w:val="single" w:color="000000" w:sz="4" w:space="0"/>
              <w:right w:val="single" w:color="000000" w:sz="8" w:space="0"/>
            </w:tcBorders>
            <w:vAlign w:val="center"/>
          </w:tcPr>
          <w:p w14:paraId="279FD9AD">
            <w:pPr>
              <w:spacing w:line="560" w:lineRule="exact"/>
              <w:jc w:val="center"/>
              <w:rPr>
                <w:color w:val="auto"/>
                <w:sz w:val="28"/>
                <w:highlight w:val="none"/>
              </w:rPr>
            </w:pPr>
          </w:p>
        </w:tc>
      </w:tr>
      <w:tr w14:paraId="68CEB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637" w:type="dxa"/>
            <w:tcBorders>
              <w:left w:val="single" w:color="000000" w:sz="8" w:space="0"/>
              <w:bottom w:val="single" w:color="000000" w:sz="8" w:space="0"/>
              <w:right w:val="single" w:color="000000" w:sz="4" w:space="0"/>
            </w:tcBorders>
            <w:vAlign w:val="center"/>
          </w:tcPr>
          <w:p w14:paraId="666CE3F8">
            <w:pPr>
              <w:spacing w:line="560" w:lineRule="exact"/>
              <w:jc w:val="center"/>
              <w:rPr>
                <w:color w:val="auto"/>
                <w:sz w:val="28"/>
                <w:highlight w:val="none"/>
              </w:rPr>
            </w:pPr>
            <w:r>
              <w:rPr>
                <w:color w:val="auto"/>
                <w:highlight w:val="none"/>
              </w:rPr>
              <w:t>......</w:t>
            </w:r>
          </w:p>
        </w:tc>
        <w:tc>
          <w:tcPr>
            <w:tcW w:w="3098" w:type="dxa"/>
            <w:tcBorders>
              <w:bottom w:val="single" w:color="000000" w:sz="8" w:space="0"/>
              <w:right w:val="single" w:color="000000" w:sz="4" w:space="0"/>
            </w:tcBorders>
            <w:vAlign w:val="center"/>
          </w:tcPr>
          <w:p w14:paraId="4839A3A7">
            <w:pPr>
              <w:spacing w:line="560" w:lineRule="exact"/>
              <w:jc w:val="center"/>
              <w:rPr>
                <w:color w:val="auto"/>
                <w:sz w:val="28"/>
                <w:highlight w:val="none"/>
              </w:rPr>
            </w:pPr>
          </w:p>
        </w:tc>
        <w:tc>
          <w:tcPr>
            <w:tcW w:w="2947" w:type="dxa"/>
            <w:tcBorders>
              <w:bottom w:val="single" w:color="000000" w:sz="8" w:space="0"/>
              <w:right w:val="single" w:color="000000" w:sz="4" w:space="0"/>
            </w:tcBorders>
            <w:vAlign w:val="center"/>
          </w:tcPr>
          <w:p w14:paraId="2122B1E7">
            <w:pPr>
              <w:spacing w:line="560" w:lineRule="exact"/>
              <w:jc w:val="center"/>
              <w:rPr>
                <w:color w:val="auto"/>
                <w:sz w:val="28"/>
                <w:highlight w:val="none"/>
              </w:rPr>
            </w:pPr>
          </w:p>
        </w:tc>
        <w:tc>
          <w:tcPr>
            <w:tcW w:w="2638" w:type="dxa"/>
            <w:tcBorders>
              <w:bottom w:val="single" w:color="000000" w:sz="8" w:space="0"/>
              <w:right w:val="single" w:color="000000" w:sz="8" w:space="0"/>
            </w:tcBorders>
            <w:vAlign w:val="center"/>
          </w:tcPr>
          <w:p w14:paraId="1CEFCD0B">
            <w:pPr>
              <w:spacing w:line="560" w:lineRule="exact"/>
              <w:jc w:val="center"/>
              <w:rPr>
                <w:color w:val="auto"/>
                <w:sz w:val="28"/>
                <w:highlight w:val="none"/>
              </w:rPr>
            </w:pPr>
          </w:p>
        </w:tc>
      </w:tr>
    </w:tbl>
    <w:p w14:paraId="4077D54E">
      <w:pPr>
        <w:tabs>
          <w:tab w:val="left" w:pos="0"/>
        </w:tabs>
        <w:adjustRightInd w:val="0"/>
        <w:snapToGrid w:val="0"/>
        <w:spacing w:before="120" w:beforeLines="50" w:line="300" w:lineRule="auto"/>
        <w:ind w:right="25" w:firstLine="452" w:firstLineChars="200"/>
        <w:rPr>
          <w:rFonts w:ascii="宋体"/>
          <w:color w:val="auto"/>
          <w:spacing w:val="8"/>
          <w:szCs w:val="21"/>
          <w:highlight w:val="none"/>
        </w:rPr>
      </w:pPr>
      <w:r>
        <w:rPr>
          <w:rFonts w:hint="eastAsia" w:ascii="宋体" w:hAnsi="宋体"/>
          <w:color w:val="auto"/>
          <w:spacing w:val="8"/>
          <w:szCs w:val="21"/>
          <w:highlight w:val="none"/>
        </w:rPr>
        <w:t>注：</w:t>
      </w:r>
      <w:r>
        <w:rPr>
          <w:rFonts w:ascii="宋体" w:hAnsi="宋体"/>
          <w:color w:val="auto"/>
          <w:spacing w:val="8"/>
          <w:szCs w:val="21"/>
          <w:highlight w:val="none"/>
        </w:rPr>
        <w:t>1</w:t>
      </w:r>
      <w:r>
        <w:rPr>
          <w:rFonts w:hint="eastAsia" w:ascii="宋体" w:hAnsi="宋体"/>
          <w:color w:val="auto"/>
          <w:spacing w:val="8"/>
          <w:szCs w:val="21"/>
          <w:highlight w:val="none"/>
        </w:rPr>
        <w:t>、“偏差表”应详细注明与《磋商文件》中各项要求有何不同，并说明其符合性（优于、或低于《磋商文件》要求）。</w:t>
      </w:r>
    </w:p>
    <w:p w14:paraId="3C130D9D">
      <w:pPr>
        <w:tabs>
          <w:tab w:val="left" w:pos="0"/>
        </w:tabs>
        <w:adjustRightInd w:val="0"/>
        <w:snapToGrid w:val="0"/>
        <w:spacing w:before="120" w:beforeLines="50" w:line="300" w:lineRule="auto"/>
        <w:ind w:right="25" w:firstLine="452" w:firstLineChars="200"/>
        <w:rPr>
          <w:rFonts w:ascii="宋体"/>
          <w:color w:val="auto"/>
          <w:spacing w:val="8"/>
          <w:szCs w:val="21"/>
          <w:highlight w:val="none"/>
        </w:rPr>
      </w:pPr>
      <w:r>
        <w:rPr>
          <w:rFonts w:ascii="宋体" w:hAnsi="宋体"/>
          <w:color w:val="auto"/>
          <w:spacing w:val="8"/>
          <w:szCs w:val="21"/>
          <w:highlight w:val="none"/>
        </w:rPr>
        <w:t>2</w:t>
      </w:r>
      <w:r>
        <w:rPr>
          <w:rFonts w:hint="eastAsia" w:ascii="宋体" w:hAnsi="宋体"/>
          <w:color w:val="auto"/>
          <w:spacing w:val="8"/>
          <w:szCs w:val="21"/>
          <w:highlight w:val="none"/>
        </w:rPr>
        <w:t>、如投标条款与《磋商文件》要求一致，仍需在本表填列“与《磋商文件》所有条款要求一致，无偏差”等相似表述。</w:t>
      </w:r>
    </w:p>
    <w:p w14:paraId="0586B818">
      <w:pPr>
        <w:tabs>
          <w:tab w:val="left" w:pos="540"/>
        </w:tabs>
        <w:spacing w:line="440" w:lineRule="exact"/>
        <w:jc w:val="center"/>
        <w:rPr>
          <w:color w:val="auto"/>
          <w:sz w:val="28"/>
          <w:highlight w:val="none"/>
        </w:rPr>
      </w:pPr>
    </w:p>
    <w:p w14:paraId="4AF4DCE0">
      <w:pPr>
        <w:tabs>
          <w:tab w:val="left" w:pos="540"/>
        </w:tabs>
        <w:spacing w:line="440" w:lineRule="exact"/>
        <w:jc w:val="center"/>
        <w:rPr>
          <w:color w:val="auto"/>
          <w:sz w:val="28"/>
          <w:highlight w:val="none"/>
        </w:rPr>
      </w:pPr>
    </w:p>
    <w:p w14:paraId="6A5912A1">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23A09CAC">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0E52771D">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094BEEA">
      <w:pPr>
        <w:tabs>
          <w:tab w:val="left" w:pos="540"/>
        </w:tabs>
        <w:spacing w:line="440" w:lineRule="exact"/>
        <w:jc w:val="center"/>
        <w:rPr>
          <w:color w:val="auto"/>
          <w:sz w:val="28"/>
          <w:highlight w:val="none"/>
        </w:rPr>
      </w:pPr>
      <w:r>
        <w:rPr>
          <w:color w:val="auto"/>
          <w:sz w:val="28"/>
          <w:highlight w:val="none"/>
        </w:rPr>
        <w:br w:type="page"/>
      </w:r>
      <w:bookmarkStart w:id="50" w:name="OLE_LINK28"/>
    </w:p>
    <w:p w14:paraId="5C19E276">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八、关于资格的声明函</w:t>
      </w:r>
      <w:bookmarkEnd w:id="50"/>
    </w:p>
    <w:p w14:paraId="7F53875A">
      <w:pPr>
        <w:snapToGrid w:val="0"/>
        <w:spacing w:line="560" w:lineRule="exact"/>
        <w:ind w:firstLine="839"/>
        <w:rPr>
          <w:color w:val="auto"/>
          <w:highlight w:val="none"/>
        </w:rPr>
      </w:pPr>
    </w:p>
    <w:p w14:paraId="676F8492">
      <w:pPr>
        <w:snapToGrid w:val="0"/>
        <w:spacing w:line="560" w:lineRule="exact"/>
        <w:rPr>
          <w:rFonts w:ascii="宋体"/>
          <w:color w:val="auto"/>
          <w:sz w:val="24"/>
          <w:highlight w:val="none"/>
        </w:rPr>
      </w:pPr>
      <w:r>
        <w:rPr>
          <w:rFonts w:hint="eastAsia" w:ascii="宋体" w:hAnsi="宋体"/>
          <w:color w:val="auto"/>
          <w:sz w:val="24"/>
          <w:highlight w:val="none"/>
          <w:lang w:val="en-US" w:eastAsia="zh-CN"/>
        </w:rPr>
        <w:t>安阳</w:t>
      </w:r>
      <w:r>
        <w:rPr>
          <w:rFonts w:hint="eastAsia" w:ascii="宋体" w:hAnsi="宋体"/>
          <w:color w:val="auto"/>
          <w:sz w:val="24"/>
          <w:highlight w:val="none"/>
        </w:rPr>
        <w:t>市方正招标采购服务有限责任公司：</w:t>
      </w:r>
    </w:p>
    <w:p w14:paraId="2D0A4F3B">
      <w:pPr>
        <w:snapToGrid w:val="0"/>
        <w:spacing w:line="560" w:lineRule="exact"/>
        <w:ind w:firstLine="555"/>
        <w:rPr>
          <w:rFonts w:ascii="宋体"/>
          <w:color w:val="auto"/>
          <w:sz w:val="24"/>
          <w:highlight w:val="none"/>
        </w:rPr>
      </w:pPr>
      <w:r>
        <w:rPr>
          <w:rFonts w:hint="eastAsia" w:ascii="宋体" w:hAnsi="宋体"/>
          <w:color w:val="auto"/>
          <w:sz w:val="24"/>
          <w:highlight w:val="none"/>
        </w:rPr>
        <w:t>关于贵方项目编号为</w:t>
      </w:r>
      <w:r>
        <w:rPr>
          <w:rFonts w:ascii="宋体" w:hAnsi="宋体"/>
          <w:color w:val="auto"/>
          <w:sz w:val="24"/>
          <w:highlight w:val="none"/>
          <w:u w:val="single"/>
        </w:rPr>
        <w:t xml:space="preserve">          </w:t>
      </w:r>
      <w:r>
        <w:rPr>
          <w:rFonts w:hint="eastAsia" w:ascii="宋体" w:hAnsi="宋体"/>
          <w:color w:val="auto"/>
          <w:sz w:val="24"/>
          <w:highlight w:val="none"/>
        </w:rPr>
        <w:t>的投标邀请，本签字人愿意参加投标，提供《磋商文件》中规定的产品及服务，并声明提交下列文件是准确的、真实的和有效的。</w:t>
      </w:r>
    </w:p>
    <w:p w14:paraId="13263F83">
      <w:pPr>
        <w:numPr>
          <w:ilvl w:val="0"/>
          <w:numId w:val="1"/>
        </w:numPr>
        <w:snapToGrid w:val="0"/>
        <w:spacing w:line="560" w:lineRule="exact"/>
        <w:ind w:firstLine="555"/>
        <w:rPr>
          <w:rFonts w:ascii="宋体" w:hAnsi="宋体"/>
          <w:color w:val="auto"/>
          <w:sz w:val="24"/>
          <w:highlight w:val="none"/>
        </w:rPr>
      </w:pPr>
      <w:r>
        <w:rPr>
          <w:rFonts w:hint="eastAsia" w:ascii="宋体" w:hAnsi="宋体"/>
          <w:color w:val="auto"/>
          <w:sz w:val="24"/>
          <w:highlight w:val="none"/>
        </w:rPr>
        <w:t>《磋商文件》第一章“竞争性磋商公告”第二条所要求的资格性证明文件（证件或证明资料或承诺）</w:t>
      </w:r>
    </w:p>
    <w:p w14:paraId="2C83A1E9">
      <w:pPr>
        <w:snapToGrid w:val="0"/>
        <w:spacing w:line="560" w:lineRule="exact"/>
        <w:ind w:firstLine="555"/>
        <w:rPr>
          <w:rFonts w:asci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采购项目中必须的其他证件。</w:t>
      </w:r>
    </w:p>
    <w:p w14:paraId="1730EFBB">
      <w:pPr>
        <w:snapToGrid w:val="0"/>
        <w:spacing w:line="560" w:lineRule="exact"/>
        <w:ind w:firstLine="555"/>
        <w:rPr>
          <w:rFonts w:asci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本签字人确认资格文件中的说明是真实的、准确的。</w:t>
      </w:r>
    </w:p>
    <w:p w14:paraId="23228F1F">
      <w:pPr>
        <w:snapToGrid w:val="0"/>
        <w:spacing w:line="560" w:lineRule="exact"/>
        <w:ind w:firstLine="555"/>
        <w:rPr>
          <w:rFonts w:ascii="宋体"/>
          <w:color w:val="auto"/>
          <w:sz w:val="24"/>
          <w:highlight w:val="none"/>
        </w:rPr>
      </w:pPr>
    </w:p>
    <w:p w14:paraId="0390FCF2">
      <w:pPr>
        <w:snapToGrid w:val="0"/>
        <w:spacing w:line="560" w:lineRule="exact"/>
        <w:ind w:firstLine="555"/>
        <w:rPr>
          <w:rFonts w:ascii="宋体"/>
          <w:color w:val="auto"/>
          <w:sz w:val="24"/>
          <w:highlight w:val="none"/>
        </w:rPr>
      </w:pPr>
    </w:p>
    <w:p w14:paraId="21B20744">
      <w:pPr>
        <w:snapToGrid w:val="0"/>
        <w:spacing w:line="560" w:lineRule="exact"/>
        <w:ind w:firstLine="555"/>
        <w:rPr>
          <w:rFonts w:ascii="宋体"/>
          <w:color w:val="auto"/>
          <w:sz w:val="24"/>
          <w:highlight w:val="none"/>
        </w:rPr>
      </w:pPr>
    </w:p>
    <w:p w14:paraId="7D118740">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55724BC1">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3855505A">
      <w:pPr>
        <w:widowControl w:val="0"/>
        <w:tabs>
          <w:tab w:val="left" w:pos="9365"/>
        </w:tabs>
        <w:snapToGrid w:val="0"/>
        <w:spacing w:after="56" w:line="560" w:lineRule="exact"/>
        <w:ind w:right="85"/>
        <w:jc w:val="left"/>
        <w:textAlignment w:val="top"/>
        <w:rPr>
          <w:rFonts w:ascii="宋体" w:hAnsi="宋体" w:cs="楷体_GB2312"/>
          <w:color w:val="auto"/>
          <w:sz w:val="24"/>
          <w:highlight w:val="none"/>
          <w:lang w:val="zh-CN"/>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709BA88F">
      <w:pPr>
        <w:snapToGrid w:val="0"/>
        <w:spacing w:line="560" w:lineRule="exact"/>
        <w:rPr>
          <w:rFonts w:ascii="宋体"/>
          <w:color w:val="auto"/>
          <w:sz w:val="24"/>
          <w:highlight w:val="none"/>
        </w:rPr>
      </w:pPr>
    </w:p>
    <w:p w14:paraId="728BAFD8">
      <w:pPr>
        <w:snapToGrid w:val="0"/>
        <w:spacing w:line="560" w:lineRule="exact"/>
        <w:ind w:firstLine="555"/>
        <w:rPr>
          <w:rFonts w:ascii="宋体" w:hAnsi="宋体"/>
          <w:color w:val="auto"/>
          <w:sz w:val="24"/>
          <w:highlight w:val="none"/>
        </w:rPr>
      </w:pPr>
    </w:p>
    <w:p w14:paraId="6EE1A81D">
      <w:pPr>
        <w:widowControl w:val="0"/>
        <w:tabs>
          <w:tab w:val="left" w:pos="9365"/>
        </w:tabs>
        <w:snapToGrid w:val="0"/>
        <w:spacing w:after="56" w:line="560" w:lineRule="exact"/>
        <w:ind w:right="85"/>
        <w:jc w:val="center"/>
        <w:textAlignment w:val="top"/>
        <w:rPr>
          <w:rFonts w:ascii="宋体" w:hAnsi="宋体"/>
          <w:color w:val="auto"/>
          <w:sz w:val="24"/>
          <w:highlight w:val="none"/>
        </w:rPr>
      </w:pPr>
      <w:r>
        <w:rPr>
          <w:rFonts w:ascii="宋体" w:hAnsi="宋体"/>
          <w:color w:val="auto"/>
          <w:sz w:val="24"/>
          <w:highlight w:val="none"/>
        </w:rPr>
        <w:t xml:space="preserve">   </w:t>
      </w:r>
    </w:p>
    <w:p w14:paraId="08FB6DB1">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409BC2B3">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670F7E83">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26EABD22">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32E46343">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60E35164">
      <w:pPr>
        <w:widowControl w:val="0"/>
        <w:tabs>
          <w:tab w:val="left" w:pos="9365"/>
        </w:tabs>
        <w:snapToGrid w:val="0"/>
        <w:spacing w:after="56" w:line="560" w:lineRule="exact"/>
        <w:ind w:right="85"/>
        <w:jc w:val="center"/>
        <w:textAlignment w:val="top"/>
        <w:rPr>
          <w:rFonts w:ascii="宋体" w:hAnsi="宋体"/>
          <w:color w:val="auto"/>
          <w:sz w:val="24"/>
          <w:highlight w:val="none"/>
        </w:rPr>
      </w:pPr>
    </w:p>
    <w:p w14:paraId="3199230C">
      <w:pPr>
        <w:tabs>
          <w:tab w:val="left" w:pos="540"/>
        </w:tabs>
        <w:spacing w:line="440" w:lineRule="exact"/>
        <w:rPr>
          <w:rFonts w:ascii="宋体"/>
          <w:color w:val="auto"/>
          <w:sz w:val="24"/>
          <w:highlight w:val="none"/>
        </w:rPr>
      </w:pPr>
    </w:p>
    <w:p w14:paraId="1F758071">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九、反商业贿赂承诺书</w:t>
      </w:r>
    </w:p>
    <w:p w14:paraId="2129F3C3">
      <w:pPr>
        <w:rPr>
          <w:b/>
          <w:color w:val="auto"/>
          <w:sz w:val="48"/>
          <w:szCs w:val="48"/>
          <w:highlight w:val="none"/>
        </w:rPr>
      </w:pPr>
    </w:p>
    <w:p w14:paraId="04077518">
      <w:pPr>
        <w:snapToGrid w:val="0"/>
        <w:spacing w:line="560" w:lineRule="atLeast"/>
        <w:ind w:right="56" w:firstLine="555"/>
        <w:rPr>
          <w:color w:val="auto"/>
          <w:sz w:val="24"/>
          <w:highlight w:val="none"/>
        </w:rPr>
      </w:pPr>
      <w:r>
        <w:rPr>
          <w:rFonts w:hint="eastAsia"/>
          <w:color w:val="auto"/>
          <w:sz w:val="24"/>
          <w:highlight w:val="none"/>
        </w:rPr>
        <w:t>我公司承诺：</w:t>
      </w:r>
    </w:p>
    <w:p w14:paraId="2C35EDAC">
      <w:pPr>
        <w:snapToGrid w:val="0"/>
        <w:spacing w:line="560" w:lineRule="atLeast"/>
        <w:ind w:right="56" w:firstLine="555"/>
        <w:rPr>
          <w:color w:val="auto"/>
          <w:sz w:val="24"/>
          <w:highlight w:val="none"/>
        </w:rPr>
      </w:pPr>
      <w:r>
        <w:rPr>
          <w:rFonts w:hint="eastAsia"/>
          <w:color w:val="auto"/>
          <w:sz w:val="24"/>
          <w:highlight w:val="none"/>
        </w:rPr>
        <w:t>在采购活动中，我公司保证做到：</w:t>
      </w:r>
    </w:p>
    <w:p w14:paraId="632391D8">
      <w:pPr>
        <w:snapToGrid w:val="0"/>
        <w:spacing w:line="560" w:lineRule="atLeast"/>
        <w:ind w:right="56" w:firstLine="555"/>
        <w:rPr>
          <w:color w:val="auto"/>
          <w:sz w:val="24"/>
          <w:highlight w:val="none"/>
        </w:rPr>
      </w:pPr>
      <w:r>
        <w:rPr>
          <w:rFonts w:hint="eastAsia"/>
          <w:color w:val="auto"/>
          <w:sz w:val="24"/>
          <w:highlight w:val="none"/>
        </w:rPr>
        <w:t>一、公平竞争参加本次采购活动。</w:t>
      </w:r>
    </w:p>
    <w:p w14:paraId="4B45B116">
      <w:pPr>
        <w:snapToGrid w:val="0"/>
        <w:spacing w:line="560" w:lineRule="atLeast"/>
        <w:ind w:right="56" w:firstLine="555"/>
        <w:rPr>
          <w:color w:val="auto"/>
          <w:sz w:val="24"/>
          <w:highlight w:val="none"/>
        </w:rPr>
      </w:pPr>
      <w:r>
        <w:rPr>
          <w:rFonts w:hint="eastAsia"/>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13F13C45">
      <w:pPr>
        <w:snapToGrid w:val="0"/>
        <w:spacing w:line="560" w:lineRule="atLeast"/>
        <w:ind w:right="56" w:firstLine="555"/>
        <w:rPr>
          <w:color w:val="auto"/>
          <w:sz w:val="24"/>
          <w:highlight w:val="none"/>
        </w:rPr>
      </w:pPr>
      <w:r>
        <w:rPr>
          <w:rFonts w:hint="eastAsia"/>
          <w:color w:val="auto"/>
          <w:sz w:val="24"/>
          <w:highlight w:val="none"/>
        </w:rPr>
        <w:t>三、若出现上述行为，我公司及其参与投标的工作人员愿意接受按照国家法律法规等有关规定给予的处罚。</w:t>
      </w:r>
    </w:p>
    <w:p w14:paraId="2351A0D5">
      <w:pPr>
        <w:snapToGrid w:val="0"/>
        <w:spacing w:line="560" w:lineRule="atLeast"/>
        <w:ind w:right="56" w:firstLine="555"/>
        <w:rPr>
          <w:color w:val="auto"/>
          <w:sz w:val="24"/>
          <w:highlight w:val="none"/>
        </w:rPr>
      </w:pPr>
    </w:p>
    <w:p w14:paraId="2F79ACDA">
      <w:pPr>
        <w:snapToGrid w:val="0"/>
        <w:spacing w:line="560" w:lineRule="atLeast"/>
        <w:ind w:right="56" w:firstLine="555"/>
        <w:rPr>
          <w:color w:val="auto"/>
          <w:sz w:val="24"/>
          <w:highlight w:val="none"/>
        </w:rPr>
      </w:pPr>
    </w:p>
    <w:p w14:paraId="626A6958">
      <w:pPr>
        <w:tabs>
          <w:tab w:val="left" w:pos="0"/>
        </w:tabs>
        <w:spacing w:line="480" w:lineRule="auto"/>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6673B0A7">
      <w:pPr>
        <w:tabs>
          <w:tab w:val="left" w:pos="0"/>
        </w:tabs>
        <w:spacing w:line="480" w:lineRule="auto"/>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31C05DC8">
      <w:pPr>
        <w:autoSpaceDE w:val="0"/>
        <w:autoSpaceDN w:val="0"/>
        <w:adjustRightInd w:val="0"/>
        <w:spacing w:line="480" w:lineRule="auto"/>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5FE88FB3">
      <w:pPr>
        <w:tabs>
          <w:tab w:val="left" w:pos="540"/>
        </w:tabs>
        <w:spacing w:line="440" w:lineRule="exact"/>
        <w:jc w:val="center"/>
        <w:rPr>
          <w:color w:val="auto"/>
          <w:highlight w:val="none"/>
        </w:rPr>
      </w:pPr>
      <w:r>
        <w:rPr>
          <w:color w:val="auto"/>
          <w:highlight w:val="none"/>
        </w:rPr>
        <w:br w:type="page"/>
      </w:r>
    </w:p>
    <w:p w14:paraId="2077772E">
      <w:pPr>
        <w:tabs>
          <w:tab w:val="left" w:pos="540"/>
        </w:tabs>
        <w:spacing w:line="440"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十、</w:t>
      </w:r>
      <w:bookmarkStart w:id="51" w:name="OLE_LINK19"/>
      <w:r>
        <w:rPr>
          <w:rFonts w:hint="eastAsia" w:ascii="黑体" w:hAnsi="黑体" w:eastAsia="黑体"/>
          <w:b/>
          <w:color w:val="auto"/>
          <w:sz w:val="30"/>
          <w:szCs w:val="30"/>
          <w:highlight w:val="none"/>
        </w:rPr>
        <w:t>履约承诺书</w:t>
      </w:r>
      <w:bookmarkEnd w:id="51"/>
    </w:p>
    <w:p w14:paraId="3D5E9ABC">
      <w:pPr>
        <w:adjustRightInd w:val="0"/>
        <w:snapToGrid w:val="0"/>
        <w:spacing w:before="120" w:beforeLines="50" w:line="300" w:lineRule="auto"/>
        <w:ind w:right="56" w:firstLine="555"/>
        <w:rPr>
          <w:color w:val="auto"/>
          <w:sz w:val="24"/>
          <w:highlight w:val="none"/>
        </w:rPr>
      </w:pPr>
      <w:r>
        <w:rPr>
          <w:rFonts w:hint="eastAsia"/>
          <w:color w:val="auto"/>
          <w:sz w:val="24"/>
          <w:highlight w:val="none"/>
        </w:rPr>
        <w:t>一、我单位承诺：</w:t>
      </w:r>
    </w:p>
    <w:p w14:paraId="1D54A762">
      <w:pPr>
        <w:adjustRightInd w:val="0"/>
        <w:snapToGrid w:val="0"/>
        <w:spacing w:before="120" w:beforeLines="50" w:line="300" w:lineRule="auto"/>
        <w:ind w:firstLine="555"/>
        <w:rPr>
          <w:color w:val="auto"/>
          <w:sz w:val="24"/>
          <w:highlight w:val="none"/>
        </w:rPr>
      </w:pPr>
      <w:r>
        <w:rPr>
          <w:rFonts w:hint="eastAsia"/>
          <w:color w:val="auto"/>
          <w:sz w:val="24"/>
          <w:highlight w:val="none"/>
        </w:rPr>
        <w:t>（一）我单位已详细阅读并完全理解、同意《磋商文件》的全部内容，包括修改补充文件以及全部参考资料和有关附件；除我单位在《磋商文件》规定期间内书面提出的疑问外，我单位放弃对这方面不明及误解的权力，并严格按采购人确定的技术及商务要求等履行。</w:t>
      </w:r>
    </w:p>
    <w:p w14:paraId="3A14F075">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二）我单位《响应文件》开启前已详细勘察现场，并按采购人现场条件及采购要求编制磋商报价；我单位的磋商报价括《磋商文件》所述报价组成的所有内容、并包括《磋商文件》未列明而与采购项目相关的、必须的所有款项及费用等达到交付使用及验收条件的所有一切风险、责任和义务的费用。</w:t>
      </w:r>
    </w:p>
    <w:p w14:paraId="1F518BF8">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我单位保证按《磋商文件》要求及投标承诺的质量诚信履约。</w:t>
      </w:r>
    </w:p>
    <w:p w14:paraId="5B1AF0EC">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三）我单位保证在《磋商文件》要求的时间内按期、保质完成中标项目。我单位在推荐中标结果公示后，将积极、主动的与采购人联系合同签订事宜，合同签订中如有任何的问题，我单位保证及时书面反映情况，否则视为我单位责任、按违约处理。</w:t>
      </w:r>
    </w:p>
    <w:p w14:paraId="5F1A049A">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二、我单位承诺：</w:t>
      </w:r>
    </w:p>
    <w:p w14:paraId="025B4A24">
      <w:pPr>
        <w:tabs>
          <w:tab w:val="left" w:pos="9354"/>
        </w:tabs>
        <w:adjustRightInd w:val="0"/>
        <w:snapToGrid w:val="0"/>
        <w:spacing w:before="120" w:beforeLines="50" w:line="300" w:lineRule="auto"/>
        <w:ind w:firstLine="480" w:firstLineChars="200"/>
        <w:rPr>
          <w:color w:val="auto"/>
          <w:sz w:val="24"/>
          <w:highlight w:val="none"/>
        </w:rPr>
      </w:pPr>
      <w:r>
        <w:rPr>
          <w:rFonts w:hint="eastAsia"/>
          <w:color w:val="auto"/>
          <w:sz w:val="24"/>
          <w:highlight w:val="none"/>
        </w:rPr>
        <w:t>除法律规定的不可抗力因素外，我单位中标后以任何理由（包括违背上述承诺的事项）提出不能满足《磋商文件》技术、服务期等要求或不能实现投标承诺的或提出变更的，我单位将无条件接受违约处理、并放弃我单位中标资格。我单位知悉违约责任及其处理，并无条件接受：</w:t>
      </w:r>
      <w:r>
        <w:rPr>
          <w:rFonts w:hint="eastAsia"/>
          <w:color w:val="auto"/>
          <w:sz w:val="24"/>
          <w:szCs w:val="24"/>
          <w:highlight w:val="none"/>
        </w:rPr>
        <w:t>依据磋商文件“第三章3.5.5 违背承诺的责任追究措施”，供应商承担相应法律责任及违约责任</w:t>
      </w:r>
      <w:r>
        <w:rPr>
          <w:rFonts w:hint="eastAsia"/>
          <w:color w:val="auto"/>
          <w:sz w:val="24"/>
          <w:highlight w:val="none"/>
        </w:rPr>
        <w:t>；情节严重的，由财政部门列入不良行为记录名单，在一至三年内禁止参加政府采购活动，并予以通报，处以罚金，给采购人及他人造成损失的，承担相应的赔偿责任。</w:t>
      </w:r>
    </w:p>
    <w:p w14:paraId="7EB0B537">
      <w:pPr>
        <w:tabs>
          <w:tab w:val="left" w:pos="9354"/>
        </w:tabs>
        <w:adjustRightInd w:val="0"/>
        <w:snapToGrid w:val="0"/>
        <w:spacing w:before="120" w:beforeLines="50" w:line="300" w:lineRule="auto"/>
        <w:ind w:firstLine="480" w:firstLineChars="200"/>
        <w:rPr>
          <w:color w:val="auto"/>
          <w:sz w:val="24"/>
          <w:highlight w:val="none"/>
        </w:rPr>
      </w:pPr>
    </w:p>
    <w:p w14:paraId="321B24FC">
      <w:pPr>
        <w:tabs>
          <w:tab w:val="left" w:pos="9354"/>
        </w:tabs>
        <w:adjustRightInd w:val="0"/>
        <w:snapToGrid w:val="0"/>
        <w:spacing w:before="120" w:beforeLines="50" w:line="300" w:lineRule="auto"/>
        <w:ind w:firstLine="480" w:firstLineChars="200"/>
        <w:rPr>
          <w:color w:val="auto"/>
          <w:sz w:val="24"/>
          <w:highlight w:val="none"/>
        </w:rPr>
      </w:pPr>
    </w:p>
    <w:p w14:paraId="35B0BCC1">
      <w:pPr>
        <w:tabs>
          <w:tab w:val="left" w:pos="0"/>
        </w:tabs>
        <w:spacing w:line="500" w:lineRule="exact"/>
        <w:ind w:right="512"/>
        <w:rPr>
          <w:rFonts w:ascii="宋体"/>
          <w:color w:val="auto"/>
          <w:spacing w:val="8"/>
          <w:sz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r>
        <w:rPr>
          <w:rFonts w:hint="eastAsia" w:ascii="宋体" w:hAnsi="宋体"/>
          <w:color w:val="auto"/>
          <w:spacing w:val="8"/>
          <w:sz w:val="24"/>
          <w:highlight w:val="none"/>
        </w:rPr>
        <w:t>：</w:t>
      </w:r>
    </w:p>
    <w:p w14:paraId="512D8BD4">
      <w:pPr>
        <w:tabs>
          <w:tab w:val="left" w:pos="0"/>
        </w:tabs>
        <w:spacing w:line="500" w:lineRule="exact"/>
        <w:ind w:right="768"/>
        <w:jc w:val="left"/>
        <w:rPr>
          <w:rFonts w:ascii="宋体"/>
          <w:color w:val="auto"/>
          <w:spacing w:val="8"/>
          <w:sz w:val="24"/>
          <w:highlight w:val="none"/>
        </w:rPr>
      </w:pPr>
      <w:r>
        <w:rPr>
          <w:rFonts w:hint="eastAsia" w:ascii="宋体" w:hAnsi="宋体"/>
          <w:color w:val="auto"/>
          <w:spacing w:val="8"/>
          <w:sz w:val="24"/>
          <w:highlight w:val="none"/>
        </w:rPr>
        <w:t>法定代表人（电子签名或签章）：</w:t>
      </w:r>
    </w:p>
    <w:p w14:paraId="37B45D0C">
      <w:pPr>
        <w:tabs>
          <w:tab w:val="left" w:pos="0"/>
        </w:tabs>
        <w:spacing w:line="500" w:lineRule="exact"/>
        <w:ind w:right="256"/>
        <w:jc w:val="right"/>
        <w:rPr>
          <w:rFonts w:ascii="宋体"/>
          <w:color w:val="auto"/>
          <w:spacing w:val="8"/>
          <w:sz w:val="24"/>
          <w:highlight w:val="none"/>
        </w:rPr>
      </w:pPr>
    </w:p>
    <w:p w14:paraId="717BFA92">
      <w:pPr>
        <w:autoSpaceDE w:val="0"/>
        <w:autoSpaceDN w:val="0"/>
        <w:adjustRightInd w:val="0"/>
        <w:spacing w:line="360" w:lineRule="auto"/>
        <w:jc w:val="left"/>
        <w:rPr>
          <w:rFonts w:ascii="宋体"/>
          <w:color w:val="auto"/>
          <w:sz w:val="24"/>
          <w:highlight w:val="none"/>
        </w:rPr>
      </w:pPr>
      <w:r>
        <w:rPr>
          <w:rFonts w:hint="eastAsia" w:ascii="宋体" w:hAnsi="宋体"/>
          <w:color w:val="auto"/>
          <w:spacing w:val="8"/>
          <w:sz w:val="24"/>
          <w:highlight w:val="none"/>
        </w:rPr>
        <w:t>日期</w:t>
      </w:r>
      <w:r>
        <w:rPr>
          <w:rFonts w:ascii="宋体" w:hAnsi="宋体"/>
          <w:color w:val="auto"/>
          <w:spacing w:val="8"/>
          <w:sz w:val="24"/>
          <w:highlight w:val="none"/>
        </w:rPr>
        <w:t xml:space="preserve"> </w:t>
      </w:r>
      <w:r>
        <w:rPr>
          <w:rFonts w:hint="eastAsia" w:ascii="宋体" w:hAnsi="宋体"/>
          <w:color w:val="auto"/>
          <w:spacing w:val="8"/>
          <w:sz w:val="24"/>
          <w:highlight w:val="none"/>
        </w:rPr>
        <w:t>：</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AF45E47">
      <w:pPr>
        <w:autoSpaceDE w:val="0"/>
        <w:autoSpaceDN w:val="0"/>
        <w:adjustRightInd w:val="0"/>
        <w:spacing w:line="360" w:lineRule="auto"/>
        <w:rPr>
          <w:rFonts w:ascii="宋体" w:cs="楷体_GB2312"/>
          <w:b/>
          <w:color w:val="auto"/>
          <w:sz w:val="30"/>
          <w:szCs w:val="30"/>
          <w:highlight w:val="none"/>
          <w:lang w:val="zh-CN"/>
        </w:rPr>
      </w:pPr>
      <w:r>
        <w:rPr>
          <w:rFonts w:ascii="宋体" w:cs="楷体_GB2312"/>
          <w:b/>
          <w:bCs/>
          <w:color w:val="auto"/>
          <w:sz w:val="24"/>
          <w:highlight w:val="none"/>
          <w:lang w:val="zh-CN"/>
        </w:rPr>
        <w:br w:type="page"/>
      </w:r>
    </w:p>
    <w:p w14:paraId="0E046243">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十一、资格要求相关证明材料（文件）</w:t>
      </w:r>
    </w:p>
    <w:p w14:paraId="584C2E40">
      <w:pPr>
        <w:autoSpaceDE w:val="0"/>
        <w:autoSpaceDN w:val="0"/>
        <w:adjustRightInd w:val="0"/>
        <w:spacing w:line="360" w:lineRule="auto"/>
        <w:jc w:val="center"/>
        <w:rPr>
          <w:rFonts w:ascii="宋体"/>
          <w:color w:val="auto"/>
          <w:sz w:val="24"/>
          <w:szCs w:val="24"/>
          <w:highlight w:val="none"/>
        </w:rPr>
      </w:pPr>
    </w:p>
    <w:p w14:paraId="1CB86060">
      <w:pPr>
        <w:autoSpaceDE w:val="0"/>
        <w:autoSpaceDN w:val="0"/>
        <w:adjustRightInd w:val="0"/>
        <w:spacing w:line="360" w:lineRule="auto"/>
        <w:jc w:val="center"/>
        <w:rPr>
          <w:rFonts w:ascii="黑体" w:hAnsi="黑体" w:eastAsia="黑体"/>
          <w:b/>
          <w:color w:val="auto"/>
          <w:sz w:val="24"/>
          <w:szCs w:val="24"/>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请注意：未按公告要求逐一提交资格证明资料的将导致无效投标，为近期常见的因不仔细而缺少某一资格证明资料、导致无效，特此提醒】</w:t>
      </w:r>
    </w:p>
    <w:p w14:paraId="694FDFBF">
      <w:pPr>
        <w:autoSpaceDE w:val="0"/>
        <w:autoSpaceDN w:val="0"/>
        <w:adjustRightInd w:val="0"/>
        <w:spacing w:line="360" w:lineRule="auto"/>
        <w:jc w:val="center"/>
        <w:rPr>
          <w:rFonts w:ascii="宋体"/>
          <w:color w:val="auto"/>
          <w:sz w:val="24"/>
          <w:szCs w:val="24"/>
          <w:highlight w:val="none"/>
        </w:rPr>
      </w:pPr>
    </w:p>
    <w:p w14:paraId="73B2E335">
      <w:pPr>
        <w:spacing w:line="588" w:lineRule="exact"/>
        <w:jc w:val="center"/>
        <w:rPr>
          <w:rFonts w:ascii="宋体" w:hAnsi="宋体"/>
          <w:color w:val="auto"/>
          <w:sz w:val="24"/>
          <w:highlight w:val="none"/>
        </w:rPr>
      </w:pPr>
      <w:r>
        <w:rPr>
          <w:rFonts w:hint="eastAsia" w:ascii="宋体"/>
          <w:color w:val="auto"/>
          <w:sz w:val="24"/>
          <w:szCs w:val="24"/>
          <w:highlight w:val="none"/>
        </w:rPr>
        <w:t>★★★【</w:t>
      </w:r>
      <w:r>
        <w:rPr>
          <w:rFonts w:hint="eastAsia" w:ascii="黑体" w:hAnsi="黑体" w:eastAsia="黑体"/>
          <w:b/>
          <w:color w:val="auto"/>
          <w:sz w:val="24"/>
          <w:szCs w:val="24"/>
          <w:highlight w:val="none"/>
        </w:rPr>
        <w:t>请注意：未按竞争性磋商公告要求电子签名&lt;签章&gt;的将导致无效投标，特此提醒】</w:t>
      </w:r>
      <w:r>
        <w:rPr>
          <w:rFonts w:ascii="宋体" w:hAnsi="宋体"/>
          <w:color w:val="auto"/>
          <w:sz w:val="24"/>
          <w:highlight w:val="none"/>
        </w:rPr>
        <w:t xml:space="preserve"> </w:t>
      </w:r>
      <w:r>
        <w:rPr>
          <w:rFonts w:ascii="宋体" w:hAnsi="宋体"/>
          <w:color w:val="auto"/>
          <w:sz w:val="24"/>
          <w:highlight w:val="none"/>
        </w:rPr>
        <w:br w:type="page"/>
      </w:r>
    </w:p>
    <w:p w14:paraId="06F515DF">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14:paraId="7329F709">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承诺函</w:t>
      </w:r>
    </w:p>
    <w:p w14:paraId="797EA9BA">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4B5E907E">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w:t>
      </w:r>
      <w:r>
        <w:rPr>
          <w:rFonts w:hint="eastAsia" w:ascii="宋体" w:hAnsi="宋体"/>
          <w:color w:val="auto"/>
          <w:sz w:val="24"/>
          <w:szCs w:val="24"/>
          <w:highlight w:val="none"/>
        </w:rPr>
        <w:t>我公司郑重承诺，我公司符合《政府采购法》第二十二条第一款规定的供应商基础性资格条件，具体如下：</w:t>
      </w:r>
    </w:p>
    <w:p w14:paraId="25B762C3">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1、我公司承诺具有独立承担民事责任能力；</w:t>
      </w:r>
    </w:p>
    <w:p w14:paraId="6F9378CC">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2、我公司承诺具有良好的商业信誉和健全的财务会计制度；</w:t>
      </w:r>
    </w:p>
    <w:p w14:paraId="426592BD">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3、我公司承诺具备履行合同所必需的设备和专业技术能力；</w:t>
      </w:r>
    </w:p>
    <w:p w14:paraId="5DC268C5">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4、我公司承诺具有依法缴纳税收和社会保障资金的良好记录；</w:t>
      </w:r>
    </w:p>
    <w:p w14:paraId="03079442">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5、我公司承诺在参加政府采购活动前三年内，在经营活动中没有重大违法记录。</w:t>
      </w:r>
    </w:p>
    <w:p w14:paraId="3F01446F">
      <w:pPr>
        <w:tabs>
          <w:tab w:val="left" w:pos="9365"/>
        </w:tabs>
        <w:spacing w:before="120" w:beforeLines="50" w:line="240" w:lineRule="auto"/>
        <w:ind w:right="85"/>
        <w:jc w:val="left"/>
        <w:textAlignment w:val="top"/>
        <w:rPr>
          <w:rFonts w:ascii="宋体"/>
          <w:color w:val="auto"/>
          <w:sz w:val="24"/>
          <w:szCs w:val="24"/>
          <w:highlight w:val="none"/>
        </w:rPr>
      </w:pPr>
      <w:r>
        <w:rPr>
          <w:rFonts w:hint="eastAsia" w:ascii="宋体"/>
          <w:color w:val="auto"/>
          <w:sz w:val="24"/>
          <w:szCs w:val="24"/>
          <w:highlight w:val="none"/>
        </w:rPr>
        <w:t xml:space="preserve">    二</w:t>
      </w:r>
      <w:r>
        <w:rPr>
          <w:rFonts w:ascii="宋体"/>
          <w:color w:val="auto"/>
          <w:sz w:val="24"/>
          <w:szCs w:val="24"/>
          <w:highlight w:val="none"/>
        </w:rPr>
        <w:t>、</w:t>
      </w:r>
      <w:r>
        <w:rPr>
          <w:rFonts w:hint="eastAsia" w:ascii="宋体"/>
          <w:color w:val="auto"/>
          <w:sz w:val="24"/>
          <w:szCs w:val="24"/>
          <w:highlight w:val="none"/>
        </w:rPr>
        <w:t>我公司保证上述承诺事项的真实性，如有虚假或其他违规违法行为，我公司愿意</w:t>
      </w:r>
      <w:r>
        <w:rPr>
          <w:rFonts w:hint="eastAsia" w:ascii="宋体" w:hAnsi="宋体"/>
          <w:color w:val="auto"/>
          <w:sz w:val="24"/>
          <w:szCs w:val="24"/>
          <w:highlight w:val="none"/>
        </w:rPr>
        <w:t>按《政府采购法》提供虚假材料的有关规定</w:t>
      </w:r>
      <w:r>
        <w:rPr>
          <w:rFonts w:hint="eastAsia" w:ascii="宋体"/>
          <w:color w:val="auto"/>
          <w:sz w:val="24"/>
          <w:szCs w:val="24"/>
          <w:highlight w:val="none"/>
        </w:rPr>
        <w:t>承担法律责任，并承担因此造成的一切损失。</w:t>
      </w:r>
    </w:p>
    <w:p w14:paraId="38077BE7">
      <w:pPr>
        <w:widowControl w:val="0"/>
        <w:tabs>
          <w:tab w:val="left" w:pos="9365"/>
        </w:tabs>
        <w:snapToGrid w:val="0"/>
        <w:spacing w:before="120" w:beforeLines="50" w:line="240" w:lineRule="auto"/>
        <w:ind w:right="85"/>
        <w:jc w:val="left"/>
        <w:textAlignment w:val="top"/>
        <w:rPr>
          <w:rFonts w:ascii="宋体" w:hAnsi="宋体"/>
          <w:color w:val="auto"/>
          <w:sz w:val="24"/>
          <w:szCs w:val="24"/>
          <w:highlight w:val="none"/>
        </w:rPr>
      </w:pPr>
      <w:r>
        <w:rPr>
          <w:rFonts w:hint="eastAsia" w:ascii="宋体"/>
          <w:color w:val="auto"/>
          <w:sz w:val="24"/>
          <w:szCs w:val="24"/>
          <w:highlight w:val="none"/>
        </w:rPr>
        <w:t xml:space="preserve">   三</w:t>
      </w:r>
      <w:r>
        <w:rPr>
          <w:rFonts w:ascii="宋体"/>
          <w:color w:val="auto"/>
          <w:sz w:val="24"/>
          <w:szCs w:val="24"/>
          <w:highlight w:val="none"/>
        </w:rPr>
        <w:t>、</w:t>
      </w:r>
      <w:r>
        <w:rPr>
          <w:rFonts w:hint="eastAsia" w:ascii="宋体"/>
          <w:color w:val="auto"/>
          <w:sz w:val="24"/>
          <w:szCs w:val="24"/>
          <w:highlight w:val="none"/>
        </w:rPr>
        <w:t xml:space="preserve"> 我</w:t>
      </w:r>
      <w:r>
        <w:rPr>
          <w:rFonts w:ascii="宋体"/>
          <w:color w:val="auto"/>
          <w:sz w:val="24"/>
          <w:szCs w:val="24"/>
          <w:highlight w:val="none"/>
        </w:rPr>
        <w:t>公司认同</w:t>
      </w:r>
      <w:r>
        <w:rPr>
          <w:rFonts w:hint="eastAsia" w:ascii="宋体"/>
          <w:color w:val="auto"/>
          <w:sz w:val="24"/>
          <w:szCs w:val="24"/>
          <w:highlight w:val="none"/>
        </w:rPr>
        <w:t>按</w:t>
      </w:r>
      <w:r>
        <w:rPr>
          <w:rFonts w:ascii="宋体"/>
          <w:color w:val="auto"/>
          <w:sz w:val="24"/>
          <w:szCs w:val="24"/>
          <w:highlight w:val="none"/>
        </w:rPr>
        <w:t>照</w:t>
      </w:r>
      <w:r>
        <w:rPr>
          <w:rFonts w:hint="eastAsia" w:ascii="宋体"/>
          <w:color w:val="auto"/>
          <w:sz w:val="24"/>
          <w:szCs w:val="24"/>
          <w:highlight w:val="none"/>
        </w:rPr>
        <w:t>《磋商</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”对</w:t>
      </w:r>
      <w:r>
        <w:rPr>
          <w:rFonts w:ascii="宋体"/>
          <w:color w:val="auto"/>
          <w:sz w:val="24"/>
          <w:szCs w:val="24"/>
          <w:highlight w:val="none"/>
        </w:rPr>
        <w:t>我公司或其他公司</w:t>
      </w:r>
      <w:r>
        <w:rPr>
          <w:rFonts w:hint="eastAsia" w:ascii="宋体"/>
          <w:color w:val="auto"/>
          <w:sz w:val="24"/>
          <w:szCs w:val="24"/>
          <w:highlight w:val="none"/>
        </w:rPr>
        <w:t>进行的</w:t>
      </w:r>
      <w:r>
        <w:rPr>
          <w:rFonts w:hint="eastAsia" w:ascii="宋体" w:hAnsi="宋体"/>
          <w:color w:val="auto"/>
          <w:sz w:val="24"/>
          <w:szCs w:val="24"/>
          <w:highlight w:val="none"/>
        </w:rPr>
        <w:t>供</w:t>
      </w:r>
      <w:r>
        <w:rPr>
          <w:rFonts w:ascii="宋体" w:hAnsi="宋体"/>
          <w:color w:val="auto"/>
          <w:sz w:val="24"/>
          <w:szCs w:val="24"/>
          <w:highlight w:val="none"/>
        </w:rPr>
        <w:t>应商基础性资</w:t>
      </w:r>
      <w:r>
        <w:rPr>
          <w:rFonts w:hint="eastAsia" w:ascii="宋体" w:hAnsi="宋体"/>
          <w:color w:val="auto"/>
          <w:sz w:val="24"/>
          <w:szCs w:val="24"/>
          <w:highlight w:val="none"/>
        </w:rPr>
        <w:t>格的</w:t>
      </w:r>
      <w:r>
        <w:rPr>
          <w:rFonts w:ascii="宋体" w:hAnsi="宋体"/>
          <w:color w:val="auto"/>
          <w:sz w:val="24"/>
          <w:szCs w:val="24"/>
          <w:highlight w:val="none"/>
        </w:rPr>
        <w:t>审查</w:t>
      </w:r>
      <w:r>
        <w:rPr>
          <w:rFonts w:hint="eastAsia" w:ascii="宋体" w:hAnsi="宋体"/>
          <w:color w:val="auto"/>
          <w:sz w:val="24"/>
          <w:szCs w:val="24"/>
          <w:highlight w:val="none"/>
        </w:rPr>
        <w:t>，</w:t>
      </w:r>
      <w:r>
        <w:rPr>
          <w:rFonts w:ascii="宋体" w:hAnsi="宋体"/>
          <w:color w:val="auto"/>
          <w:sz w:val="24"/>
          <w:szCs w:val="24"/>
          <w:highlight w:val="none"/>
        </w:rPr>
        <w:t>对</w:t>
      </w:r>
      <w:r>
        <w:rPr>
          <w:rFonts w:hint="eastAsia" w:ascii="宋体"/>
          <w:color w:val="auto"/>
          <w:sz w:val="24"/>
          <w:szCs w:val="24"/>
          <w:highlight w:val="none"/>
        </w:rPr>
        <w:t>按</w:t>
      </w:r>
      <w:r>
        <w:rPr>
          <w:rFonts w:ascii="宋体"/>
          <w:color w:val="auto"/>
          <w:sz w:val="24"/>
          <w:szCs w:val="24"/>
          <w:highlight w:val="none"/>
        </w:rPr>
        <w:t>照</w:t>
      </w:r>
      <w:r>
        <w:rPr>
          <w:rFonts w:hint="eastAsia" w:ascii="宋体" w:hAnsi="宋体"/>
          <w:color w:val="auto"/>
          <w:sz w:val="24"/>
          <w:szCs w:val="24"/>
          <w:highlight w:val="none"/>
        </w:rPr>
        <w:t>认定标准得</w:t>
      </w:r>
      <w:r>
        <w:rPr>
          <w:rFonts w:ascii="宋体" w:hAnsi="宋体"/>
          <w:color w:val="auto"/>
          <w:sz w:val="24"/>
          <w:szCs w:val="24"/>
          <w:highlight w:val="none"/>
        </w:rPr>
        <w:t>出的审查结果无异</w:t>
      </w:r>
      <w:r>
        <w:rPr>
          <w:rFonts w:hint="eastAsia" w:ascii="宋体" w:hAnsi="宋体"/>
          <w:color w:val="auto"/>
          <w:sz w:val="24"/>
          <w:szCs w:val="24"/>
          <w:highlight w:val="none"/>
        </w:rPr>
        <w:t>议。</w:t>
      </w:r>
    </w:p>
    <w:p w14:paraId="41DACDBC">
      <w:pPr>
        <w:widowControl w:val="0"/>
        <w:tabs>
          <w:tab w:val="left" w:pos="9365"/>
        </w:tabs>
        <w:snapToGrid w:val="0"/>
        <w:spacing w:before="120" w:beforeLines="50" w:line="24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 xml:space="preserve">    四、</w:t>
      </w:r>
      <w:r>
        <w:rPr>
          <w:rFonts w:hint="eastAsia" w:ascii="宋体"/>
          <w:color w:val="auto"/>
          <w:sz w:val="24"/>
          <w:szCs w:val="24"/>
          <w:highlight w:val="none"/>
        </w:rPr>
        <w:t>我公司响应</w:t>
      </w:r>
      <w:r>
        <w:rPr>
          <w:rFonts w:ascii="宋体"/>
          <w:color w:val="auto"/>
          <w:sz w:val="24"/>
          <w:szCs w:val="24"/>
          <w:highlight w:val="none"/>
        </w:rPr>
        <w:t>文件或</w:t>
      </w:r>
      <w:r>
        <w:rPr>
          <w:rFonts w:hint="eastAsia" w:ascii="宋体"/>
          <w:color w:val="auto"/>
          <w:sz w:val="24"/>
          <w:szCs w:val="24"/>
          <w:highlight w:val="none"/>
        </w:rPr>
        <w:t>公</w:t>
      </w:r>
      <w:r>
        <w:rPr>
          <w:rFonts w:ascii="宋体"/>
          <w:color w:val="auto"/>
          <w:sz w:val="24"/>
          <w:szCs w:val="24"/>
          <w:highlight w:val="none"/>
        </w:rPr>
        <w:t>开资</w:t>
      </w:r>
      <w:r>
        <w:rPr>
          <w:rFonts w:hint="eastAsia" w:ascii="宋体"/>
          <w:color w:val="auto"/>
          <w:sz w:val="24"/>
          <w:szCs w:val="24"/>
          <w:highlight w:val="none"/>
        </w:rPr>
        <w:t>料或</w:t>
      </w:r>
      <w:r>
        <w:rPr>
          <w:rFonts w:ascii="宋体"/>
          <w:color w:val="auto"/>
          <w:sz w:val="24"/>
          <w:szCs w:val="24"/>
          <w:highlight w:val="none"/>
        </w:rPr>
        <w:t>备</w:t>
      </w:r>
      <w:r>
        <w:rPr>
          <w:rFonts w:hint="eastAsia" w:ascii="宋体"/>
          <w:color w:val="auto"/>
          <w:sz w:val="24"/>
          <w:szCs w:val="24"/>
          <w:highlight w:val="none"/>
        </w:rPr>
        <w:t>案</w:t>
      </w:r>
      <w:r>
        <w:rPr>
          <w:rFonts w:ascii="宋体"/>
          <w:color w:val="auto"/>
          <w:sz w:val="24"/>
          <w:szCs w:val="24"/>
          <w:highlight w:val="none"/>
        </w:rPr>
        <w:t>资</w:t>
      </w:r>
      <w:r>
        <w:rPr>
          <w:rFonts w:hint="eastAsia" w:ascii="宋体"/>
          <w:color w:val="auto"/>
          <w:sz w:val="24"/>
          <w:szCs w:val="24"/>
          <w:highlight w:val="none"/>
        </w:rPr>
        <w:t>料</w:t>
      </w:r>
      <w:r>
        <w:rPr>
          <w:rFonts w:ascii="宋体"/>
          <w:color w:val="auto"/>
          <w:sz w:val="24"/>
          <w:szCs w:val="24"/>
          <w:highlight w:val="none"/>
        </w:rPr>
        <w:t>中，有不符合</w:t>
      </w:r>
      <w:r>
        <w:rPr>
          <w:rFonts w:hint="eastAsia" w:ascii="宋体"/>
          <w:color w:val="auto"/>
          <w:sz w:val="24"/>
          <w:szCs w:val="24"/>
          <w:highlight w:val="none"/>
        </w:rPr>
        <w:t>《磋商</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”的</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认同</w:t>
      </w:r>
      <w:r>
        <w:rPr>
          <w:rFonts w:hint="eastAsia" w:ascii="宋体"/>
          <w:color w:val="auto"/>
          <w:sz w:val="24"/>
          <w:szCs w:val="24"/>
          <w:highlight w:val="none"/>
        </w:rPr>
        <w:t>判</w:t>
      </w:r>
      <w:r>
        <w:rPr>
          <w:rFonts w:ascii="宋体"/>
          <w:color w:val="auto"/>
          <w:sz w:val="24"/>
          <w:szCs w:val="24"/>
          <w:highlight w:val="none"/>
        </w:rPr>
        <w:t>定为无</w:t>
      </w:r>
      <w:r>
        <w:rPr>
          <w:rFonts w:hint="eastAsia" w:ascii="宋体"/>
          <w:color w:val="auto"/>
          <w:sz w:val="24"/>
          <w:szCs w:val="24"/>
          <w:highlight w:val="none"/>
        </w:rPr>
        <w:t>效</w:t>
      </w:r>
      <w:r>
        <w:rPr>
          <w:rFonts w:ascii="宋体"/>
          <w:color w:val="auto"/>
          <w:sz w:val="24"/>
          <w:szCs w:val="24"/>
          <w:highlight w:val="none"/>
        </w:rPr>
        <w:t>投标</w:t>
      </w:r>
      <w:r>
        <w:rPr>
          <w:rFonts w:hint="eastAsia" w:ascii="宋体"/>
          <w:color w:val="auto"/>
          <w:sz w:val="24"/>
          <w:szCs w:val="24"/>
          <w:highlight w:val="none"/>
        </w:rPr>
        <w:t>、承担</w:t>
      </w:r>
      <w:r>
        <w:rPr>
          <w:rFonts w:hint="eastAsia" w:ascii="宋体" w:hAnsi="宋体"/>
          <w:color w:val="auto"/>
          <w:sz w:val="24"/>
          <w:szCs w:val="24"/>
          <w:highlight w:val="none"/>
        </w:rPr>
        <w:t>虚假</w:t>
      </w:r>
      <w:r>
        <w:rPr>
          <w:rFonts w:hint="eastAsia" w:ascii="宋体"/>
          <w:color w:val="auto"/>
          <w:sz w:val="24"/>
          <w:szCs w:val="24"/>
          <w:highlight w:val="none"/>
        </w:rPr>
        <w:t>承诺责任。</w:t>
      </w:r>
    </w:p>
    <w:p w14:paraId="195B6BCD">
      <w:pPr>
        <w:tabs>
          <w:tab w:val="left" w:pos="9365"/>
        </w:tabs>
        <w:spacing w:before="120" w:beforeLines="50" w:line="240" w:lineRule="auto"/>
        <w:ind w:right="85" w:firstLine="480"/>
        <w:jc w:val="left"/>
        <w:textAlignment w:val="top"/>
        <w:rPr>
          <w:rFonts w:ascii="宋体"/>
          <w:color w:val="auto"/>
          <w:sz w:val="24"/>
          <w:szCs w:val="24"/>
          <w:highlight w:val="none"/>
        </w:rPr>
      </w:pPr>
      <w:r>
        <w:rPr>
          <w:rFonts w:hint="eastAsia" w:ascii="宋体"/>
          <w:color w:val="auto"/>
          <w:sz w:val="24"/>
          <w:szCs w:val="24"/>
          <w:highlight w:val="none"/>
        </w:rPr>
        <w:t>五</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在</w:t>
      </w:r>
      <w:r>
        <w:rPr>
          <w:rFonts w:hint="eastAsia" w:ascii="宋体"/>
          <w:color w:val="auto"/>
          <w:sz w:val="24"/>
          <w:szCs w:val="24"/>
          <w:highlight w:val="none"/>
        </w:rPr>
        <w:t>没</w:t>
      </w:r>
      <w:r>
        <w:rPr>
          <w:rFonts w:ascii="宋体"/>
          <w:color w:val="auto"/>
          <w:sz w:val="24"/>
          <w:szCs w:val="24"/>
          <w:highlight w:val="none"/>
        </w:rPr>
        <w:t>有有效的证明材</w:t>
      </w:r>
      <w:r>
        <w:rPr>
          <w:rFonts w:hint="eastAsia" w:ascii="宋体"/>
          <w:color w:val="auto"/>
          <w:sz w:val="24"/>
          <w:szCs w:val="24"/>
          <w:highlight w:val="none"/>
        </w:rPr>
        <w:t>料，以</w:t>
      </w:r>
      <w:r>
        <w:rPr>
          <w:rFonts w:ascii="宋体"/>
          <w:color w:val="auto"/>
          <w:sz w:val="24"/>
          <w:szCs w:val="24"/>
          <w:highlight w:val="none"/>
        </w:rPr>
        <w:t>证明其他</w:t>
      </w:r>
      <w:r>
        <w:rPr>
          <w:rFonts w:hint="eastAsia" w:ascii="宋体"/>
          <w:color w:val="auto"/>
          <w:sz w:val="24"/>
          <w:szCs w:val="24"/>
          <w:highlight w:val="none"/>
        </w:rPr>
        <w:t>供应商</w:t>
      </w:r>
      <w:r>
        <w:rPr>
          <w:rFonts w:ascii="宋体"/>
          <w:color w:val="auto"/>
          <w:sz w:val="24"/>
          <w:szCs w:val="24"/>
          <w:highlight w:val="none"/>
        </w:rPr>
        <w:t>不符合</w:t>
      </w:r>
      <w:r>
        <w:rPr>
          <w:rFonts w:hint="eastAsia" w:ascii="宋体"/>
          <w:color w:val="auto"/>
          <w:sz w:val="24"/>
          <w:szCs w:val="24"/>
          <w:highlight w:val="none"/>
        </w:rPr>
        <w:t>《磋商</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”时，我公司承诺不</w:t>
      </w:r>
      <w:r>
        <w:rPr>
          <w:rFonts w:ascii="宋体"/>
          <w:color w:val="auto"/>
          <w:sz w:val="24"/>
          <w:szCs w:val="24"/>
          <w:highlight w:val="none"/>
        </w:rPr>
        <w:t>对其他</w:t>
      </w:r>
      <w:r>
        <w:rPr>
          <w:rFonts w:hint="eastAsia" w:ascii="宋体"/>
          <w:color w:val="auto"/>
          <w:sz w:val="24"/>
          <w:szCs w:val="24"/>
          <w:highlight w:val="none"/>
        </w:rPr>
        <w:t>供应商的承诺函提</w:t>
      </w:r>
      <w:r>
        <w:rPr>
          <w:rFonts w:ascii="宋体"/>
          <w:color w:val="auto"/>
          <w:sz w:val="24"/>
          <w:szCs w:val="24"/>
          <w:highlight w:val="none"/>
        </w:rPr>
        <w:t>起质疑投诉，</w:t>
      </w:r>
      <w:r>
        <w:rPr>
          <w:rFonts w:hint="eastAsia" w:ascii="宋体"/>
          <w:color w:val="auto"/>
          <w:sz w:val="24"/>
          <w:szCs w:val="24"/>
          <w:highlight w:val="none"/>
        </w:rPr>
        <w:t>同</w:t>
      </w:r>
      <w:r>
        <w:rPr>
          <w:rFonts w:ascii="宋体"/>
          <w:color w:val="auto"/>
          <w:sz w:val="24"/>
          <w:szCs w:val="24"/>
          <w:highlight w:val="none"/>
        </w:rPr>
        <w:t>意对已</w:t>
      </w:r>
      <w:r>
        <w:rPr>
          <w:rFonts w:hint="eastAsia" w:ascii="宋体"/>
          <w:color w:val="auto"/>
          <w:sz w:val="24"/>
          <w:szCs w:val="24"/>
          <w:highlight w:val="none"/>
        </w:rPr>
        <w:t>提</w:t>
      </w:r>
      <w:r>
        <w:rPr>
          <w:rFonts w:ascii="宋体"/>
          <w:color w:val="auto"/>
          <w:sz w:val="24"/>
          <w:szCs w:val="24"/>
          <w:highlight w:val="none"/>
        </w:rPr>
        <w:t>起</w:t>
      </w:r>
      <w:r>
        <w:rPr>
          <w:rFonts w:hint="eastAsia" w:ascii="宋体"/>
          <w:color w:val="auto"/>
          <w:sz w:val="24"/>
          <w:szCs w:val="24"/>
          <w:highlight w:val="none"/>
        </w:rPr>
        <w:t>的</w:t>
      </w:r>
      <w:r>
        <w:rPr>
          <w:rFonts w:ascii="宋体"/>
          <w:color w:val="auto"/>
          <w:sz w:val="24"/>
          <w:szCs w:val="24"/>
          <w:highlight w:val="none"/>
        </w:rPr>
        <w:t>质疑投诉</w:t>
      </w:r>
      <w:r>
        <w:rPr>
          <w:rFonts w:hint="eastAsia" w:ascii="宋体"/>
          <w:color w:val="auto"/>
          <w:sz w:val="24"/>
          <w:szCs w:val="24"/>
          <w:highlight w:val="none"/>
        </w:rPr>
        <w:t>按缺</w:t>
      </w:r>
      <w:r>
        <w:rPr>
          <w:rFonts w:ascii="宋体"/>
          <w:color w:val="auto"/>
          <w:sz w:val="24"/>
          <w:szCs w:val="24"/>
          <w:highlight w:val="none"/>
        </w:rPr>
        <w:t>乏</w:t>
      </w:r>
      <w:r>
        <w:rPr>
          <w:rFonts w:hint="eastAsia" w:ascii="宋体" w:hAnsi="宋体"/>
          <w:color w:val="auto"/>
          <w:sz w:val="24"/>
          <w:szCs w:val="24"/>
          <w:highlight w:val="none"/>
        </w:rPr>
        <w:t>事实依据、</w:t>
      </w:r>
      <w:r>
        <w:rPr>
          <w:rFonts w:hint="eastAsia" w:ascii="宋体"/>
          <w:color w:val="auto"/>
          <w:sz w:val="24"/>
          <w:szCs w:val="24"/>
          <w:highlight w:val="none"/>
        </w:rPr>
        <w:t>按</w:t>
      </w:r>
      <w:r>
        <w:rPr>
          <w:rFonts w:ascii="宋体"/>
          <w:color w:val="auto"/>
          <w:sz w:val="24"/>
          <w:szCs w:val="24"/>
          <w:highlight w:val="none"/>
        </w:rPr>
        <w:t>无</w:t>
      </w:r>
      <w:r>
        <w:rPr>
          <w:rFonts w:hint="eastAsia" w:ascii="宋体"/>
          <w:color w:val="auto"/>
          <w:sz w:val="24"/>
          <w:szCs w:val="24"/>
          <w:highlight w:val="none"/>
        </w:rPr>
        <w:t>效</w:t>
      </w:r>
      <w:r>
        <w:rPr>
          <w:rFonts w:ascii="宋体"/>
          <w:color w:val="auto"/>
          <w:sz w:val="24"/>
          <w:szCs w:val="24"/>
          <w:highlight w:val="none"/>
        </w:rPr>
        <w:t>质疑投诉</w:t>
      </w:r>
      <w:r>
        <w:rPr>
          <w:rFonts w:hint="eastAsia" w:ascii="宋体"/>
          <w:color w:val="auto"/>
          <w:sz w:val="24"/>
          <w:szCs w:val="24"/>
          <w:highlight w:val="none"/>
        </w:rPr>
        <w:t>处</w:t>
      </w:r>
      <w:r>
        <w:rPr>
          <w:rFonts w:ascii="宋体"/>
          <w:color w:val="auto"/>
          <w:sz w:val="24"/>
          <w:szCs w:val="24"/>
          <w:highlight w:val="none"/>
        </w:rPr>
        <w:t>理。</w:t>
      </w:r>
    </w:p>
    <w:p w14:paraId="598280C9">
      <w:pPr>
        <w:tabs>
          <w:tab w:val="left" w:pos="9365"/>
        </w:tabs>
        <w:spacing w:before="57" w:after="57" w:line="586" w:lineRule="atLeast"/>
        <w:ind w:right="85"/>
        <w:jc w:val="left"/>
        <w:textAlignment w:val="top"/>
        <w:rPr>
          <w:rFonts w:ascii="宋体" w:hAnsi="宋体"/>
          <w:color w:val="auto"/>
          <w:sz w:val="24"/>
          <w:szCs w:val="24"/>
          <w:highlight w:val="none"/>
        </w:rPr>
      </w:pPr>
    </w:p>
    <w:p w14:paraId="5DA035DD">
      <w:pPr>
        <w:tabs>
          <w:tab w:val="left" w:pos="9365"/>
        </w:tabs>
        <w:spacing w:before="57" w:after="57" w:line="586" w:lineRule="atLeast"/>
        <w:ind w:right="85"/>
        <w:jc w:val="left"/>
        <w:textAlignment w:val="top"/>
        <w:rPr>
          <w:rFonts w:ascii="宋体" w:hAnsi="宋体"/>
          <w:color w:val="auto"/>
          <w:sz w:val="24"/>
          <w:szCs w:val="24"/>
          <w:highlight w:val="none"/>
        </w:rPr>
      </w:pPr>
    </w:p>
    <w:p w14:paraId="436C9FE2">
      <w:pPr>
        <w:widowControl w:val="0"/>
        <w:snapToGrid w:val="0"/>
        <w:spacing w:line="360" w:lineRule="auto"/>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（电子签章）：</w:t>
      </w:r>
    </w:p>
    <w:p w14:paraId="129FFC64">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1FCA318E">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5F3B18B0">
      <w:pPr>
        <w:snapToGrid w:val="0"/>
        <w:spacing w:line="560" w:lineRule="exact"/>
        <w:ind w:firstLine="555"/>
        <w:rPr>
          <w:rFonts w:ascii="宋体"/>
          <w:color w:val="auto"/>
          <w:sz w:val="24"/>
          <w:highlight w:val="none"/>
        </w:rPr>
      </w:pPr>
      <w:r>
        <w:rPr>
          <w:rFonts w:ascii="宋体" w:hAnsi="宋体"/>
          <w:color w:val="auto"/>
          <w:sz w:val="24"/>
          <w:highlight w:val="none"/>
        </w:rPr>
        <w:t xml:space="preserve">        </w:t>
      </w:r>
    </w:p>
    <w:p w14:paraId="39DCC264">
      <w:pPr>
        <w:widowControl w:val="0"/>
        <w:tabs>
          <w:tab w:val="left" w:pos="9365"/>
        </w:tabs>
        <w:snapToGrid w:val="0"/>
        <w:spacing w:after="56" w:line="560" w:lineRule="exact"/>
        <w:ind w:right="85"/>
        <w:jc w:val="center"/>
        <w:textAlignment w:val="top"/>
        <w:rPr>
          <w:rFonts w:ascii="宋体"/>
          <w:color w:val="auto"/>
          <w:sz w:val="24"/>
          <w:highlight w:val="none"/>
        </w:rPr>
      </w:pPr>
      <w:r>
        <w:rPr>
          <w:rFonts w:ascii="宋体"/>
          <w:color w:val="auto"/>
          <w:sz w:val="24"/>
          <w:highlight w:val="none"/>
        </w:rPr>
        <w:br w:type="page"/>
      </w:r>
    </w:p>
    <w:p w14:paraId="3328EEFF">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14:paraId="4A18C12C">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承诺函</w:t>
      </w:r>
    </w:p>
    <w:p w14:paraId="2E252952">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41BA4E33">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w:t>
      </w:r>
      <w:r>
        <w:rPr>
          <w:rFonts w:hint="eastAsia" w:ascii="宋体" w:hAnsi="宋体"/>
          <w:color w:val="auto"/>
          <w:sz w:val="24"/>
          <w:szCs w:val="24"/>
          <w:highlight w:val="none"/>
        </w:rPr>
        <w:t>我公司郑重承诺，我公司符合《政府采购法》第二十二条第一款规定的供应商基础性资格条件，具体如下：</w:t>
      </w:r>
    </w:p>
    <w:p w14:paraId="10A7C55D">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1、我公司承诺具有独立承担民事责任能力；</w:t>
      </w:r>
    </w:p>
    <w:p w14:paraId="7AAEE3EA">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2、我公司承诺具有良好的商业信誉和健全的财务会计制度；</w:t>
      </w:r>
    </w:p>
    <w:p w14:paraId="76A8C460">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3、我公司承诺具备履行合同所必需的设备和专业技术能力；</w:t>
      </w:r>
    </w:p>
    <w:p w14:paraId="361D8209">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4、我公司承诺具有依法缴纳税收和社会保障资金的良好记录；</w:t>
      </w:r>
    </w:p>
    <w:p w14:paraId="52ADBC15">
      <w:pPr>
        <w:tabs>
          <w:tab w:val="left" w:pos="9365"/>
        </w:tabs>
        <w:spacing w:before="57" w:after="57" w:line="586" w:lineRule="atLeast"/>
        <w:ind w:right="85" w:firstLine="424" w:firstLineChars="177"/>
        <w:jc w:val="left"/>
        <w:textAlignment w:val="top"/>
        <w:rPr>
          <w:rFonts w:ascii="宋体" w:hAnsi="宋体"/>
          <w:color w:val="auto"/>
          <w:sz w:val="24"/>
          <w:szCs w:val="24"/>
          <w:highlight w:val="none"/>
        </w:rPr>
      </w:pPr>
      <w:r>
        <w:rPr>
          <w:rFonts w:hint="eastAsia" w:ascii="宋体" w:hAnsi="宋体"/>
          <w:color w:val="auto"/>
          <w:sz w:val="24"/>
          <w:szCs w:val="24"/>
          <w:highlight w:val="none"/>
        </w:rPr>
        <w:t>5、我公司承诺在参加政府采购活动前三年内，在经营活动中没有重大违法记录。</w:t>
      </w:r>
    </w:p>
    <w:p w14:paraId="4FEE3EF5">
      <w:pPr>
        <w:tabs>
          <w:tab w:val="left" w:pos="9365"/>
        </w:tabs>
        <w:spacing w:before="120" w:beforeLines="50" w:line="240" w:lineRule="auto"/>
        <w:ind w:right="85"/>
        <w:jc w:val="left"/>
        <w:textAlignment w:val="top"/>
        <w:rPr>
          <w:rFonts w:ascii="宋体"/>
          <w:color w:val="auto"/>
          <w:sz w:val="24"/>
          <w:szCs w:val="24"/>
          <w:highlight w:val="none"/>
        </w:rPr>
      </w:pPr>
      <w:r>
        <w:rPr>
          <w:rFonts w:hint="eastAsia" w:ascii="宋体"/>
          <w:color w:val="auto"/>
          <w:sz w:val="24"/>
          <w:szCs w:val="24"/>
          <w:highlight w:val="none"/>
        </w:rPr>
        <w:t xml:space="preserve">    二</w:t>
      </w:r>
      <w:r>
        <w:rPr>
          <w:rFonts w:ascii="宋体"/>
          <w:color w:val="auto"/>
          <w:sz w:val="24"/>
          <w:szCs w:val="24"/>
          <w:highlight w:val="none"/>
        </w:rPr>
        <w:t>、</w:t>
      </w:r>
      <w:r>
        <w:rPr>
          <w:rFonts w:hint="eastAsia" w:ascii="宋体"/>
          <w:color w:val="auto"/>
          <w:sz w:val="24"/>
          <w:szCs w:val="24"/>
          <w:highlight w:val="none"/>
        </w:rPr>
        <w:t>我公司保证上述承诺事项的真实性，如有虚假或其他违规违法行为，我公司愿意</w:t>
      </w:r>
      <w:r>
        <w:rPr>
          <w:rFonts w:hint="eastAsia" w:ascii="宋体" w:hAnsi="宋体"/>
          <w:color w:val="auto"/>
          <w:sz w:val="24"/>
          <w:szCs w:val="24"/>
          <w:highlight w:val="none"/>
        </w:rPr>
        <w:t>按《政府采购法》提供虚假材料的有关规定</w:t>
      </w:r>
      <w:r>
        <w:rPr>
          <w:rFonts w:hint="eastAsia" w:ascii="宋体"/>
          <w:color w:val="auto"/>
          <w:sz w:val="24"/>
          <w:szCs w:val="24"/>
          <w:highlight w:val="none"/>
        </w:rPr>
        <w:t>承担法律责任，并承担因此造成的一切损失。</w:t>
      </w:r>
    </w:p>
    <w:p w14:paraId="6B5B65E7">
      <w:pPr>
        <w:widowControl w:val="0"/>
        <w:tabs>
          <w:tab w:val="left" w:pos="9365"/>
        </w:tabs>
        <w:snapToGrid w:val="0"/>
        <w:spacing w:before="120" w:beforeLines="50" w:line="240" w:lineRule="auto"/>
        <w:ind w:right="85"/>
        <w:jc w:val="left"/>
        <w:textAlignment w:val="top"/>
        <w:rPr>
          <w:rFonts w:ascii="宋体" w:hAnsi="宋体"/>
          <w:color w:val="auto"/>
          <w:sz w:val="24"/>
          <w:szCs w:val="24"/>
          <w:highlight w:val="none"/>
        </w:rPr>
      </w:pPr>
      <w:r>
        <w:rPr>
          <w:rFonts w:hint="eastAsia" w:ascii="宋体"/>
          <w:color w:val="auto"/>
          <w:sz w:val="24"/>
          <w:szCs w:val="24"/>
          <w:highlight w:val="none"/>
        </w:rPr>
        <w:t xml:space="preserve">   三</w:t>
      </w:r>
      <w:r>
        <w:rPr>
          <w:rFonts w:ascii="宋体"/>
          <w:color w:val="auto"/>
          <w:sz w:val="24"/>
          <w:szCs w:val="24"/>
          <w:highlight w:val="none"/>
        </w:rPr>
        <w:t>、</w:t>
      </w:r>
      <w:r>
        <w:rPr>
          <w:rFonts w:hint="eastAsia" w:ascii="宋体"/>
          <w:color w:val="auto"/>
          <w:sz w:val="24"/>
          <w:szCs w:val="24"/>
          <w:highlight w:val="none"/>
        </w:rPr>
        <w:t xml:space="preserve"> 我</w:t>
      </w:r>
      <w:r>
        <w:rPr>
          <w:rFonts w:ascii="宋体"/>
          <w:color w:val="auto"/>
          <w:sz w:val="24"/>
          <w:szCs w:val="24"/>
          <w:highlight w:val="none"/>
        </w:rPr>
        <w:t>公司认同</w:t>
      </w:r>
      <w:r>
        <w:rPr>
          <w:rFonts w:hint="eastAsia" w:ascii="宋体"/>
          <w:color w:val="auto"/>
          <w:sz w:val="24"/>
          <w:szCs w:val="24"/>
          <w:highlight w:val="none"/>
        </w:rPr>
        <w:t>按</w:t>
      </w:r>
      <w:r>
        <w:rPr>
          <w:rFonts w:ascii="宋体"/>
          <w:color w:val="auto"/>
          <w:sz w:val="24"/>
          <w:szCs w:val="24"/>
          <w:highlight w:val="none"/>
        </w:rPr>
        <w:t>照</w:t>
      </w:r>
      <w:r>
        <w:rPr>
          <w:rFonts w:hint="eastAsia" w:ascii="宋体"/>
          <w:color w:val="auto"/>
          <w:sz w:val="24"/>
          <w:szCs w:val="24"/>
          <w:highlight w:val="none"/>
        </w:rPr>
        <w:t>《磋商</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”对</w:t>
      </w:r>
      <w:r>
        <w:rPr>
          <w:rFonts w:ascii="宋体"/>
          <w:color w:val="auto"/>
          <w:sz w:val="24"/>
          <w:szCs w:val="24"/>
          <w:highlight w:val="none"/>
        </w:rPr>
        <w:t>我公司或其他公司</w:t>
      </w:r>
      <w:r>
        <w:rPr>
          <w:rFonts w:hint="eastAsia" w:ascii="宋体"/>
          <w:color w:val="auto"/>
          <w:sz w:val="24"/>
          <w:szCs w:val="24"/>
          <w:highlight w:val="none"/>
        </w:rPr>
        <w:t>进行的</w:t>
      </w:r>
      <w:r>
        <w:rPr>
          <w:rFonts w:hint="eastAsia" w:ascii="宋体" w:hAnsi="宋体"/>
          <w:color w:val="auto"/>
          <w:sz w:val="24"/>
          <w:szCs w:val="24"/>
          <w:highlight w:val="none"/>
        </w:rPr>
        <w:t>供</w:t>
      </w:r>
      <w:r>
        <w:rPr>
          <w:rFonts w:ascii="宋体" w:hAnsi="宋体"/>
          <w:color w:val="auto"/>
          <w:sz w:val="24"/>
          <w:szCs w:val="24"/>
          <w:highlight w:val="none"/>
        </w:rPr>
        <w:t>应商基础性资</w:t>
      </w:r>
      <w:r>
        <w:rPr>
          <w:rFonts w:hint="eastAsia" w:ascii="宋体" w:hAnsi="宋体"/>
          <w:color w:val="auto"/>
          <w:sz w:val="24"/>
          <w:szCs w:val="24"/>
          <w:highlight w:val="none"/>
        </w:rPr>
        <w:t>格的</w:t>
      </w:r>
      <w:r>
        <w:rPr>
          <w:rFonts w:ascii="宋体" w:hAnsi="宋体"/>
          <w:color w:val="auto"/>
          <w:sz w:val="24"/>
          <w:szCs w:val="24"/>
          <w:highlight w:val="none"/>
        </w:rPr>
        <w:t>审查</w:t>
      </w:r>
      <w:r>
        <w:rPr>
          <w:rFonts w:hint="eastAsia" w:ascii="宋体" w:hAnsi="宋体"/>
          <w:color w:val="auto"/>
          <w:sz w:val="24"/>
          <w:szCs w:val="24"/>
          <w:highlight w:val="none"/>
        </w:rPr>
        <w:t>，</w:t>
      </w:r>
      <w:r>
        <w:rPr>
          <w:rFonts w:ascii="宋体" w:hAnsi="宋体"/>
          <w:color w:val="auto"/>
          <w:sz w:val="24"/>
          <w:szCs w:val="24"/>
          <w:highlight w:val="none"/>
        </w:rPr>
        <w:t>对</w:t>
      </w:r>
      <w:r>
        <w:rPr>
          <w:rFonts w:hint="eastAsia" w:ascii="宋体"/>
          <w:color w:val="auto"/>
          <w:sz w:val="24"/>
          <w:szCs w:val="24"/>
          <w:highlight w:val="none"/>
        </w:rPr>
        <w:t>按</w:t>
      </w:r>
      <w:r>
        <w:rPr>
          <w:rFonts w:ascii="宋体"/>
          <w:color w:val="auto"/>
          <w:sz w:val="24"/>
          <w:szCs w:val="24"/>
          <w:highlight w:val="none"/>
        </w:rPr>
        <w:t>照</w:t>
      </w:r>
      <w:r>
        <w:rPr>
          <w:rFonts w:hint="eastAsia" w:ascii="宋体" w:hAnsi="宋体"/>
          <w:color w:val="auto"/>
          <w:sz w:val="24"/>
          <w:szCs w:val="24"/>
          <w:highlight w:val="none"/>
        </w:rPr>
        <w:t>认定标准得</w:t>
      </w:r>
      <w:r>
        <w:rPr>
          <w:rFonts w:ascii="宋体" w:hAnsi="宋体"/>
          <w:color w:val="auto"/>
          <w:sz w:val="24"/>
          <w:szCs w:val="24"/>
          <w:highlight w:val="none"/>
        </w:rPr>
        <w:t>出的审查结果无异</w:t>
      </w:r>
      <w:r>
        <w:rPr>
          <w:rFonts w:hint="eastAsia" w:ascii="宋体" w:hAnsi="宋体"/>
          <w:color w:val="auto"/>
          <w:sz w:val="24"/>
          <w:szCs w:val="24"/>
          <w:highlight w:val="none"/>
        </w:rPr>
        <w:t>议。</w:t>
      </w:r>
    </w:p>
    <w:p w14:paraId="2FEFC9D3">
      <w:pPr>
        <w:widowControl w:val="0"/>
        <w:tabs>
          <w:tab w:val="left" w:pos="9365"/>
        </w:tabs>
        <w:snapToGrid w:val="0"/>
        <w:spacing w:before="120" w:beforeLines="50" w:line="24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 xml:space="preserve">    四、</w:t>
      </w:r>
      <w:r>
        <w:rPr>
          <w:rFonts w:hint="eastAsia" w:ascii="宋体"/>
          <w:color w:val="auto"/>
          <w:sz w:val="24"/>
          <w:szCs w:val="24"/>
          <w:highlight w:val="none"/>
        </w:rPr>
        <w:t>我公司响应</w:t>
      </w:r>
      <w:r>
        <w:rPr>
          <w:rFonts w:ascii="宋体"/>
          <w:color w:val="auto"/>
          <w:sz w:val="24"/>
          <w:szCs w:val="24"/>
          <w:highlight w:val="none"/>
        </w:rPr>
        <w:t>文件或</w:t>
      </w:r>
      <w:r>
        <w:rPr>
          <w:rFonts w:hint="eastAsia" w:ascii="宋体"/>
          <w:color w:val="auto"/>
          <w:sz w:val="24"/>
          <w:szCs w:val="24"/>
          <w:highlight w:val="none"/>
        </w:rPr>
        <w:t>公</w:t>
      </w:r>
      <w:r>
        <w:rPr>
          <w:rFonts w:ascii="宋体"/>
          <w:color w:val="auto"/>
          <w:sz w:val="24"/>
          <w:szCs w:val="24"/>
          <w:highlight w:val="none"/>
        </w:rPr>
        <w:t>开资</w:t>
      </w:r>
      <w:r>
        <w:rPr>
          <w:rFonts w:hint="eastAsia" w:ascii="宋体"/>
          <w:color w:val="auto"/>
          <w:sz w:val="24"/>
          <w:szCs w:val="24"/>
          <w:highlight w:val="none"/>
        </w:rPr>
        <w:t>料或</w:t>
      </w:r>
      <w:r>
        <w:rPr>
          <w:rFonts w:ascii="宋体"/>
          <w:color w:val="auto"/>
          <w:sz w:val="24"/>
          <w:szCs w:val="24"/>
          <w:highlight w:val="none"/>
        </w:rPr>
        <w:t>备</w:t>
      </w:r>
      <w:r>
        <w:rPr>
          <w:rFonts w:hint="eastAsia" w:ascii="宋体"/>
          <w:color w:val="auto"/>
          <w:sz w:val="24"/>
          <w:szCs w:val="24"/>
          <w:highlight w:val="none"/>
        </w:rPr>
        <w:t>案</w:t>
      </w:r>
      <w:r>
        <w:rPr>
          <w:rFonts w:ascii="宋体"/>
          <w:color w:val="auto"/>
          <w:sz w:val="24"/>
          <w:szCs w:val="24"/>
          <w:highlight w:val="none"/>
        </w:rPr>
        <w:t>资</w:t>
      </w:r>
      <w:r>
        <w:rPr>
          <w:rFonts w:hint="eastAsia" w:ascii="宋体"/>
          <w:color w:val="auto"/>
          <w:sz w:val="24"/>
          <w:szCs w:val="24"/>
          <w:highlight w:val="none"/>
        </w:rPr>
        <w:t>料</w:t>
      </w:r>
      <w:r>
        <w:rPr>
          <w:rFonts w:ascii="宋体"/>
          <w:color w:val="auto"/>
          <w:sz w:val="24"/>
          <w:szCs w:val="24"/>
          <w:highlight w:val="none"/>
        </w:rPr>
        <w:t>中，有不符合</w:t>
      </w:r>
      <w:r>
        <w:rPr>
          <w:rFonts w:hint="eastAsia" w:ascii="宋体"/>
          <w:color w:val="auto"/>
          <w:sz w:val="24"/>
          <w:szCs w:val="24"/>
          <w:highlight w:val="none"/>
        </w:rPr>
        <w:t>《磋商</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”的</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认同</w:t>
      </w:r>
      <w:r>
        <w:rPr>
          <w:rFonts w:hint="eastAsia" w:ascii="宋体"/>
          <w:color w:val="auto"/>
          <w:sz w:val="24"/>
          <w:szCs w:val="24"/>
          <w:highlight w:val="none"/>
        </w:rPr>
        <w:t>判</w:t>
      </w:r>
      <w:r>
        <w:rPr>
          <w:rFonts w:ascii="宋体"/>
          <w:color w:val="auto"/>
          <w:sz w:val="24"/>
          <w:szCs w:val="24"/>
          <w:highlight w:val="none"/>
        </w:rPr>
        <w:t>定为无</w:t>
      </w:r>
      <w:r>
        <w:rPr>
          <w:rFonts w:hint="eastAsia" w:ascii="宋体"/>
          <w:color w:val="auto"/>
          <w:sz w:val="24"/>
          <w:szCs w:val="24"/>
          <w:highlight w:val="none"/>
        </w:rPr>
        <w:t>效</w:t>
      </w:r>
      <w:r>
        <w:rPr>
          <w:rFonts w:ascii="宋体"/>
          <w:color w:val="auto"/>
          <w:sz w:val="24"/>
          <w:szCs w:val="24"/>
          <w:highlight w:val="none"/>
        </w:rPr>
        <w:t>投标</w:t>
      </w:r>
      <w:r>
        <w:rPr>
          <w:rFonts w:hint="eastAsia" w:ascii="宋体"/>
          <w:color w:val="auto"/>
          <w:sz w:val="24"/>
          <w:szCs w:val="24"/>
          <w:highlight w:val="none"/>
        </w:rPr>
        <w:t>、承担</w:t>
      </w:r>
      <w:r>
        <w:rPr>
          <w:rFonts w:hint="eastAsia" w:ascii="宋体" w:hAnsi="宋体"/>
          <w:color w:val="auto"/>
          <w:sz w:val="24"/>
          <w:szCs w:val="24"/>
          <w:highlight w:val="none"/>
        </w:rPr>
        <w:t>虚假</w:t>
      </w:r>
      <w:r>
        <w:rPr>
          <w:rFonts w:hint="eastAsia" w:ascii="宋体"/>
          <w:color w:val="auto"/>
          <w:sz w:val="24"/>
          <w:szCs w:val="24"/>
          <w:highlight w:val="none"/>
        </w:rPr>
        <w:t>承诺责任。</w:t>
      </w:r>
    </w:p>
    <w:p w14:paraId="4566F3CE">
      <w:pPr>
        <w:tabs>
          <w:tab w:val="left" w:pos="9365"/>
        </w:tabs>
        <w:spacing w:before="120" w:beforeLines="50" w:line="240" w:lineRule="auto"/>
        <w:ind w:right="85" w:firstLine="480"/>
        <w:jc w:val="left"/>
        <w:textAlignment w:val="top"/>
        <w:rPr>
          <w:rFonts w:ascii="宋体"/>
          <w:color w:val="auto"/>
          <w:sz w:val="24"/>
          <w:szCs w:val="24"/>
          <w:highlight w:val="none"/>
        </w:rPr>
      </w:pPr>
      <w:r>
        <w:rPr>
          <w:rFonts w:hint="eastAsia" w:ascii="宋体"/>
          <w:color w:val="auto"/>
          <w:sz w:val="24"/>
          <w:szCs w:val="24"/>
          <w:highlight w:val="none"/>
        </w:rPr>
        <w:t>五</w:t>
      </w:r>
      <w:r>
        <w:rPr>
          <w:rFonts w:ascii="宋体"/>
          <w:color w:val="auto"/>
          <w:sz w:val="24"/>
          <w:szCs w:val="24"/>
          <w:highlight w:val="none"/>
        </w:rPr>
        <w:t>、</w:t>
      </w:r>
      <w:r>
        <w:rPr>
          <w:rFonts w:hint="eastAsia" w:ascii="宋体"/>
          <w:color w:val="auto"/>
          <w:sz w:val="24"/>
          <w:szCs w:val="24"/>
          <w:highlight w:val="none"/>
        </w:rPr>
        <w:t>我公司</w:t>
      </w:r>
      <w:r>
        <w:rPr>
          <w:rFonts w:ascii="宋体"/>
          <w:color w:val="auto"/>
          <w:sz w:val="24"/>
          <w:szCs w:val="24"/>
          <w:highlight w:val="none"/>
        </w:rPr>
        <w:t>在</w:t>
      </w:r>
      <w:r>
        <w:rPr>
          <w:rFonts w:hint="eastAsia" w:ascii="宋体"/>
          <w:color w:val="auto"/>
          <w:sz w:val="24"/>
          <w:szCs w:val="24"/>
          <w:highlight w:val="none"/>
        </w:rPr>
        <w:t>没</w:t>
      </w:r>
      <w:r>
        <w:rPr>
          <w:rFonts w:ascii="宋体"/>
          <w:color w:val="auto"/>
          <w:sz w:val="24"/>
          <w:szCs w:val="24"/>
          <w:highlight w:val="none"/>
        </w:rPr>
        <w:t>有有效的证明材</w:t>
      </w:r>
      <w:r>
        <w:rPr>
          <w:rFonts w:hint="eastAsia" w:ascii="宋体"/>
          <w:color w:val="auto"/>
          <w:sz w:val="24"/>
          <w:szCs w:val="24"/>
          <w:highlight w:val="none"/>
        </w:rPr>
        <w:t>料，以</w:t>
      </w:r>
      <w:r>
        <w:rPr>
          <w:rFonts w:ascii="宋体"/>
          <w:color w:val="auto"/>
          <w:sz w:val="24"/>
          <w:szCs w:val="24"/>
          <w:highlight w:val="none"/>
        </w:rPr>
        <w:t>证明其他</w:t>
      </w:r>
      <w:r>
        <w:rPr>
          <w:rFonts w:hint="eastAsia" w:ascii="宋体"/>
          <w:color w:val="auto"/>
          <w:sz w:val="24"/>
          <w:szCs w:val="24"/>
          <w:highlight w:val="none"/>
        </w:rPr>
        <w:t>供应商</w:t>
      </w:r>
      <w:r>
        <w:rPr>
          <w:rFonts w:ascii="宋体"/>
          <w:color w:val="auto"/>
          <w:sz w:val="24"/>
          <w:szCs w:val="24"/>
          <w:highlight w:val="none"/>
        </w:rPr>
        <w:t>不符合</w:t>
      </w:r>
      <w:r>
        <w:rPr>
          <w:rFonts w:hint="eastAsia" w:ascii="宋体"/>
          <w:color w:val="auto"/>
          <w:sz w:val="24"/>
          <w:szCs w:val="24"/>
          <w:highlight w:val="none"/>
        </w:rPr>
        <w:t>《磋商</w:t>
      </w:r>
      <w:r>
        <w:rPr>
          <w:rFonts w:ascii="宋体"/>
          <w:color w:val="auto"/>
          <w:sz w:val="24"/>
          <w:szCs w:val="24"/>
          <w:highlight w:val="none"/>
        </w:rPr>
        <w:t>文件</w:t>
      </w:r>
      <w:r>
        <w:rPr>
          <w:rFonts w:hint="eastAsia" w:ascii="宋体"/>
          <w:color w:val="auto"/>
          <w:sz w:val="24"/>
          <w:szCs w:val="24"/>
          <w:highlight w:val="none"/>
        </w:rPr>
        <w:t>》“</w:t>
      </w:r>
      <w:r>
        <w:rPr>
          <w:rFonts w:hint="eastAsia" w:ascii="宋体" w:hAnsi="宋体"/>
          <w:color w:val="auto"/>
          <w:sz w:val="24"/>
          <w:szCs w:val="24"/>
          <w:highlight w:val="none"/>
        </w:rPr>
        <w:t>《政府采购法》第二十二条第一款规定的供</w:t>
      </w:r>
      <w:r>
        <w:rPr>
          <w:rFonts w:ascii="宋体" w:hAnsi="宋体"/>
          <w:color w:val="auto"/>
          <w:sz w:val="24"/>
          <w:szCs w:val="24"/>
          <w:highlight w:val="none"/>
        </w:rPr>
        <w:t>应商基础性资</w:t>
      </w:r>
      <w:r>
        <w:rPr>
          <w:rFonts w:hint="eastAsia" w:ascii="宋体" w:hAnsi="宋体"/>
          <w:color w:val="auto"/>
          <w:sz w:val="24"/>
          <w:szCs w:val="24"/>
          <w:highlight w:val="none"/>
        </w:rPr>
        <w:t>格</w:t>
      </w:r>
      <w:r>
        <w:rPr>
          <w:rFonts w:ascii="宋体" w:hAnsi="宋体"/>
          <w:color w:val="auto"/>
          <w:sz w:val="24"/>
          <w:szCs w:val="24"/>
          <w:highlight w:val="none"/>
        </w:rPr>
        <w:t>的</w:t>
      </w:r>
      <w:r>
        <w:rPr>
          <w:rFonts w:hint="eastAsia" w:ascii="宋体" w:hAnsi="宋体"/>
          <w:color w:val="auto"/>
          <w:sz w:val="24"/>
          <w:szCs w:val="24"/>
          <w:highlight w:val="none"/>
        </w:rPr>
        <w:t>承诺认定标准</w:t>
      </w:r>
      <w:r>
        <w:rPr>
          <w:rFonts w:hint="eastAsia" w:ascii="宋体"/>
          <w:color w:val="auto"/>
          <w:sz w:val="24"/>
          <w:szCs w:val="24"/>
          <w:highlight w:val="none"/>
        </w:rPr>
        <w:t>”时，我公司承诺不</w:t>
      </w:r>
      <w:r>
        <w:rPr>
          <w:rFonts w:ascii="宋体"/>
          <w:color w:val="auto"/>
          <w:sz w:val="24"/>
          <w:szCs w:val="24"/>
          <w:highlight w:val="none"/>
        </w:rPr>
        <w:t>对其他</w:t>
      </w:r>
      <w:r>
        <w:rPr>
          <w:rFonts w:hint="eastAsia" w:ascii="宋体"/>
          <w:color w:val="auto"/>
          <w:sz w:val="24"/>
          <w:szCs w:val="24"/>
          <w:highlight w:val="none"/>
        </w:rPr>
        <w:t>供应商的承诺函提</w:t>
      </w:r>
      <w:r>
        <w:rPr>
          <w:rFonts w:ascii="宋体"/>
          <w:color w:val="auto"/>
          <w:sz w:val="24"/>
          <w:szCs w:val="24"/>
          <w:highlight w:val="none"/>
        </w:rPr>
        <w:t>起质疑投诉，</w:t>
      </w:r>
      <w:r>
        <w:rPr>
          <w:rFonts w:hint="eastAsia" w:ascii="宋体"/>
          <w:color w:val="auto"/>
          <w:sz w:val="24"/>
          <w:szCs w:val="24"/>
          <w:highlight w:val="none"/>
        </w:rPr>
        <w:t>同</w:t>
      </w:r>
      <w:r>
        <w:rPr>
          <w:rFonts w:ascii="宋体"/>
          <w:color w:val="auto"/>
          <w:sz w:val="24"/>
          <w:szCs w:val="24"/>
          <w:highlight w:val="none"/>
        </w:rPr>
        <w:t>意对已</w:t>
      </w:r>
      <w:r>
        <w:rPr>
          <w:rFonts w:hint="eastAsia" w:ascii="宋体"/>
          <w:color w:val="auto"/>
          <w:sz w:val="24"/>
          <w:szCs w:val="24"/>
          <w:highlight w:val="none"/>
        </w:rPr>
        <w:t>提</w:t>
      </w:r>
      <w:r>
        <w:rPr>
          <w:rFonts w:ascii="宋体"/>
          <w:color w:val="auto"/>
          <w:sz w:val="24"/>
          <w:szCs w:val="24"/>
          <w:highlight w:val="none"/>
        </w:rPr>
        <w:t>起</w:t>
      </w:r>
      <w:r>
        <w:rPr>
          <w:rFonts w:hint="eastAsia" w:ascii="宋体"/>
          <w:color w:val="auto"/>
          <w:sz w:val="24"/>
          <w:szCs w:val="24"/>
          <w:highlight w:val="none"/>
        </w:rPr>
        <w:t>的</w:t>
      </w:r>
      <w:r>
        <w:rPr>
          <w:rFonts w:ascii="宋体"/>
          <w:color w:val="auto"/>
          <w:sz w:val="24"/>
          <w:szCs w:val="24"/>
          <w:highlight w:val="none"/>
        </w:rPr>
        <w:t>质疑投诉</w:t>
      </w:r>
      <w:r>
        <w:rPr>
          <w:rFonts w:hint="eastAsia" w:ascii="宋体"/>
          <w:color w:val="auto"/>
          <w:sz w:val="24"/>
          <w:szCs w:val="24"/>
          <w:highlight w:val="none"/>
        </w:rPr>
        <w:t>按缺</w:t>
      </w:r>
      <w:r>
        <w:rPr>
          <w:rFonts w:ascii="宋体"/>
          <w:color w:val="auto"/>
          <w:sz w:val="24"/>
          <w:szCs w:val="24"/>
          <w:highlight w:val="none"/>
        </w:rPr>
        <w:t>乏</w:t>
      </w:r>
      <w:r>
        <w:rPr>
          <w:rFonts w:hint="eastAsia" w:ascii="宋体" w:hAnsi="宋体"/>
          <w:color w:val="auto"/>
          <w:sz w:val="24"/>
          <w:szCs w:val="24"/>
          <w:highlight w:val="none"/>
        </w:rPr>
        <w:t>事实依据、</w:t>
      </w:r>
      <w:r>
        <w:rPr>
          <w:rFonts w:hint="eastAsia" w:ascii="宋体"/>
          <w:color w:val="auto"/>
          <w:sz w:val="24"/>
          <w:szCs w:val="24"/>
          <w:highlight w:val="none"/>
        </w:rPr>
        <w:t>按</w:t>
      </w:r>
      <w:r>
        <w:rPr>
          <w:rFonts w:ascii="宋体"/>
          <w:color w:val="auto"/>
          <w:sz w:val="24"/>
          <w:szCs w:val="24"/>
          <w:highlight w:val="none"/>
        </w:rPr>
        <w:t>无</w:t>
      </w:r>
      <w:r>
        <w:rPr>
          <w:rFonts w:hint="eastAsia" w:ascii="宋体"/>
          <w:color w:val="auto"/>
          <w:sz w:val="24"/>
          <w:szCs w:val="24"/>
          <w:highlight w:val="none"/>
        </w:rPr>
        <w:t>效</w:t>
      </w:r>
      <w:r>
        <w:rPr>
          <w:rFonts w:ascii="宋体"/>
          <w:color w:val="auto"/>
          <w:sz w:val="24"/>
          <w:szCs w:val="24"/>
          <w:highlight w:val="none"/>
        </w:rPr>
        <w:t>质疑投诉</w:t>
      </w:r>
      <w:r>
        <w:rPr>
          <w:rFonts w:hint="eastAsia" w:ascii="宋体"/>
          <w:color w:val="auto"/>
          <w:sz w:val="24"/>
          <w:szCs w:val="24"/>
          <w:highlight w:val="none"/>
        </w:rPr>
        <w:t>处</w:t>
      </w:r>
      <w:r>
        <w:rPr>
          <w:rFonts w:ascii="宋体"/>
          <w:color w:val="auto"/>
          <w:sz w:val="24"/>
          <w:szCs w:val="24"/>
          <w:highlight w:val="none"/>
        </w:rPr>
        <w:t>理。</w:t>
      </w:r>
    </w:p>
    <w:p w14:paraId="28704FD7">
      <w:pPr>
        <w:tabs>
          <w:tab w:val="left" w:pos="9365"/>
        </w:tabs>
        <w:spacing w:before="57" w:after="57" w:line="586" w:lineRule="atLeast"/>
        <w:ind w:right="85"/>
        <w:jc w:val="left"/>
        <w:textAlignment w:val="top"/>
        <w:rPr>
          <w:rFonts w:ascii="宋体" w:hAnsi="宋体"/>
          <w:color w:val="auto"/>
          <w:sz w:val="24"/>
          <w:szCs w:val="24"/>
          <w:highlight w:val="none"/>
        </w:rPr>
      </w:pPr>
    </w:p>
    <w:p w14:paraId="01C949CC">
      <w:pPr>
        <w:tabs>
          <w:tab w:val="left" w:pos="9365"/>
        </w:tabs>
        <w:spacing w:before="57" w:after="57" w:line="586" w:lineRule="atLeast"/>
        <w:ind w:right="85"/>
        <w:jc w:val="left"/>
        <w:textAlignment w:val="top"/>
        <w:rPr>
          <w:rFonts w:ascii="宋体" w:hAnsi="宋体"/>
          <w:color w:val="auto"/>
          <w:sz w:val="24"/>
          <w:szCs w:val="24"/>
          <w:highlight w:val="none"/>
        </w:rPr>
      </w:pPr>
    </w:p>
    <w:p w14:paraId="067218BD">
      <w:pPr>
        <w:widowControl w:val="0"/>
        <w:snapToGrid w:val="0"/>
        <w:spacing w:line="360" w:lineRule="auto"/>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（电子签章）：</w:t>
      </w:r>
    </w:p>
    <w:p w14:paraId="786799F2">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28BD41CD">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2D0D9491">
      <w:pPr>
        <w:snapToGrid w:val="0"/>
        <w:spacing w:line="560" w:lineRule="exact"/>
        <w:ind w:firstLine="555"/>
        <w:rPr>
          <w:rFonts w:ascii="宋体"/>
          <w:color w:val="auto"/>
          <w:sz w:val="24"/>
          <w:highlight w:val="none"/>
        </w:rPr>
      </w:pPr>
      <w:r>
        <w:rPr>
          <w:rFonts w:ascii="宋体" w:hAnsi="宋体"/>
          <w:color w:val="auto"/>
          <w:sz w:val="24"/>
          <w:highlight w:val="none"/>
        </w:rPr>
        <w:t xml:space="preserve">        </w:t>
      </w:r>
    </w:p>
    <w:p w14:paraId="6257AD0F">
      <w:pPr>
        <w:widowControl w:val="0"/>
        <w:tabs>
          <w:tab w:val="left" w:pos="9365"/>
        </w:tabs>
        <w:snapToGrid w:val="0"/>
        <w:spacing w:after="56" w:line="560" w:lineRule="exact"/>
        <w:ind w:right="85"/>
        <w:jc w:val="center"/>
        <w:textAlignment w:val="top"/>
        <w:rPr>
          <w:rFonts w:ascii="宋体"/>
          <w:color w:val="auto"/>
          <w:sz w:val="24"/>
          <w:highlight w:val="none"/>
        </w:rPr>
      </w:pPr>
      <w:r>
        <w:rPr>
          <w:rFonts w:ascii="宋体"/>
          <w:color w:val="auto"/>
          <w:sz w:val="24"/>
          <w:highlight w:val="none"/>
        </w:rPr>
        <w:br w:type="page"/>
      </w:r>
    </w:p>
    <w:p w14:paraId="6BB8E470">
      <w:pPr>
        <w:widowControl w:val="0"/>
        <w:tabs>
          <w:tab w:val="left" w:pos="9365"/>
        </w:tabs>
        <w:snapToGrid w:val="0"/>
        <w:spacing w:after="56" w:line="560" w:lineRule="exact"/>
        <w:ind w:right="85"/>
        <w:jc w:val="center"/>
        <w:textAlignment w:val="top"/>
        <w:rPr>
          <w:rFonts w:ascii="宋体"/>
          <w:color w:val="auto"/>
          <w:sz w:val="24"/>
          <w:highlight w:val="none"/>
        </w:rPr>
      </w:pPr>
      <w:r>
        <w:rPr>
          <w:rFonts w:hint="eastAsia" w:ascii="黑体" w:hAnsi="黑体" w:eastAsia="黑体"/>
          <w:b/>
          <w:color w:val="auto"/>
          <w:sz w:val="30"/>
          <w:szCs w:val="30"/>
          <w:highlight w:val="none"/>
        </w:rPr>
        <w:t>《政府采购法》第二十二条第一款规定的供</w:t>
      </w:r>
      <w:r>
        <w:rPr>
          <w:rFonts w:ascii="黑体" w:hAnsi="黑体" w:eastAsia="黑体"/>
          <w:b/>
          <w:color w:val="auto"/>
          <w:sz w:val="30"/>
          <w:szCs w:val="30"/>
          <w:highlight w:val="none"/>
        </w:rPr>
        <w:t>应商基础性资</w:t>
      </w:r>
      <w:r>
        <w:rPr>
          <w:rFonts w:hint="eastAsia" w:ascii="黑体" w:hAnsi="黑体" w:eastAsia="黑体"/>
          <w:b/>
          <w:color w:val="auto"/>
          <w:sz w:val="30"/>
          <w:szCs w:val="30"/>
          <w:highlight w:val="none"/>
        </w:rPr>
        <w:t>格</w:t>
      </w:r>
      <w:r>
        <w:rPr>
          <w:rFonts w:ascii="黑体" w:hAnsi="黑体" w:eastAsia="黑体"/>
          <w:b/>
          <w:color w:val="auto"/>
          <w:sz w:val="30"/>
          <w:szCs w:val="30"/>
          <w:highlight w:val="none"/>
        </w:rPr>
        <w:t>的</w:t>
      </w:r>
    </w:p>
    <w:p w14:paraId="2993178A">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r>
        <w:rPr>
          <w:rFonts w:hint="eastAsia" w:ascii="黑体" w:hAnsi="黑体" w:eastAsia="黑体"/>
          <w:b/>
          <w:color w:val="auto"/>
          <w:sz w:val="30"/>
          <w:szCs w:val="30"/>
          <w:highlight w:val="none"/>
        </w:rPr>
        <w:t>承诺事</w:t>
      </w:r>
      <w:r>
        <w:rPr>
          <w:rFonts w:ascii="黑体" w:hAnsi="黑体" w:eastAsia="黑体"/>
          <w:b/>
          <w:color w:val="auto"/>
          <w:sz w:val="30"/>
          <w:szCs w:val="30"/>
          <w:highlight w:val="none"/>
        </w:rPr>
        <w:t>项的</w:t>
      </w:r>
      <w:r>
        <w:rPr>
          <w:rFonts w:hint="eastAsia" w:ascii="黑体" w:hAnsi="黑体" w:eastAsia="黑体"/>
          <w:b/>
          <w:color w:val="auto"/>
          <w:sz w:val="30"/>
          <w:szCs w:val="30"/>
          <w:highlight w:val="none"/>
        </w:rPr>
        <w:t>认定标准</w:t>
      </w:r>
    </w:p>
    <w:p w14:paraId="4BBFAF7A">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2348BD80">
      <w:pPr>
        <w:widowControl w:val="0"/>
        <w:adjustRightInd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政府采购监督检查、质疑投诉及政府采购行政处罚等</w:t>
      </w:r>
      <w:r>
        <w:rPr>
          <w:rFonts w:ascii="宋体" w:hAnsi="宋体"/>
          <w:color w:val="auto"/>
          <w:sz w:val="24"/>
          <w:szCs w:val="24"/>
          <w:highlight w:val="none"/>
        </w:rPr>
        <w:t>情形</w:t>
      </w:r>
      <w:r>
        <w:rPr>
          <w:rFonts w:hint="eastAsia" w:ascii="宋体" w:hAnsi="宋体"/>
          <w:color w:val="auto"/>
          <w:sz w:val="24"/>
          <w:szCs w:val="24"/>
          <w:highlight w:val="none"/>
        </w:rPr>
        <w:t>中，需要对资格承诺的真实性的进</w:t>
      </w:r>
      <w:r>
        <w:rPr>
          <w:rFonts w:ascii="宋体" w:hAnsi="宋体"/>
          <w:color w:val="auto"/>
          <w:sz w:val="24"/>
          <w:szCs w:val="24"/>
          <w:highlight w:val="none"/>
        </w:rPr>
        <w:t>行</w:t>
      </w:r>
      <w:r>
        <w:rPr>
          <w:rFonts w:hint="eastAsia" w:ascii="宋体" w:hAnsi="宋体"/>
          <w:color w:val="auto"/>
          <w:sz w:val="24"/>
          <w:szCs w:val="24"/>
          <w:highlight w:val="none"/>
        </w:rPr>
        <w:t>认定时，相</w:t>
      </w:r>
      <w:r>
        <w:rPr>
          <w:rFonts w:ascii="宋体" w:hAnsi="宋体"/>
          <w:color w:val="auto"/>
          <w:sz w:val="24"/>
          <w:szCs w:val="24"/>
          <w:highlight w:val="none"/>
        </w:rPr>
        <w:t>关</w:t>
      </w:r>
      <w:r>
        <w:rPr>
          <w:rFonts w:hint="eastAsia" w:ascii="宋体" w:hAnsi="宋体"/>
          <w:color w:val="auto"/>
          <w:sz w:val="24"/>
          <w:szCs w:val="24"/>
          <w:highlight w:val="none"/>
        </w:rPr>
        <w:t>供应商应提供如下关</w:t>
      </w:r>
      <w:r>
        <w:rPr>
          <w:rFonts w:ascii="宋体" w:hAnsi="宋体"/>
          <w:color w:val="auto"/>
          <w:sz w:val="24"/>
          <w:szCs w:val="24"/>
          <w:highlight w:val="none"/>
        </w:rPr>
        <w:t>于基础</w:t>
      </w:r>
      <w:r>
        <w:rPr>
          <w:rFonts w:hint="eastAsia" w:ascii="宋体" w:hAnsi="宋体"/>
          <w:color w:val="auto"/>
          <w:sz w:val="24"/>
          <w:szCs w:val="24"/>
          <w:highlight w:val="none"/>
        </w:rPr>
        <w:t>性资格的证明材料：</w:t>
      </w:r>
    </w:p>
    <w:p w14:paraId="1BCF676E">
      <w:pPr>
        <w:widowControl w:val="0"/>
        <w:snapToGrid w:val="0"/>
        <w:spacing w:line="360" w:lineRule="auto"/>
        <w:ind w:firstLine="540" w:firstLineChars="225"/>
        <w:rPr>
          <w:rFonts w:ascii="宋体"/>
          <w:color w:val="auto"/>
          <w:szCs w:val="21"/>
          <w:highlight w:val="none"/>
        </w:rPr>
      </w:pPr>
      <w:r>
        <w:rPr>
          <w:rFonts w:hint="eastAsia" w:ascii="宋体" w:hAnsi="宋体"/>
          <w:color w:val="auto"/>
          <w:sz w:val="24"/>
          <w:szCs w:val="24"/>
          <w:highlight w:val="none"/>
        </w:rPr>
        <w:t>（一）具有独立承担民事责任的能力。■提供营业执照或事业单位法人证书，■提供税务登记证（三证合一的只需提供三证合一的营业执照）</w:t>
      </w:r>
      <w:r>
        <w:rPr>
          <w:rFonts w:hint="eastAsia" w:ascii="微软雅黑" w:hAnsi="微软雅黑" w:eastAsia="微软雅黑"/>
          <w:color w:val="auto"/>
          <w:szCs w:val="21"/>
          <w:highlight w:val="none"/>
          <w:shd w:val="clear" w:color="auto" w:fill="FFFFFF"/>
        </w:rPr>
        <w:t>。</w:t>
      </w:r>
    </w:p>
    <w:p w14:paraId="54C43317">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（二）具有良好的商业信誉和健全的财务会计制度。■提供银行出具的近</w:t>
      </w:r>
      <w:r>
        <w:rPr>
          <w:rFonts w:ascii="宋体" w:hAnsi="宋体"/>
          <w:color w:val="auto"/>
          <w:sz w:val="24"/>
          <w:szCs w:val="24"/>
          <w:highlight w:val="none"/>
        </w:rPr>
        <w:t>1</w:t>
      </w:r>
      <w:r>
        <w:rPr>
          <w:rFonts w:hint="eastAsia" w:ascii="宋体" w:hAnsi="宋体"/>
          <w:color w:val="auto"/>
          <w:sz w:val="24"/>
          <w:szCs w:val="24"/>
          <w:highlight w:val="none"/>
        </w:rPr>
        <w:t>年内资信证明（法人为基本开户行）、或2023年度以来（任一年度）经审计的财务报告、或银行（保险公司）出具的投标担保函。</w:t>
      </w:r>
    </w:p>
    <w:p w14:paraId="58A8C0E3">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三）具备履行合同所必需的设备和专业技术能力。■提供相关设备或设施的购置发票或单据（任一），■专业人员用工合同（任一人），或技术人员的职称证书或职业（执业）资格证或等级证书等相关证书（任一人）等的证明材料。</w:t>
      </w:r>
    </w:p>
    <w:p w14:paraId="7D03664D">
      <w:pPr>
        <w:widowControl w:val="0"/>
        <w:snapToGrid w:val="0"/>
        <w:spacing w:line="360" w:lineRule="auto"/>
        <w:ind w:firstLine="540" w:firstLineChars="225"/>
        <w:rPr>
          <w:rFonts w:ascii="宋体"/>
          <w:color w:val="auto"/>
          <w:sz w:val="24"/>
          <w:szCs w:val="24"/>
          <w:highlight w:val="none"/>
        </w:rPr>
      </w:pPr>
      <w:r>
        <w:rPr>
          <w:rFonts w:hint="eastAsia" w:ascii="宋体" w:hAnsi="宋体"/>
          <w:color w:val="auto"/>
          <w:sz w:val="24"/>
          <w:szCs w:val="24"/>
          <w:highlight w:val="none"/>
        </w:rPr>
        <w:t>（四）有依法缴纳税收和社会保障资金的良好记录。■提供近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个月）已依法缴纳税收的凭据；■提供近</w:t>
      </w:r>
      <w:r>
        <w:rPr>
          <w:rFonts w:ascii="宋体" w:hAnsi="宋体"/>
          <w:color w:val="auto"/>
          <w:sz w:val="24"/>
          <w:szCs w:val="24"/>
          <w:highlight w:val="none"/>
        </w:rPr>
        <w:t>12</w:t>
      </w:r>
      <w:r>
        <w:rPr>
          <w:rFonts w:hint="eastAsia" w:ascii="宋体" w:hAnsi="宋体"/>
          <w:color w:val="auto"/>
          <w:sz w:val="24"/>
          <w:szCs w:val="24"/>
          <w:highlight w:val="none"/>
        </w:rPr>
        <w:t>个月内（任意</w:t>
      </w:r>
      <w:r>
        <w:rPr>
          <w:rFonts w:ascii="宋体" w:hAnsi="宋体"/>
          <w:color w:val="auto"/>
          <w:sz w:val="24"/>
          <w:szCs w:val="24"/>
          <w:highlight w:val="none"/>
        </w:rPr>
        <w:t>1</w:t>
      </w:r>
      <w:r>
        <w:rPr>
          <w:rFonts w:hint="eastAsia" w:ascii="宋体" w:hAnsi="宋体"/>
          <w:color w:val="auto"/>
          <w:sz w:val="24"/>
          <w:szCs w:val="24"/>
          <w:highlight w:val="none"/>
        </w:rPr>
        <w:t>个月）已依法缴纳社会保险的凭据。依法免税或不需要缴纳社会保障资金的供应商，应提供相应证明文件。</w:t>
      </w:r>
    </w:p>
    <w:p w14:paraId="23EA7759">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（五）参加政府采购活动前</w:t>
      </w:r>
      <w:r>
        <w:rPr>
          <w:rFonts w:ascii="宋体" w:hAnsi="宋体"/>
          <w:color w:val="auto"/>
          <w:sz w:val="24"/>
          <w:szCs w:val="24"/>
          <w:highlight w:val="none"/>
        </w:rPr>
        <w:t>3</w:t>
      </w:r>
      <w:r>
        <w:rPr>
          <w:rFonts w:hint="eastAsia" w:ascii="宋体" w:hAnsi="宋体"/>
          <w:color w:val="auto"/>
          <w:sz w:val="24"/>
          <w:szCs w:val="24"/>
          <w:highlight w:val="none"/>
        </w:rPr>
        <w:t>年内在经营活动中没有重大违法记录。</w:t>
      </w:r>
    </w:p>
    <w:p w14:paraId="658782CC">
      <w:pPr>
        <w:widowControl w:val="0"/>
        <w:snapToGrid w:val="0"/>
        <w:spacing w:line="360" w:lineRule="auto"/>
        <w:ind w:firstLine="540" w:firstLineChars="225"/>
        <w:rPr>
          <w:rFonts w:ascii="宋体" w:hAnsi="宋体"/>
          <w:color w:val="auto"/>
          <w:sz w:val="24"/>
          <w:szCs w:val="24"/>
          <w:highlight w:val="none"/>
        </w:rPr>
      </w:pPr>
    </w:p>
    <w:p w14:paraId="208D5F12">
      <w:pPr>
        <w:widowControl w:val="0"/>
        <w:snapToGrid w:val="0"/>
        <w:spacing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供应商提供的证明材料不</w:t>
      </w:r>
      <w:r>
        <w:rPr>
          <w:rFonts w:ascii="宋体" w:hAnsi="宋体"/>
          <w:color w:val="auto"/>
          <w:sz w:val="24"/>
          <w:szCs w:val="24"/>
          <w:highlight w:val="none"/>
        </w:rPr>
        <w:t>符合上述认定标准的</w:t>
      </w:r>
      <w:r>
        <w:rPr>
          <w:rFonts w:hint="eastAsia" w:ascii="宋体" w:hAnsi="宋体"/>
          <w:color w:val="auto"/>
          <w:sz w:val="24"/>
          <w:szCs w:val="24"/>
          <w:highlight w:val="none"/>
        </w:rPr>
        <w:t>，评定该</w:t>
      </w:r>
      <w:r>
        <w:rPr>
          <w:rFonts w:hint="eastAsia" w:ascii="宋体"/>
          <w:color w:val="auto"/>
          <w:sz w:val="24"/>
          <w:szCs w:val="24"/>
          <w:highlight w:val="none"/>
        </w:rPr>
        <w:t>供应商</w:t>
      </w:r>
      <w:r>
        <w:rPr>
          <w:rFonts w:hint="eastAsia" w:ascii="宋体" w:hAnsi="宋体"/>
          <w:color w:val="auto"/>
          <w:sz w:val="24"/>
          <w:szCs w:val="24"/>
          <w:highlight w:val="none"/>
        </w:rPr>
        <w:t>不满足《政府采购法》</w:t>
      </w:r>
      <w:r>
        <w:rPr>
          <w:rFonts w:hint="eastAsia" w:ascii="宋体"/>
          <w:color w:val="auto"/>
          <w:sz w:val="24"/>
          <w:szCs w:val="24"/>
          <w:highlight w:val="none"/>
        </w:rPr>
        <w:t>供应商</w:t>
      </w:r>
      <w:r>
        <w:rPr>
          <w:rFonts w:hint="eastAsia" w:ascii="宋体" w:hAnsi="宋体"/>
          <w:color w:val="auto"/>
          <w:sz w:val="24"/>
          <w:szCs w:val="24"/>
          <w:highlight w:val="none"/>
        </w:rPr>
        <w:t>资格要求，为提供虚假承诺，投标、中标无效，并上报财政部门对其违规违法行为作进一步处理。</w:t>
      </w:r>
    </w:p>
    <w:p w14:paraId="4D05A4CD">
      <w:pPr>
        <w:tabs>
          <w:tab w:val="left" w:pos="540"/>
        </w:tabs>
        <w:spacing w:line="440" w:lineRule="exact"/>
        <w:rPr>
          <w:rFonts w:ascii="宋体"/>
          <w:color w:val="auto"/>
          <w:sz w:val="24"/>
          <w:szCs w:val="24"/>
          <w:highlight w:val="none"/>
        </w:rPr>
      </w:pPr>
      <w:r>
        <w:rPr>
          <w:rFonts w:hint="eastAsia" w:ascii="宋体"/>
          <w:color w:val="auto"/>
          <w:sz w:val="24"/>
          <w:szCs w:val="24"/>
          <w:highlight w:val="none"/>
        </w:rPr>
        <w:t xml:space="preserve">    </w:t>
      </w:r>
    </w:p>
    <w:p w14:paraId="17273EBE">
      <w:pPr>
        <w:snapToGrid w:val="0"/>
        <w:spacing w:line="560" w:lineRule="atLeast"/>
        <w:jc w:val="center"/>
        <w:rPr>
          <w:rFonts w:ascii="宋体"/>
          <w:color w:val="auto"/>
          <w:sz w:val="24"/>
          <w:highlight w:val="none"/>
        </w:rPr>
      </w:pPr>
    </w:p>
    <w:p w14:paraId="4FE37F80">
      <w:pPr>
        <w:widowControl w:val="0"/>
        <w:snapToGrid w:val="0"/>
        <w:spacing w:line="360" w:lineRule="auto"/>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（电子签章）：</w:t>
      </w:r>
    </w:p>
    <w:p w14:paraId="6D9E2B0B">
      <w:pPr>
        <w:widowControl w:val="0"/>
        <w:snapToGrid w:val="0"/>
        <w:spacing w:line="360" w:lineRule="auto"/>
        <w:textAlignment w:val="top"/>
        <w:rPr>
          <w:color w:val="auto"/>
          <w:sz w:val="24"/>
          <w:szCs w:val="24"/>
          <w:highlight w:val="none"/>
        </w:rPr>
      </w:pPr>
      <w:r>
        <w:rPr>
          <w:rFonts w:hint="eastAsia"/>
          <w:color w:val="auto"/>
          <w:sz w:val="24"/>
          <w:szCs w:val="24"/>
          <w:highlight w:val="none"/>
        </w:rPr>
        <w:t>法定代表人（电子签名或签章）：</w:t>
      </w:r>
    </w:p>
    <w:p w14:paraId="510DC57F">
      <w:pPr>
        <w:widowControl w:val="0"/>
        <w:snapToGrid w:val="0"/>
        <w:spacing w:line="360" w:lineRule="auto"/>
        <w:textAlignment w:val="top"/>
        <w:rPr>
          <w:color w:val="auto"/>
          <w:sz w:val="24"/>
          <w:szCs w:val="24"/>
          <w:highlight w:val="none"/>
        </w:rPr>
      </w:pPr>
      <w:r>
        <w:rPr>
          <w:rFonts w:hint="eastAsia"/>
          <w:color w:val="auto"/>
          <w:sz w:val="24"/>
          <w:szCs w:val="24"/>
          <w:highlight w:val="none"/>
        </w:rPr>
        <w:t>日期：</w:t>
      </w:r>
      <w:r>
        <w:rPr>
          <w:color w:val="auto"/>
          <w:sz w:val="24"/>
          <w:szCs w:val="24"/>
          <w:highlight w:val="none"/>
        </w:rPr>
        <w:t xml:space="preserve">  </w:t>
      </w:r>
      <w:r>
        <w:rPr>
          <w:rFonts w:hint="eastAsia"/>
          <w:color w:val="auto"/>
          <w:sz w:val="24"/>
          <w:szCs w:val="24"/>
          <w:highlight w:val="none"/>
        </w:rPr>
        <w:t>年</w:t>
      </w:r>
      <w:r>
        <w:rPr>
          <w:color w:val="auto"/>
          <w:sz w:val="24"/>
          <w:szCs w:val="24"/>
          <w:highlight w:val="none"/>
        </w:rPr>
        <w:t xml:space="preserve">   </w:t>
      </w:r>
      <w:r>
        <w:rPr>
          <w:rFonts w:hint="eastAsia"/>
          <w:color w:val="auto"/>
          <w:sz w:val="24"/>
          <w:szCs w:val="24"/>
          <w:highlight w:val="none"/>
        </w:rPr>
        <w:t>月</w:t>
      </w:r>
      <w:r>
        <w:rPr>
          <w:color w:val="auto"/>
          <w:sz w:val="24"/>
          <w:szCs w:val="24"/>
          <w:highlight w:val="none"/>
        </w:rPr>
        <w:t xml:space="preserve">   </w:t>
      </w:r>
      <w:r>
        <w:rPr>
          <w:rFonts w:hint="eastAsia"/>
          <w:color w:val="auto"/>
          <w:sz w:val="24"/>
          <w:szCs w:val="24"/>
          <w:highlight w:val="none"/>
        </w:rPr>
        <w:t>日</w:t>
      </w:r>
    </w:p>
    <w:p w14:paraId="2980DB34">
      <w:pPr>
        <w:widowControl w:val="0"/>
        <w:tabs>
          <w:tab w:val="left" w:pos="9365"/>
        </w:tabs>
        <w:snapToGrid w:val="0"/>
        <w:spacing w:after="56" w:line="560" w:lineRule="exact"/>
        <w:ind w:right="85"/>
        <w:jc w:val="center"/>
        <w:textAlignment w:val="top"/>
        <w:rPr>
          <w:rFonts w:ascii="黑体" w:hAnsi="黑体" w:eastAsia="黑体"/>
          <w:b/>
          <w:color w:val="auto"/>
          <w:sz w:val="30"/>
          <w:szCs w:val="30"/>
          <w:highlight w:val="none"/>
        </w:rPr>
      </w:pPr>
    </w:p>
    <w:p w14:paraId="64C886F1">
      <w:pPr>
        <w:snapToGrid w:val="0"/>
        <w:spacing w:line="560" w:lineRule="exact"/>
        <w:ind w:firstLine="555"/>
        <w:rPr>
          <w:rFonts w:ascii="宋体"/>
          <w:color w:val="auto"/>
          <w:sz w:val="24"/>
          <w:highlight w:val="none"/>
        </w:rPr>
      </w:pPr>
      <w:r>
        <w:rPr>
          <w:rFonts w:ascii="宋体" w:hAnsi="宋体"/>
          <w:color w:val="auto"/>
          <w:sz w:val="24"/>
          <w:highlight w:val="none"/>
        </w:rPr>
        <w:t xml:space="preserve">        </w:t>
      </w:r>
    </w:p>
    <w:p w14:paraId="47B048D9">
      <w:pPr>
        <w:snapToGrid w:val="0"/>
        <w:spacing w:line="560" w:lineRule="atLeast"/>
        <w:jc w:val="center"/>
        <w:rPr>
          <w:rFonts w:ascii="黑体" w:hAnsi="黑体" w:eastAsia="黑体"/>
          <w:b/>
          <w:color w:val="auto"/>
          <w:sz w:val="30"/>
          <w:szCs w:val="30"/>
          <w:highlight w:val="none"/>
        </w:rPr>
      </w:pPr>
    </w:p>
    <w:p w14:paraId="50342CAF">
      <w:pPr>
        <w:snapToGrid w:val="0"/>
        <w:spacing w:line="560" w:lineRule="atLeas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供应商负责人控股、设计等相关承诺书</w:t>
      </w:r>
    </w:p>
    <w:p w14:paraId="07B034A1">
      <w:pPr>
        <w:tabs>
          <w:tab w:val="left" w:pos="9365"/>
        </w:tabs>
        <w:spacing w:before="360" w:after="360" w:line="586" w:lineRule="atLeast"/>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 xml:space="preserve">(采购人名称）    </w:t>
      </w:r>
    </w:p>
    <w:p w14:paraId="2B79BA31">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采购活动中，我单位承诺满足以下要求：</w:t>
      </w:r>
    </w:p>
    <w:p w14:paraId="4B1C7D60">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一、单位负责人为同一人或者存在直接控股、管理关系的不同供应商，不参加同一合同项下的政府采购活动。</w:t>
      </w:r>
    </w:p>
    <w:p w14:paraId="6B4BC782">
      <w:pPr>
        <w:tabs>
          <w:tab w:val="left" w:pos="65"/>
        </w:tabs>
        <w:spacing w:line="7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二、没有为本项目提供整体设计、规范编制或者项目管理、监理、检测等服务。</w:t>
      </w:r>
    </w:p>
    <w:p w14:paraId="6C0DBBC2">
      <w:pPr>
        <w:tabs>
          <w:tab w:val="left" w:pos="9365"/>
        </w:tabs>
        <w:spacing w:before="57" w:after="57" w:line="586" w:lineRule="atLeast"/>
        <w:ind w:right="85" w:firstLine="480" w:firstLineChars="200"/>
        <w:jc w:val="left"/>
        <w:textAlignment w:val="top"/>
        <w:rPr>
          <w:rFonts w:ascii="宋体" w:hAnsi="宋体"/>
          <w:color w:val="auto"/>
          <w:sz w:val="24"/>
          <w:szCs w:val="24"/>
          <w:highlight w:val="none"/>
        </w:rPr>
      </w:pPr>
      <w:r>
        <w:rPr>
          <w:rFonts w:hint="eastAsia" w:ascii="宋体" w:hAnsi="宋体"/>
          <w:color w:val="auto"/>
          <w:sz w:val="24"/>
          <w:szCs w:val="24"/>
          <w:highlight w:val="none"/>
        </w:rPr>
        <w:t>三、若出现上述行为，我单位确</w:t>
      </w:r>
      <w:r>
        <w:rPr>
          <w:rFonts w:ascii="宋体" w:hAnsi="宋体"/>
          <w:color w:val="auto"/>
          <w:sz w:val="24"/>
          <w:szCs w:val="24"/>
          <w:highlight w:val="none"/>
        </w:rPr>
        <w:t>认投标无</w:t>
      </w:r>
      <w:r>
        <w:rPr>
          <w:rFonts w:hint="eastAsia" w:ascii="宋体" w:hAnsi="宋体"/>
          <w:color w:val="auto"/>
          <w:sz w:val="24"/>
          <w:szCs w:val="24"/>
          <w:highlight w:val="none"/>
        </w:rPr>
        <w:t>效、</w:t>
      </w:r>
      <w:r>
        <w:rPr>
          <w:rFonts w:ascii="宋体" w:hAnsi="宋体"/>
          <w:color w:val="auto"/>
          <w:sz w:val="24"/>
          <w:szCs w:val="24"/>
          <w:highlight w:val="none"/>
        </w:rPr>
        <w:t>承诺</w:t>
      </w:r>
      <w:r>
        <w:rPr>
          <w:rFonts w:hint="eastAsia" w:ascii="宋体" w:hAnsi="宋体"/>
          <w:color w:val="auto"/>
          <w:sz w:val="24"/>
          <w:szCs w:val="24"/>
          <w:highlight w:val="none"/>
        </w:rPr>
        <w:t>书</w:t>
      </w:r>
      <w:r>
        <w:rPr>
          <w:rFonts w:ascii="宋体" w:hAnsi="宋体"/>
          <w:color w:val="auto"/>
          <w:sz w:val="24"/>
          <w:szCs w:val="24"/>
          <w:highlight w:val="none"/>
        </w:rPr>
        <w:t>虚假</w:t>
      </w:r>
      <w:r>
        <w:rPr>
          <w:rFonts w:hint="eastAsia" w:ascii="宋体" w:hAnsi="宋体"/>
          <w:color w:val="auto"/>
          <w:sz w:val="24"/>
          <w:szCs w:val="24"/>
          <w:highlight w:val="none"/>
        </w:rPr>
        <w:t>，接受相关部门按照国家法律法规等有关规定对</w:t>
      </w:r>
      <w:r>
        <w:rPr>
          <w:rFonts w:ascii="宋体" w:hAnsi="宋体"/>
          <w:color w:val="auto"/>
          <w:sz w:val="24"/>
          <w:szCs w:val="24"/>
          <w:highlight w:val="none"/>
        </w:rPr>
        <w:t>我单位虚假承诺所</w:t>
      </w:r>
      <w:r>
        <w:rPr>
          <w:rFonts w:hint="eastAsia" w:ascii="宋体" w:hAnsi="宋体"/>
          <w:color w:val="auto"/>
          <w:sz w:val="24"/>
          <w:szCs w:val="24"/>
          <w:highlight w:val="none"/>
        </w:rPr>
        <w:t>给予的处理。</w:t>
      </w:r>
    </w:p>
    <w:p w14:paraId="534F71AF">
      <w:pPr>
        <w:tabs>
          <w:tab w:val="left" w:pos="9365"/>
        </w:tabs>
        <w:spacing w:before="57" w:after="57" w:line="586" w:lineRule="atLeast"/>
        <w:ind w:right="85"/>
        <w:jc w:val="left"/>
        <w:textAlignment w:val="top"/>
        <w:rPr>
          <w:rFonts w:ascii="宋体" w:hAnsi="宋体"/>
          <w:color w:val="auto"/>
          <w:sz w:val="24"/>
          <w:szCs w:val="24"/>
          <w:highlight w:val="none"/>
        </w:rPr>
      </w:pPr>
      <w:r>
        <w:rPr>
          <w:rFonts w:ascii="宋体" w:hAnsi="宋体"/>
          <w:color w:val="auto"/>
          <w:sz w:val="24"/>
          <w:szCs w:val="24"/>
          <w:highlight w:val="none"/>
        </w:rPr>
        <w:t> </w:t>
      </w:r>
    </w:p>
    <w:p w14:paraId="41419DBB">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highlight w:val="none"/>
        </w:rPr>
        <w:t>供应商</w:t>
      </w:r>
      <w:r>
        <w:rPr>
          <w:rFonts w:hint="eastAsia" w:ascii="宋体" w:hAnsi="宋体"/>
          <w:color w:val="auto"/>
          <w:sz w:val="24"/>
          <w:szCs w:val="24"/>
          <w:highlight w:val="none"/>
        </w:rPr>
        <w:t>（电子签章）：</w:t>
      </w:r>
    </w:p>
    <w:p w14:paraId="6F34CDED">
      <w:pPr>
        <w:snapToGrid w:val="0"/>
        <w:spacing w:before="100" w:beforeAutospacing="1" w:after="100" w:afterAutospacing="1" w:line="700" w:lineRule="exact"/>
        <w:ind w:right="641"/>
        <w:rPr>
          <w:rFonts w:ascii="宋体" w:hAnsi="宋体"/>
          <w:color w:val="auto"/>
          <w:sz w:val="24"/>
          <w:szCs w:val="24"/>
          <w:highlight w:val="none"/>
        </w:rPr>
      </w:pPr>
      <w:r>
        <w:rPr>
          <w:rFonts w:hint="eastAsia" w:ascii="宋体" w:hAnsi="宋体"/>
          <w:color w:val="auto"/>
          <w:sz w:val="24"/>
          <w:szCs w:val="24"/>
          <w:highlight w:val="none"/>
        </w:rPr>
        <w:t>法定代表人（电子签名或签章）：</w:t>
      </w:r>
    </w:p>
    <w:p w14:paraId="0B5A017D">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szCs w:val="24"/>
          <w:highlight w:val="none"/>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28E151D2">
      <w:pPr>
        <w:autoSpaceDE w:val="0"/>
        <w:autoSpaceDN w:val="0"/>
        <w:adjustRightInd w:val="0"/>
        <w:spacing w:line="360" w:lineRule="auto"/>
        <w:jc w:val="center"/>
        <w:rPr>
          <w:rFonts w:ascii="宋体"/>
          <w:color w:val="auto"/>
          <w:sz w:val="24"/>
          <w:szCs w:val="24"/>
          <w:highlight w:val="none"/>
        </w:rPr>
      </w:pPr>
    </w:p>
    <w:p w14:paraId="45E774FE">
      <w:pPr>
        <w:autoSpaceDE w:val="0"/>
        <w:autoSpaceDN w:val="0"/>
        <w:adjustRightInd w:val="0"/>
        <w:spacing w:line="360" w:lineRule="auto"/>
        <w:jc w:val="center"/>
        <w:rPr>
          <w:rFonts w:ascii="宋体"/>
          <w:color w:val="auto"/>
          <w:sz w:val="24"/>
          <w:szCs w:val="24"/>
          <w:highlight w:val="none"/>
        </w:rPr>
      </w:pPr>
    </w:p>
    <w:p w14:paraId="064C057C">
      <w:pPr>
        <w:autoSpaceDE w:val="0"/>
        <w:autoSpaceDN w:val="0"/>
        <w:adjustRightInd w:val="0"/>
        <w:spacing w:line="360" w:lineRule="auto"/>
        <w:jc w:val="center"/>
        <w:rPr>
          <w:rFonts w:ascii="宋体"/>
          <w:color w:val="auto"/>
          <w:sz w:val="24"/>
          <w:szCs w:val="24"/>
          <w:highlight w:val="none"/>
        </w:rPr>
      </w:pPr>
    </w:p>
    <w:p w14:paraId="54E5A742">
      <w:pPr>
        <w:autoSpaceDE w:val="0"/>
        <w:autoSpaceDN w:val="0"/>
        <w:adjustRightInd w:val="0"/>
        <w:spacing w:line="360" w:lineRule="auto"/>
        <w:jc w:val="center"/>
        <w:rPr>
          <w:rFonts w:ascii="宋体"/>
          <w:color w:val="auto"/>
          <w:sz w:val="24"/>
          <w:szCs w:val="24"/>
          <w:highlight w:val="none"/>
        </w:rPr>
      </w:pPr>
    </w:p>
    <w:p w14:paraId="15C3664D">
      <w:pPr>
        <w:autoSpaceDE w:val="0"/>
        <w:autoSpaceDN w:val="0"/>
        <w:adjustRightInd w:val="0"/>
        <w:spacing w:line="360" w:lineRule="auto"/>
        <w:jc w:val="center"/>
        <w:rPr>
          <w:rFonts w:hint="eastAsia" w:ascii="宋体"/>
          <w:color w:val="auto"/>
          <w:sz w:val="24"/>
          <w:szCs w:val="24"/>
          <w:highlight w:val="none"/>
        </w:rPr>
      </w:pPr>
      <w:r>
        <w:rPr>
          <w:rFonts w:ascii="宋体"/>
          <w:color w:val="auto"/>
          <w:sz w:val="24"/>
          <w:szCs w:val="24"/>
          <w:highlight w:val="none"/>
        </w:rPr>
        <w:br w:type="page"/>
      </w:r>
    </w:p>
    <w:p w14:paraId="61FD377F">
      <w:pPr>
        <w:autoSpaceDE w:val="0"/>
        <w:autoSpaceDN w:val="0"/>
        <w:adjustRightInd w:val="0"/>
        <w:spacing w:line="360" w:lineRule="auto"/>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投标承诺函</w:t>
      </w:r>
    </w:p>
    <w:p w14:paraId="2627AD2C">
      <w:pPr>
        <w:widowControl w:val="0"/>
        <w:autoSpaceDE w:val="0"/>
        <w:autoSpaceDN w:val="0"/>
        <w:adjustRightInd w:val="0"/>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（以投标承诺函形式，替代投标保证金的相关承诺事项）</w:t>
      </w:r>
    </w:p>
    <w:p w14:paraId="10815B14">
      <w:pPr>
        <w:widowControl w:val="0"/>
        <w:tabs>
          <w:tab w:val="left" w:pos="9365"/>
        </w:tabs>
        <w:spacing w:before="360" w:after="360" w:line="360" w:lineRule="auto"/>
        <w:ind w:right="85"/>
        <w:jc w:val="left"/>
        <w:textAlignment w:val="top"/>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w:t>
      </w:r>
      <w:r>
        <w:rPr>
          <w:rFonts w:hint="eastAsia" w:ascii="宋体" w:hAnsi="宋体"/>
          <w:color w:val="auto"/>
          <w:spacing w:val="11"/>
          <w:sz w:val="24"/>
          <w:szCs w:val="24"/>
          <w:highlight w:val="none"/>
          <w:u w:val="single"/>
        </w:rPr>
        <w:t>(采购人名称） 、</w:t>
      </w:r>
      <w:r>
        <w:rPr>
          <w:rFonts w:hint="eastAsia"/>
          <w:color w:val="auto"/>
          <w:sz w:val="24"/>
          <w:szCs w:val="24"/>
          <w:highlight w:val="none"/>
          <w:lang w:val="en-US" w:eastAsia="zh-CN"/>
        </w:rPr>
        <w:t>安阳</w:t>
      </w:r>
      <w:r>
        <w:rPr>
          <w:rFonts w:hint="eastAsia"/>
          <w:color w:val="auto"/>
          <w:sz w:val="24"/>
          <w:szCs w:val="24"/>
          <w:highlight w:val="none"/>
        </w:rPr>
        <w:t>市方正招标采购服务有限责任公司</w:t>
      </w:r>
    </w:p>
    <w:p w14:paraId="6558A735">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在项目编号为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 xml:space="preserve"> 采购活动中，我</w:t>
      </w:r>
      <w:r>
        <w:rPr>
          <w:rFonts w:hint="eastAsia"/>
          <w:color w:val="auto"/>
          <w:sz w:val="24"/>
          <w:highlight w:val="none"/>
        </w:rPr>
        <w:t>单位</w:t>
      </w:r>
      <w:r>
        <w:rPr>
          <w:rFonts w:hint="eastAsia" w:ascii="宋体" w:hAnsi="宋体"/>
          <w:color w:val="auto"/>
          <w:sz w:val="24"/>
          <w:szCs w:val="24"/>
          <w:highlight w:val="none"/>
        </w:rPr>
        <w:t>承诺：</w:t>
      </w:r>
    </w:p>
    <w:p w14:paraId="18E25C3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一、遵循公开、公平、公正和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的原则自愿参加本项目投标；</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二、在政府采购活动中提供真实、准确、有效、合法的材料，不</w:t>
      </w:r>
      <w:r>
        <w:rPr>
          <w:rFonts w:hint="eastAsia" w:ascii="宋体" w:hAnsi="宋体"/>
          <w:color w:val="auto"/>
          <w:sz w:val="24"/>
          <w:szCs w:val="24"/>
          <w:highlight w:val="none"/>
          <w:lang w:val="zh-CN"/>
        </w:rPr>
        <w:t>提供虚假材料；</w:t>
      </w:r>
    </w:p>
    <w:p w14:paraId="50AF8004">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三、</w:t>
      </w:r>
      <w:r>
        <w:rPr>
          <w:rFonts w:hint="eastAsia" w:ascii="宋体" w:hAnsi="宋体"/>
          <w:color w:val="auto"/>
          <w:sz w:val="24"/>
          <w:szCs w:val="24"/>
          <w:highlight w:val="none"/>
          <w:lang w:val="zh-CN"/>
        </w:rPr>
        <w:t>按照</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文件规定，在提交响应文件截止时间后，在</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文件规定的投标有效期限内不撤回响应文件；</w:t>
      </w:r>
    </w:p>
    <w:p w14:paraId="04934A77">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四、不</w:t>
      </w:r>
      <w:r>
        <w:rPr>
          <w:rFonts w:hint="eastAsia" w:ascii="宋体" w:hAnsi="宋体"/>
          <w:color w:val="auto"/>
          <w:sz w:val="24"/>
          <w:szCs w:val="24"/>
          <w:highlight w:val="none"/>
          <w:lang w:val="zh-CN"/>
        </w:rPr>
        <w:t>与其他供应商、采购人或采购代理机构串通或恶意串通。</w:t>
      </w:r>
    </w:p>
    <w:p w14:paraId="190B812F">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五、如我单位中标，</w:t>
      </w:r>
      <w:r>
        <w:rPr>
          <w:rFonts w:hint="eastAsia" w:ascii="宋体" w:hAnsi="宋体"/>
          <w:color w:val="auto"/>
          <w:sz w:val="24"/>
          <w:szCs w:val="24"/>
          <w:highlight w:val="none"/>
          <w:lang w:val="zh-CN"/>
        </w:rPr>
        <w:t>除不可抗拒力或</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文件认可的情形外</w:t>
      </w:r>
      <w:r>
        <w:rPr>
          <w:rFonts w:hint="eastAsia" w:ascii="宋体" w:hAnsi="宋体"/>
          <w:color w:val="auto"/>
          <w:sz w:val="24"/>
          <w:szCs w:val="24"/>
          <w:highlight w:val="none"/>
        </w:rPr>
        <w:t>，我单位承诺及时领取中标通知书，</w:t>
      </w:r>
      <w:r>
        <w:rPr>
          <w:rFonts w:hint="eastAsia" w:ascii="宋体" w:hAnsi="宋体"/>
          <w:color w:val="auto"/>
          <w:sz w:val="24"/>
          <w:szCs w:val="24"/>
          <w:highlight w:val="none"/>
          <w:lang w:val="zh-CN"/>
        </w:rPr>
        <w:t>在成交通知书规定时间、地点与采购人签订合同；</w:t>
      </w:r>
      <w:r>
        <w:rPr>
          <w:rFonts w:hint="eastAsia" w:ascii="宋体" w:hAnsi="宋体"/>
          <w:color w:val="auto"/>
          <w:sz w:val="24"/>
          <w:szCs w:val="24"/>
          <w:highlight w:val="none"/>
        </w:rPr>
        <w:br w:type="textWrapping"/>
      </w:r>
      <w:r>
        <w:rPr>
          <w:rFonts w:hint="eastAsia" w:ascii="宋体" w:hAnsi="宋体"/>
          <w:color w:val="auto"/>
          <w:sz w:val="24"/>
          <w:szCs w:val="24"/>
          <w:highlight w:val="none"/>
        </w:rPr>
        <w:t xml:space="preserve">    六、</w:t>
      </w:r>
      <w:r>
        <w:rPr>
          <w:rFonts w:hint="eastAsia" w:ascii="宋体" w:hAnsi="宋体"/>
          <w:color w:val="auto"/>
          <w:sz w:val="24"/>
          <w:szCs w:val="24"/>
          <w:highlight w:val="none"/>
          <w:lang w:val="zh-CN"/>
        </w:rPr>
        <w:t>遵守法律法规及</w:t>
      </w:r>
      <w:r>
        <w:rPr>
          <w:rFonts w:hint="eastAsia" w:ascii="宋体" w:hAnsi="宋体"/>
          <w:color w:val="auto"/>
          <w:sz w:val="24"/>
          <w:szCs w:val="24"/>
          <w:highlight w:val="none"/>
        </w:rPr>
        <w:t>磋商</w:t>
      </w:r>
      <w:r>
        <w:rPr>
          <w:rFonts w:hint="eastAsia" w:ascii="宋体" w:hAnsi="宋体"/>
          <w:color w:val="auto"/>
          <w:sz w:val="24"/>
          <w:szCs w:val="24"/>
          <w:highlight w:val="none"/>
          <w:lang w:val="zh-CN"/>
        </w:rPr>
        <w:t>文件规定的其他情况；</w:t>
      </w:r>
    </w:p>
    <w:p w14:paraId="6060DE25">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七、按磋商文件规定及时缴纳中标服务费。</w:t>
      </w:r>
    </w:p>
    <w:p w14:paraId="438D72D3">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八、违背上述承诺事项的，我单位无条件接受以下责任追究：</w:t>
      </w:r>
    </w:p>
    <w:p w14:paraId="3368B4F9">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（一）法定责任：</w:t>
      </w:r>
      <w:r>
        <w:rPr>
          <w:rFonts w:hint="eastAsia" w:ascii="宋体" w:hAnsi="宋体"/>
          <w:color w:val="auto"/>
          <w:sz w:val="24"/>
          <w:szCs w:val="24"/>
          <w:highlight w:val="none"/>
        </w:rPr>
        <w:t>按照政府采购相关法规，</w:t>
      </w:r>
      <w:r>
        <w:rPr>
          <w:rFonts w:hint="eastAsia" w:ascii="宋体" w:hAnsi="宋体"/>
          <w:color w:val="auto"/>
          <w:sz w:val="24"/>
          <w:szCs w:val="24"/>
          <w:highlight w:val="none"/>
          <w:lang w:val="zh-CN"/>
        </w:rPr>
        <w:t>处以罚款，列入不良行为记录名单，在一至三年内禁止参加政府采购活动，有违法所得的，并处没收违法所得，情节严重的，由工商行政管理机关（市场监督机关）吊销营业执照；构成犯罪的，依法追究刑事责任。</w:t>
      </w:r>
    </w:p>
    <w:p w14:paraId="56B19EF0">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给采购人及他人造成损失的，愿承担相应的赔偿责任。</w:t>
      </w:r>
    </w:p>
    <w:p w14:paraId="45F09BA2">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zh-CN"/>
        </w:rPr>
        <w:t>（二）违约责任：</w:t>
      </w:r>
      <w:r>
        <w:rPr>
          <w:rFonts w:hint="eastAsia" w:ascii="宋体" w:hAnsi="宋体"/>
          <w:color w:val="auto"/>
          <w:sz w:val="24"/>
          <w:szCs w:val="24"/>
          <w:highlight w:val="none"/>
        </w:rPr>
        <w:t xml:space="preserve"> </w:t>
      </w:r>
    </w:p>
    <w:p w14:paraId="65460AA5">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1、已中标的，中标（成交）无效；</w:t>
      </w:r>
    </w:p>
    <w:p w14:paraId="1E953A4D">
      <w:pPr>
        <w:widowControl w:val="0"/>
        <w:tabs>
          <w:tab w:val="left" w:pos="65"/>
        </w:tabs>
        <w:spacing w:line="460" w:lineRule="atLeas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rPr>
        <w:t>2、支付采购人违约标的预算金额2%的</w:t>
      </w:r>
      <w:r>
        <w:rPr>
          <w:rFonts w:hint="eastAsia" w:ascii="宋体" w:hAnsi="宋体"/>
          <w:color w:val="auto"/>
          <w:sz w:val="24"/>
          <w:szCs w:val="24"/>
          <w:highlight w:val="none"/>
          <w:lang w:val="zh-CN"/>
        </w:rPr>
        <w:t>违约金</w:t>
      </w:r>
      <w:r>
        <w:rPr>
          <w:rFonts w:hint="eastAsia" w:ascii="宋体" w:hAnsi="宋体"/>
          <w:color w:val="auto"/>
          <w:sz w:val="24"/>
          <w:szCs w:val="24"/>
          <w:highlight w:val="none"/>
        </w:rPr>
        <w:t>；</w:t>
      </w:r>
    </w:p>
    <w:p w14:paraId="403B643E">
      <w:pPr>
        <w:widowControl w:val="0"/>
        <w:tabs>
          <w:tab w:val="left" w:pos="65"/>
        </w:tabs>
        <w:spacing w:line="460" w:lineRule="atLeast"/>
        <w:ind w:firstLine="480" w:firstLineChars="200"/>
        <w:textAlignment w:val="auto"/>
        <w:rPr>
          <w:rFonts w:ascii="宋体" w:hAnsi="宋体"/>
          <w:color w:val="auto"/>
          <w:sz w:val="24"/>
          <w:szCs w:val="24"/>
          <w:highlight w:val="none"/>
          <w:lang w:val="zh-CN"/>
        </w:rPr>
      </w:pPr>
      <w:r>
        <w:rPr>
          <w:rFonts w:hint="eastAsia" w:ascii="宋体" w:hAnsi="宋体"/>
          <w:color w:val="auto"/>
          <w:sz w:val="24"/>
          <w:szCs w:val="24"/>
          <w:highlight w:val="none"/>
        </w:rPr>
        <w:t>3、中标后未缴中标服务费的，作为违约及违背</w:t>
      </w:r>
      <w:r>
        <w:rPr>
          <w:color w:val="auto"/>
          <w:highlight w:val="none"/>
        </w:rPr>
        <w:fldChar w:fldCharType="begin"/>
      </w:r>
      <w:r>
        <w:rPr>
          <w:color w:val="auto"/>
          <w:highlight w:val="none"/>
        </w:rPr>
        <w:instrText xml:space="preserve"> HYPERLINK "http://www.so.com/s?q=%E8%AF%9A%E5%AE%9E%E4%BF%A1%E7%94%A8&amp;ie=utf-8&amp;src=internal_wenda_recommend_textn" \t "https://wenda.so.com/q/_blank" </w:instrText>
      </w:r>
      <w:r>
        <w:rPr>
          <w:color w:val="auto"/>
          <w:highlight w:val="none"/>
        </w:rPr>
        <w:fldChar w:fldCharType="separate"/>
      </w:r>
      <w:r>
        <w:rPr>
          <w:rFonts w:hint="eastAsia" w:ascii="宋体" w:hAnsi="宋体"/>
          <w:color w:val="auto"/>
          <w:sz w:val="24"/>
          <w:szCs w:val="24"/>
          <w:highlight w:val="none"/>
        </w:rPr>
        <w:t>诚实信用</w:t>
      </w:r>
      <w:r>
        <w:rPr>
          <w:rFonts w:hint="eastAsia" w:ascii="宋体" w:hAnsi="宋体"/>
          <w:color w:val="auto"/>
          <w:sz w:val="24"/>
          <w:szCs w:val="24"/>
          <w:highlight w:val="none"/>
        </w:rPr>
        <w:fldChar w:fldCharType="end"/>
      </w:r>
      <w:r>
        <w:rPr>
          <w:rFonts w:hint="eastAsia" w:ascii="宋体" w:hAnsi="宋体"/>
          <w:color w:val="auto"/>
          <w:sz w:val="24"/>
          <w:szCs w:val="24"/>
          <w:highlight w:val="none"/>
        </w:rPr>
        <w:t>原则，在履行承诺前，代理机构将视我单位为失信企业、不予办理其后相关业务。</w:t>
      </w:r>
    </w:p>
    <w:p w14:paraId="76B4EB67">
      <w:pPr>
        <w:widowControl w:val="0"/>
        <w:autoSpaceDE w:val="0"/>
        <w:autoSpaceDN w:val="0"/>
        <w:adjustRightInd w:val="0"/>
        <w:spacing w:line="460" w:lineRule="atLeast"/>
        <w:ind w:left="-2" w:right="-817" w:hanging="149"/>
        <w:textAlignment w:val="auto"/>
        <w:rPr>
          <w:rFonts w:ascii="宋体" w:cs="楷体_GB2312"/>
          <w:color w:val="auto"/>
          <w:sz w:val="24"/>
          <w:highlight w:val="none"/>
          <w:lang w:val="zh-CN"/>
        </w:rPr>
      </w:pPr>
    </w:p>
    <w:p w14:paraId="3E6189C6">
      <w:pPr>
        <w:widowControl w:val="0"/>
        <w:tabs>
          <w:tab w:val="left" w:pos="9365"/>
        </w:tabs>
        <w:snapToGrid w:val="0"/>
        <w:spacing w:after="56" w:line="560" w:lineRule="exact"/>
        <w:ind w:right="85"/>
        <w:jc w:val="left"/>
        <w:textAlignment w:val="top"/>
        <w:rPr>
          <w:color w:val="auto"/>
          <w:sz w:val="24"/>
          <w:szCs w:val="24"/>
          <w:highlight w:val="none"/>
        </w:rPr>
      </w:pPr>
      <w:r>
        <w:rPr>
          <w:rFonts w:hint="eastAsia" w:ascii="宋体" w:hAnsi="宋体"/>
          <w:color w:val="auto"/>
          <w:sz w:val="24"/>
          <w:highlight w:val="none"/>
        </w:rPr>
        <w:t>供应商</w:t>
      </w:r>
      <w:r>
        <w:rPr>
          <w:rFonts w:hint="eastAsia"/>
          <w:color w:val="auto"/>
          <w:sz w:val="24"/>
          <w:szCs w:val="24"/>
          <w:highlight w:val="none"/>
        </w:rPr>
        <w:t>（电子签</w:t>
      </w:r>
      <w:r>
        <w:rPr>
          <w:rFonts w:hint="eastAsia" w:ascii="宋体" w:hAnsi="宋体"/>
          <w:color w:val="auto"/>
          <w:sz w:val="24"/>
          <w:szCs w:val="24"/>
          <w:highlight w:val="none"/>
        </w:rPr>
        <w:t>章</w:t>
      </w:r>
      <w:r>
        <w:rPr>
          <w:rFonts w:hint="eastAsia"/>
          <w:color w:val="auto"/>
          <w:sz w:val="24"/>
          <w:szCs w:val="24"/>
          <w:highlight w:val="none"/>
        </w:rPr>
        <w:t>）：</w:t>
      </w:r>
    </w:p>
    <w:p w14:paraId="63F849F3">
      <w:pPr>
        <w:widowControl w:val="0"/>
        <w:tabs>
          <w:tab w:val="left" w:pos="9365"/>
        </w:tabs>
        <w:snapToGrid w:val="0"/>
        <w:spacing w:after="56" w:line="560" w:lineRule="exact"/>
        <w:ind w:right="85"/>
        <w:jc w:val="left"/>
        <w:textAlignment w:val="top"/>
        <w:rPr>
          <w:color w:val="auto"/>
          <w:sz w:val="24"/>
          <w:szCs w:val="24"/>
          <w:highlight w:val="none"/>
        </w:rPr>
      </w:pPr>
      <w:r>
        <w:rPr>
          <w:rFonts w:hint="eastAsia"/>
          <w:color w:val="auto"/>
          <w:sz w:val="24"/>
          <w:szCs w:val="24"/>
          <w:highlight w:val="none"/>
        </w:rPr>
        <w:t>法定代表人（电子签名或签章）：</w:t>
      </w:r>
    </w:p>
    <w:p w14:paraId="392B7693">
      <w:pPr>
        <w:widowControl w:val="0"/>
        <w:autoSpaceDE w:val="0"/>
        <w:autoSpaceDN w:val="0"/>
        <w:adjustRightInd w:val="0"/>
        <w:spacing w:line="240" w:lineRule="auto"/>
        <w:ind w:right="-816"/>
        <w:textAlignment w:val="auto"/>
        <w:rPr>
          <w:color w:val="auto"/>
          <w:sz w:val="24"/>
          <w:szCs w:val="24"/>
          <w:highlight w:val="none"/>
          <w:lang w:val="zh-CN"/>
        </w:rPr>
      </w:pPr>
      <w:r>
        <w:rPr>
          <w:rFonts w:hint="eastAsia" w:ascii="宋体" w:hAnsi="宋体" w:cs="楷体_GB2312"/>
          <w:color w:val="auto"/>
          <w:sz w:val="24"/>
          <w:highlight w:val="none"/>
          <w:lang w:val="zh-CN"/>
        </w:rPr>
        <w:t>日期：</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年</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月</w:t>
      </w:r>
      <w:r>
        <w:rPr>
          <w:rFonts w:ascii="宋体" w:hAnsi="宋体" w:cs="楷体_GB2312"/>
          <w:color w:val="auto"/>
          <w:sz w:val="24"/>
          <w:highlight w:val="none"/>
          <w:lang w:val="zh-CN"/>
        </w:rPr>
        <w:t xml:space="preserve">   </w:t>
      </w:r>
      <w:r>
        <w:rPr>
          <w:rFonts w:hint="eastAsia" w:ascii="宋体" w:hAnsi="宋体" w:cs="楷体_GB2312"/>
          <w:color w:val="auto"/>
          <w:sz w:val="24"/>
          <w:highlight w:val="none"/>
          <w:lang w:val="zh-CN"/>
        </w:rPr>
        <w:t>日</w:t>
      </w:r>
    </w:p>
    <w:p w14:paraId="32AB7A91">
      <w:pPr>
        <w:autoSpaceDE w:val="0"/>
        <w:autoSpaceDN w:val="0"/>
        <w:adjustRightInd w:val="0"/>
        <w:spacing w:line="360" w:lineRule="auto"/>
        <w:jc w:val="center"/>
        <w:rPr>
          <w:rFonts w:ascii="宋体"/>
          <w:color w:val="auto"/>
          <w:sz w:val="24"/>
          <w:szCs w:val="24"/>
          <w:highlight w:val="none"/>
        </w:rPr>
      </w:pPr>
    </w:p>
    <w:p w14:paraId="3C64E03D">
      <w:pPr>
        <w:autoSpaceDE w:val="0"/>
        <w:autoSpaceDN w:val="0"/>
        <w:adjustRightInd w:val="0"/>
        <w:spacing w:line="360" w:lineRule="auto"/>
        <w:jc w:val="center"/>
        <w:rPr>
          <w:rFonts w:ascii="宋体"/>
          <w:color w:val="auto"/>
          <w:sz w:val="24"/>
          <w:szCs w:val="24"/>
          <w:highlight w:val="none"/>
        </w:rPr>
      </w:pPr>
    </w:p>
    <w:p w14:paraId="750ADAD3">
      <w:pPr>
        <w:autoSpaceDE w:val="0"/>
        <w:autoSpaceDN w:val="0"/>
        <w:adjustRightInd w:val="0"/>
        <w:spacing w:line="360" w:lineRule="auto"/>
        <w:rPr>
          <w:rFonts w:ascii="宋体"/>
          <w:color w:val="auto"/>
          <w:sz w:val="24"/>
          <w:szCs w:val="24"/>
          <w:highlight w:val="none"/>
        </w:rPr>
      </w:pPr>
    </w:p>
    <w:p w14:paraId="42522CE8">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十二、采购项目及服务要求所需的其他材料</w:t>
      </w:r>
    </w:p>
    <w:p w14:paraId="51671B4C">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7EE58947">
      <w:pPr>
        <w:widowControl w:val="0"/>
        <w:snapToGrid w:val="0"/>
        <w:spacing w:line="560" w:lineRule="exact"/>
        <w:ind w:firstLine="555"/>
        <w:rPr>
          <w:rFonts w:ascii="宋体"/>
          <w:color w:val="auto"/>
          <w:sz w:val="24"/>
          <w:szCs w:val="24"/>
          <w:highlight w:val="none"/>
        </w:rPr>
      </w:pPr>
    </w:p>
    <w:p w14:paraId="4E6CE53D">
      <w:pPr>
        <w:widowControl w:val="0"/>
        <w:snapToGrid w:val="0"/>
        <w:spacing w:line="560" w:lineRule="exact"/>
        <w:ind w:firstLine="555"/>
        <w:rPr>
          <w:rFonts w:ascii="宋体"/>
          <w:color w:val="auto"/>
          <w:sz w:val="24"/>
          <w:szCs w:val="24"/>
          <w:highlight w:val="none"/>
        </w:rPr>
      </w:pPr>
    </w:p>
    <w:p w14:paraId="1163DF42">
      <w:pPr>
        <w:widowControl w:val="0"/>
        <w:snapToGrid w:val="0"/>
        <w:spacing w:line="560" w:lineRule="exact"/>
        <w:ind w:firstLine="555"/>
        <w:rPr>
          <w:rFonts w:ascii="宋体"/>
          <w:color w:val="auto"/>
          <w:sz w:val="24"/>
          <w:szCs w:val="24"/>
          <w:highlight w:val="none"/>
        </w:rPr>
      </w:pPr>
    </w:p>
    <w:p w14:paraId="0CC54BFB">
      <w:pPr>
        <w:autoSpaceDE w:val="0"/>
        <w:autoSpaceDN w:val="0"/>
        <w:adjustRightInd w:val="0"/>
        <w:spacing w:line="360" w:lineRule="auto"/>
        <w:jc w:val="center"/>
        <w:rPr>
          <w:rFonts w:eastAsia="方正黑体简体"/>
          <w:b/>
          <w:color w:val="auto"/>
          <w:sz w:val="30"/>
          <w:szCs w:val="30"/>
          <w:highlight w:val="none"/>
        </w:rPr>
      </w:pPr>
    </w:p>
    <w:p w14:paraId="08032431">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十三、供应商须知所需的其他材料</w:t>
      </w:r>
    </w:p>
    <w:p w14:paraId="3E123B4C">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024910D8">
      <w:pPr>
        <w:autoSpaceDE w:val="0"/>
        <w:autoSpaceDN w:val="0"/>
        <w:adjustRightInd w:val="0"/>
        <w:spacing w:line="360" w:lineRule="auto"/>
        <w:jc w:val="center"/>
        <w:rPr>
          <w:rFonts w:ascii="宋体"/>
          <w:color w:val="auto"/>
          <w:sz w:val="24"/>
          <w:szCs w:val="24"/>
          <w:highlight w:val="none"/>
        </w:rPr>
      </w:pPr>
    </w:p>
    <w:p w14:paraId="39BF5F88">
      <w:pPr>
        <w:autoSpaceDE w:val="0"/>
        <w:autoSpaceDN w:val="0"/>
        <w:adjustRightInd w:val="0"/>
        <w:spacing w:line="360" w:lineRule="auto"/>
        <w:jc w:val="center"/>
        <w:rPr>
          <w:rFonts w:ascii="宋体"/>
          <w:color w:val="auto"/>
          <w:sz w:val="24"/>
          <w:szCs w:val="24"/>
          <w:highlight w:val="none"/>
        </w:rPr>
      </w:pPr>
    </w:p>
    <w:p w14:paraId="07186424">
      <w:pPr>
        <w:autoSpaceDE w:val="0"/>
        <w:autoSpaceDN w:val="0"/>
        <w:adjustRightInd w:val="0"/>
        <w:spacing w:line="360" w:lineRule="auto"/>
        <w:jc w:val="center"/>
        <w:rPr>
          <w:rFonts w:ascii="宋体"/>
          <w:color w:val="auto"/>
          <w:sz w:val="24"/>
          <w:szCs w:val="24"/>
          <w:highlight w:val="none"/>
        </w:rPr>
      </w:pPr>
    </w:p>
    <w:p w14:paraId="38C58F4E">
      <w:pPr>
        <w:autoSpaceDE w:val="0"/>
        <w:autoSpaceDN w:val="0"/>
        <w:adjustRightInd w:val="0"/>
        <w:spacing w:line="360" w:lineRule="auto"/>
        <w:jc w:val="center"/>
        <w:rPr>
          <w:rFonts w:eastAsia="方正黑体简体"/>
          <w:b/>
          <w:color w:val="auto"/>
          <w:sz w:val="30"/>
          <w:szCs w:val="30"/>
          <w:highlight w:val="none"/>
        </w:rPr>
      </w:pPr>
    </w:p>
    <w:p w14:paraId="2E0E6CAB">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十四、评审办法所需的其他材料</w:t>
      </w:r>
    </w:p>
    <w:p w14:paraId="1B41D730">
      <w:pPr>
        <w:widowControl w:val="0"/>
        <w:snapToGrid w:val="0"/>
        <w:spacing w:line="560" w:lineRule="exact"/>
        <w:ind w:firstLine="555"/>
        <w:rPr>
          <w:rFonts w:ascii="宋体"/>
          <w:color w:val="auto"/>
          <w:sz w:val="24"/>
          <w:szCs w:val="24"/>
          <w:highlight w:val="none"/>
        </w:rPr>
      </w:pPr>
      <w:r>
        <w:rPr>
          <w:rFonts w:hint="eastAsia" w:ascii="宋体" w:hAnsi="宋体"/>
          <w:color w:val="auto"/>
          <w:sz w:val="24"/>
          <w:szCs w:val="24"/>
          <w:highlight w:val="none"/>
        </w:rPr>
        <w:t>（按条款需要填列；并按条款要求</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章&gt;。条款中对</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章&gt;未作明确要求的，由法定代表人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19C451C7">
      <w:pPr>
        <w:autoSpaceDE w:val="0"/>
        <w:autoSpaceDN w:val="0"/>
        <w:adjustRightInd w:val="0"/>
        <w:spacing w:line="360" w:lineRule="auto"/>
        <w:jc w:val="center"/>
        <w:rPr>
          <w:rFonts w:ascii="宋体"/>
          <w:color w:val="auto"/>
          <w:sz w:val="24"/>
          <w:szCs w:val="24"/>
          <w:highlight w:val="none"/>
        </w:rPr>
      </w:pPr>
    </w:p>
    <w:p w14:paraId="739171CB">
      <w:pPr>
        <w:adjustRightInd w:val="0"/>
        <w:snapToGrid w:val="0"/>
        <w:spacing w:line="300" w:lineRule="auto"/>
        <w:textAlignment w:val="top"/>
        <w:rPr>
          <w:rFonts w:ascii="宋体"/>
          <w:color w:val="auto"/>
          <w:sz w:val="24"/>
          <w:szCs w:val="24"/>
          <w:highlight w:val="none"/>
        </w:rPr>
      </w:pPr>
    </w:p>
    <w:p w14:paraId="62E028B4">
      <w:pPr>
        <w:widowControl w:val="0"/>
        <w:snapToGrid w:val="0"/>
        <w:spacing w:line="560" w:lineRule="exact"/>
        <w:rPr>
          <w:rFonts w:ascii="黑体" w:hAnsi="黑体" w:eastAsia="黑体"/>
          <w:b/>
          <w:color w:val="auto"/>
          <w:sz w:val="30"/>
          <w:szCs w:val="30"/>
          <w:highlight w:val="none"/>
        </w:rPr>
      </w:pPr>
      <w:r>
        <w:rPr>
          <w:rFonts w:ascii="黑体" w:hAnsi="黑体" w:eastAsia="黑体"/>
          <w:b/>
          <w:color w:val="auto"/>
          <w:sz w:val="30"/>
          <w:szCs w:val="30"/>
          <w:highlight w:val="none"/>
        </w:rPr>
        <w:br w:type="page"/>
      </w:r>
      <w:r>
        <w:rPr>
          <w:rFonts w:hint="eastAsia" w:ascii="黑体" w:hAnsi="黑体" w:eastAsia="黑体"/>
          <w:b/>
          <w:color w:val="auto"/>
          <w:sz w:val="30"/>
          <w:szCs w:val="30"/>
          <w:highlight w:val="none"/>
        </w:rPr>
        <w:t>14-1附件：</w:t>
      </w:r>
    </w:p>
    <w:p w14:paraId="5A7A71AB">
      <w:pPr>
        <w:spacing w:line="360" w:lineRule="auto"/>
        <w:ind w:firstLine="562" w:firstLineChars="200"/>
        <w:jc w:val="left"/>
        <w:rPr>
          <w:rFonts w:ascii="宋体" w:hAnsi="宋体"/>
          <w:b/>
          <w:color w:val="auto"/>
          <w:sz w:val="28"/>
          <w:szCs w:val="28"/>
          <w:highlight w:val="none"/>
        </w:rPr>
      </w:pPr>
      <w:r>
        <w:rPr>
          <w:rFonts w:hint="eastAsia" w:ascii="宋体" w:hAnsi="宋体"/>
          <w:b/>
          <w:color w:val="auto"/>
          <w:sz w:val="28"/>
          <w:szCs w:val="28"/>
          <w:highlight w:val="none"/>
        </w:rPr>
        <w:t>供应商按照 “证明材料查询核验工作的清单及要求” （下述）提供核验材料。</w:t>
      </w:r>
    </w:p>
    <w:p w14:paraId="0014ECD2">
      <w:pPr>
        <w:spacing w:line="520" w:lineRule="exact"/>
        <w:rPr>
          <w:rFonts w:ascii="宋体" w:hAnsi="宋体"/>
          <w:color w:val="auto"/>
          <w:sz w:val="28"/>
          <w:szCs w:val="28"/>
          <w:highlight w:val="none"/>
        </w:rPr>
      </w:pPr>
    </w:p>
    <w:p w14:paraId="44AE4915">
      <w:pPr>
        <w:spacing w:line="520" w:lineRule="exact"/>
        <w:jc w:val="center"/>
        <w:rPr>
          <w:rFonts w:ascii="宋体" w:hAnsi="宋体"/>
          <w:color w:val="auto"/>
          <w:sz w:val="28"/>
          <w:szCs w:val="28"/>
          <w:highlight w:val="none"/>
        </w:rPr>
      </w:pPr>
      <w:r>
        <w:rPr>
          <w:rFonts w:hint="eastAsia" w:ascii="宋体" w:hAnsi="宋体"/>
          <w:color w:val="auto"/>
          <w:sz w:val="28"/>
          <w:szCs w:val="28"/>
          <w:highlight w:val="none"/>
        </w:rPr>
        <w:t>（核验材料需加盖供应商电子签章）</w:t>
      </w:r>
    </w:p>
    <w:p w14:paraId="6E5B5F2C">
      <w:pPr>
        <w:spacing w:line="520" w:lineRule="exact"/>
        <w:rPr>
          <w:rFonts w:ascii="宋体" w:hAnsi="宋体"/>
          <w:color w:val="auto"/>
          <w:sz w:val="28"/>
          <w:szCs w:val="28"/>
          <w:highlight w:val="none"/>
        </w:rPr>
      </w:pPr>
    </w:p>
    <w:p w14:paraId="09DCA68E">
      <w:pPr>
        <w:spacing w:line="520" w:lineRule="exact"/>
        <w:rPr>
          <w:rFonts w:ascii="宋体" w:hAnsi="宋体"/>
          <w:color w:val="auto"/>
          <w:sz w:val="28"/>
          <w:szCs w:val="28"/>
          <w:highlight w:val="none"/>
        </w:rPr>
      </w:pPr>
    </w:p>
    <w:p w14:paraId="35FCB9EA">
      <w:pPr>
        <w:spacing w:line="520" w:lineRule="exact"/>
        <w:jc w:val="center"/>
        <w:rPr>
          <w:rFonts w:ascii="黑体" w:hAnsi="黑体" w:eastAsia="黑体"/>
          <w:color w:val="auto"/>
          <w:sz w:val="36"/>
          <w:szCs w:val="36"/>
          <w:highlight w:val="none"/>
        </w:rPr>
      </w:pPr>
      <w:r>
        <w:rPr>
          <w:rFonts w:hint="eastAsia" w:ascii="黑体" w:hAnsi="黑体" w:eastAsia="黑体"/>
          <w:color w:val="auto"/>
          <w:sz w:val="36"/>
          <w:szCs w:val="36"/>
          <w:highlight w:val="none"/>
        </w:rPr>
        <w:t>证明材料查询核验工作的清单及要求</w:t>
      </w:r>
    </w:p>
    <w:p w14:paraId="25CD00E4">
      <w:pPr>
        <w:spacing w:line="360" w:lineRule="auto"/>
        <w:ind w:firstLine="560" w:firstLineChars="200"/>
        <w:jc w:val="left"/>
        <w:rPr>
          <w:rFonts w:ascii="宋体" w:hAnsi="宋体"/>
          <w:color w:val="auto"/>
          <w:sz w:val="28"/>
          <w:szCs w:val="28"/>
          <w:highlight w:val="none"/>
        </w:rPr>
      </w:pPr>
    </w:p>
    <w:p w14:paraId="267561F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一、响应文件所提供的证明材料中 、需网上公开查询核验的材料清单（依据2023年度监督检查工作指引网上公开查验网址）</w:t>
      </w:r>
    </w:p>
    <w:tbl>
      <w:tblPr>
        <w:tblStyle w:val="9"/>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119"/>
        <w:gridCol w:w="5699"/>
      </w:tblGrid>
      <w:tr w14:paraId="2C57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014FF3E2">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3119" w:type="dxa"/>
            <w:shd w:val="clear" w:color="auto" w:fill="auto"/>
            <w:vAlign w:val="center"/>
          </w:tcPr>
          <w:p w14:paraId="0ED4A61C">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名称</w:t>
            </w:r>
          </w:p>
        </w:tc>
        <w:tc>
          <w:tcPr>
            <w:tcW w:w="5699" w:type="dxa"/>
            <w:shd w:val="clear" w:color="auto" w:fill="auto"/>
            <w:vAlign w:val="center"/>
          </w:tcPr>
          <w:p w14:paraId="4CE2014F">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查验网址</w:t>
            </w:r>
          </w:p>
        </w:tc>
      </w:tr>
      <w:tr w14:paraId="6AF5D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1E886731">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3119" w:type="dxa"/>
            <w:shd w:val="clear" w:color="auto" w:fill="auto"/>
            <w:vAlign w:val="center"/>
          </w:tcPr>
          <w:p w14:paraId="6237FD59">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强制性</w:t>
            </w:r>
            <w:r>
              <w:rPr>
                <w:rFonts w:ascii="宋体" w:hAnsi="宋体"/>
                <w:color w:val="auto"/>
                <w:sz w:val="24"/>
                <w:szCs w:val="24"/>
                <w:highlight w:val="none"/>
              </w:rPr>
              <w:t>认证</w:t>
            </w:r>
          </w:p>
        </w:tc>
        <w:tc>
          <w:tcPr>
            <w:tcW w:w="5699" w:type="dxa"/>
            <w:shd w:val="clear" w:color="auto" w:fill="auto"/>
          </w:tcPr>
          <w:p w14:paraId="7FC301FB">
            <w:pPr>
              <w:spacing w:line="360" w:lineRule="auto"/>
              <w:rPr>
                <w:rFonts w:ascii="宋体" w:hAnsi="宋体"/>
                <w:color w:val="auto"/>
                <w:sz w:val="24"/>
                <w:szCs w:val="24"/>
                <w:highlight w:val="none"/>
              </w:rPr>
            </w:pPr>
            <w:r>
              <w:rPr>
                <w:color w:val="auto"/>
                <w:highlight w:val="none"/>
              </w:rPr>
              <w:fldChar w:fldCharType="begin"/>
            </w:r>
            <w:r>
              <w:rPr>
                <w:color w:val="auto"/>
                <w:highlight w:val="none"/>
              </w:rPr>
              <w:instrText xml:space="preserve"> HYPERLINK "http://cx.cnca.cn/CertECloud/index/index/page" </w:instrText>
            </w:r>
            <w:r>
              <w:rPr>
                <w:color w:val="auto"/>
                <w:highlight w:val="none"/>
              </w:rPr>
              <w:fldChar w:fldCharType="separate"/>
            </w:r>
            <w:r>
              <w:rPr>
                <w:rStyle w:val="12"/>
                <w:rFonts w:ascii="宋体" w:hAnsi="宋体"/>
                <w:color w:val="auto"/>
                <w:sz w:val="24"/>
                <w:szCs w:val="24"/>
                <w:highlight w:val="none"/>
              </w:rPr>
              <w:t>http</w:t>
            </w:r>
            <w:r>
              <w:rPr>
                <w:rStyle w:val="12"/>
                <w:rFonts w:hint="eastAsia" w:ascii="宋体" w:hAnsi="宋体"/>
                <w:color w:val="auto"/>
                <w:sz w:val="24"/>
                <w:szCs w:val="24"/>
                <w:highlight w:val="none"/>
              </w:rPr>
              <w:t>：</w:t>
            </w:r>
            <w:r>
              <w:rPr>
                <w:rStyle w:val="12"/>
                <w:rFonts w:ascii="宋体" w:hAnsi="宋体"/>
                <w:color w:val="auto"/>
                <w:sz w:val="24"/>
                <w:szCs w:val="24"/>
                <w:highlight w:val="none"/>
              </w:rPr>
              <w:t>//cx.cnca.cn/CertECloud/index/index/page</w:t>
            </w:r>
            <w:r>
              <w:rPr>
                <w:rStyle w:val="12"/>
                <w:rFonts w:ascii="宋体" w:hAnsi="宋体"/>
                <w:color w:val="auto"/>
                <w:sz w:val="24"/>
                <w:szCs w:val="24"/>
                <w:highlight w:val="none"/>
              </w:rPr>
              <w:fldChar w:fldCharType="end"/>
            </w:r>
          </w:p>
        </w:tc>
      </w:tr>
      <w:tr w14:paraId="47E4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3A82EE0B">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3119" w:type="dxa"/>
            <w:shd w:val="clear" w:color="auto" w:fill="auto"/>
            <w:vAlign w:val="center"/>
          </w:tcPr>
          <w:p w14:paraId="18CF2EED">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软件著作权</w:t>
            </w:r>
          </w:p>
        </w:tc>
        <w:tc>
          <w:tcPr>
            <w:tcW w:w="5699" w:type="dxa"/>
            <w:shd w:val="clear" w:color="auto" w:fill="auto"/>
          </w:tcPr>
          <w:p w14:paraId="059F762D">
            <w:pPr>
              <w:spacing w:line="360" w:lineRule="auto"/>
              <w:rPr>
                <w:rFonts w:ascii="宋体" w:hAnsi="宋体"/>
                <w:color w:val="auto"/>
                <w:sz w:val="24"/>
                <w:szCs w:val="24"/>
                <w:highlight w:val="none"/>
              </w:rPr>
            </w:pPr>
            <w:r>
              <w:rPr>
                <w:color w:val="auto"/>
                <w:highlight w:val="none"/>
              </w:rPr>
              <w:fldChar w:fldCharType="begin"/>
            </w:r>
            <w:r>
              <w:rPr>
                <w:color w:val="auto"/>
                <w:highlight w:val="none"/>
              </w:rPr>
              <w:instrText xml:space="preserve"> HYPERLINK "https://register.ccopyright.com.cn/query.html" </w:instrText>
            </w:r>
            <w:r>
              <w:rPr>
                <w:color w:val="auto"/>
                <w:highlight w:val="none"/>
              </w:rPr>
              <w:fldChar w:fldCharType="separate"/>
            </w:r>
            <w:r>
              <w:rPr>
                <w:rStyle w:val="12"/>
                <w:rFonts w:ascii="宋体" w:hAnsi="宋体"/>
                <w:color w:val="auto"/>
                <w:sz w:val="24"/>
                <w:szCs w:val="24"/>
                <w:highlight w:val="none"/>
              </w:rPr>
              <w:t>https://register.ccopyright.com.cn/query.html</w:t>
            </w:r>
            <w:r>
              <w:rPr>
                <w:rStyle w:val="12"/>
                <w:rFonts w:ascii="宋体" w:hAnsi="宋体"/>
                <w:color w:val="auto"/>
                <w:sz w:val="24"/>
                <w:szCs w:val="24"/>
                <w:highlight w:val="none"/>
              </w:rPr>
              <w:fldChar w:fldCharType="end"/>
            </w:r>
          </w:p>
        </w:tc>
      </w:tr>
      <w:tr w14:paraId="593D7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239797B3">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3</w:t>
            </w:r>
          </w:p>
        </w:tc>
        <w:tc>
          <w:tcPr>
            <w:tcW w:w="3119" w:type="dxa"/>
            <w:shd w:val="clear" w:color="auto" w:fill="auto"/>
            <w:vAlign w:val="center"/>
          </w:tcPr>
          <w:p w14:paraId="087D10B6">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检测报告</w:t>
            </w:r>
          </w:p>
        </w:tc>
        <w:tc>
          <w:tcPr>
            <w:tcW w:w="5699" w:type="dxa"/>
            <w:shd w:val="clear" w:color="auto" w:fill="auto"/>
          </w:tcPr>
          <w:p w14:paraId="06C8D90A">
            <w:pPr>
              <w:spacing w:line="360" w:lineRule="auto"/>
              <w:rPr>
                <w:rFonts w:ascii="宋体" w:hAnsi="宋体"/>
                <w:color w:val="auto"/>
                <w:sz w:val="24"/>
                <w:szCs w:val="24"/>
                <w:highlight w:val="none"/>
              </w:rPr>
            </w:pPr>
            <w:r>
              <w:rPr>
                <w:rFonts w:hint="eastAsia" w:ascii="宋体" w:hAnsi="宋体"/>
                <w:color w:val="auto"/>
                <w:sz w:val="24"/>
                <w:szCs w:val="24"/>
                <w:highlight w:val="none"/>
              </w:rPr>
              <w:t>优先检索市场监管总局的认证认可平台，其次检索检测机构官网。</w:t>
            </w:r>
          </w:p>
          <w:p w14:paraId="564C1A9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注：根据深圳市市场监督管理局计量认证处的复函显示，深圳市倍通检测股份有限公司、中检测试技术（广东）集团有限公司、信达检测技术(深圳) 有限公司自2020年7月7日起出具的检测报告均属于无效报告。</w:t>
            </w:r>
          </w:p>
        </w:tc>
      </w:tr>
      <w:tr w14:paraId="7EF1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0CB29C9F">
            <w:pPr>
              <w:spacing w:line="360" w:lineRule="auto"/>
              <w:jc w:val="center"/>
              <w:rPr>
                <w:rFonts w:hint="eastAsia" w:ascii="宋体" w:hAnsi="宋体"/>
                <w:color w:val="auto"/>
                <w:sz w:val="24"/>
                <w:szCs w:val="24"/>
                <w:highlight w:val="none"/>
              </w:rPr>
            </w:pPr>
            <w:r>
              <w:rPr>
                <w:rFonts w:hint="eastAsia" w:ascii="宋体" w:hAnsi="宋体"/>
                <w:color w:val="auto"/>
                <w:sz w:val="24"/>
                <w:szCs w:val="24"/>
                <w:highlight w:val="none"/>
              </w:rPr>
              <w:t>4</w:t>
            </w:r>
          </w:p>
        </w:tc>
        <w:tc>
          <w:tcPr>
            <w:tcW w:w="3119" w:type="dxa"/>
            <w:shd w:val="clear" w:color="auto" w:fill="auto"/>
            <w:vAlign w:val="center"/>
          </w:tcPr>
          <w:p w14:paraId="7F00E456">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社保缴费记录</w:t>
            </w:r>
          </w:p>
        </w:tc>
        <w:tc>
          <w:tcPr>
            <w:tcW w:w="5699" w:type="dxa"/>
            <w:shd w:val="clear" w:color="auto" w:fill="auto"/>
          </w:tcPr>
          <w:p w14:paraId="17697113">
            <w:pPr>
              <w:spacing w:line="360" w:lineRule="auto"/>
              <w:rPr>
                <w:rFonts w:ascii="宋体" w:hAnsi="宋体"/>
                <w:color w:val="auto"/>
                <w:sz w:val="24"/>
                <w:szCs w:val="24"/>
                <w:highlight w:val="none"/>
              </w:rPr>
            </w:pPr>
            <w:r>
              <w:rPr>
                <w:rFonts w:hint="eastAsia" w:ascii="宋体" w:hAnsi="宋体"/>
                <w:color w:val="auto"/>
                <w:sz w:val="24"/>
                <w:szCs w:val="24"/>
                <w:highlight w:val="none"/>
              </w:rPr>
              <w:t>缴费地人力资源和社会保障局官网。</w:t>
            </w:r>
          </w:p>
        </w:tc>
      </w:tr>
      <w:tr w14:paraId="1AA3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29D9CCE5">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5</w:t>
            </w:r>
          </w:p>
        </w:tc>
        <w:tc>
          <w:tcPr>
            <w:tcW w:w="8818" w:type="dxa"/>
            <w:gridSpan w:val="2"/>
            <w:shd w:val="clear" w:color="auto" w:fill="auto"/>
            <w:vAlign w:val="center"/>
          </w:tcPr>
          <w:p w14:paraId="381A29F6">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除上述外，投标人认为有必要的相关核实官方证明材料。（可选）</w:t>
            </w:r>
          </w:p>
        </w:tc>
      </w:tr>
    </w:tbl>
    <w:p w14:paraId="2A631F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二、本采购项目必要的其他核验证明材料（除监督检查工作指引网上公开查验网址外的）</w:t>
      </w:r>
    </w:p>
    <w:tbl>
      <w:tblPr>
        <w:tblStyle w:val="9"/>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270"/>
        <w:gridCol w:w="6548"/>
      </w:tblGrid>
      <w:tr w14:paraId="2613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57EBB081">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2270" w:type="dxa"/>
            <w:shd w:val="clear" w:color="auto" w:fill="auto"/>
            <w:vAlign w:val="center"/>
          </w:tcPr>
          <w:p w14:paraId="2B5F9479">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名称</w:t>
            </w:r>
          </w:p>
        </w:tc>
        <w:tc>
          <w:tcPr>
            <w:tcW w:w="6548" w:type="dxa"/>
            <w:shd w:val="clear" w:color="auto" w:fill="auto"/>
            <w:vAlign w:val="center"/>
          </w:tcPr>
          <w:p w14:paraId="0E22CAFE">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查验网址</w:t>
            </w:r>
          </w:p>
        </w:tc>
      </w:tr>
      <w:tr w14:paraId="5BB6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shd w:val="clear" w:color="auto" w:fill="auto"/>
            <w:vAlign w:val="center"/>
          </w:tcPr>
          <w:p w14:paraId="3A15646B">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270" w:type="dxa"/>
            <w:shd w:val="clear" w:color="auto" w:fill="auto"/>
            <w:vAlign w:val="center"/>
          </w:tcPr>
          <w:p w14:paraId="7C872A30">
            <w:pPr>
              <w:jc w:val="cente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ISO体系认证</w:t>
            </w:r>
          </w:p>
        </w:tc>
        <w:tc>
          <w:tcPr>
            <w:tcW w:w="6548" w:type="dxa"/>
            <w:shd w:val="clear" w:color="auto" w:fill="auto"/>
            <w:vAlign w:val="center"/>
          </w:tcPr>
          <w:p w14:paraId="7EDFEEF7">
            <w:pPr>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国家认证认可监督管理委员会“https://www.cnca.gov.cn/”</w:t>
            </w:r>
          </w:p>
        </w:tc>
      </w:tr>
    </w:tbl>
    <w:p w14:paraId="18BA1F1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三、对响应文件所提供的证明材料中、需网上查询核验的说明及要求。</w:t>
      </w:r>
    </w:p>
    <w:p w14:paraId="567C395C">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（一）响应文件中</w:t>
      </w:r>
    </w:p>
    <w:p w14:paraId="6EBA5807">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基于当前监督检查工作要求，为防范虚假材料，供应商应按本14-1附件“证明材料查询核验工作的清单及要求”列示的证明材料及对应网址（监督检查工作指引列示的网上公开查询核验网址）、对响应文件中所提供证明材料进行核验，并将查询结果截图作为所提供证明材料的附件，以佐证所提供证明材料的真实性。</w:t>
      </w:r>
    </w:p>
    <w:p w14:paraId="02614199">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响应文件中、对本14-1附件“证明材料查询核验工作的清单及要求”中的每份证明材料，均应在该证明材料后附对应的查询结果截图（并注明该截图的对应网址）、或查询异常情况说明资料。否则，磋商小组按缺少要件不予认可该份证明材料。</w:t>
      </w:r>
    </w:p>
    <w:p w14:paraId="4D0DE4B2">
      <w:pPr>
        <w:spacing w:line="360" w:lineRule="auto"/>
        <w:ind w:firstLine="532" w:firstLineChars="222"/>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、供应商查询异常情况的处理</w:t>
      </w:r>
    </w:p>
    <w:p w14:paraId="24FF7BE3">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1）供应商按本附件列示网址查询异常的，但供应商确保其真实性的，供应商应当单独对异常情况作出说明解释，并可提供同等及以上权威部门（政府职能部门或下属机构、或其公开的认可机构）的可公开验证的查询资料、以证实证明材料的真实性。</w:t>
      </w:r>
    </w:p>
    <w:p w14:paraId="666BA1D2">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供应商无法按本附件列示网址（监督检查工作指引列示的网上公开查询核验网址）核验响应文件中所提供证明材料的真实性的，无法确保证明材料真实性的，不建议投标，以免中标（成交）后，在质疑处理、监督检查等工作中核验不一致、被视为虚假材料而承责。</w:t>
      </w:r>
    </w:p>
    <w:p w14:paraId="3C213B7B">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（2）网站异常</w:t>
      </w:r>
    </w:p>
    <w:p w14:paraId="075014DC">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全国政务持续发展、持续革新的大好局面，供应商在按本附件列示网址查询核验时，如遇部分网站更新等无法查询情况时，需及时书面反馈（请按第一章采购公告联系方式书面反馈）。经核实会商、将对此证明材料的查询核验事项发布澄清修改公告。</w:t>
      </w:r>
    </w:p>
    <w:p w14:paraId="497B721D">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未发布查询核验事项的澄清修改公告的，为供应商自身原因的查询异常，请该供应商深入认真自查自身原因或向相应网站反馈解决。</w:t>
      </w:r>
    </w:p>
    <w:p w14:paraId="1F718648">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（3）网站异常产生的外在投标风险由供应商自行承担。</w:t>
      </w:r>
    </w:p>
    <w:p w14:paraId="381ECDDF">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（二）评审时的要件审核</w:t>
      </w:r>
    </w:p>
    <w:p w14:paraId="17EA26C4">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基于部分证明材料的查询核验需供应商（或个人）相关信息登录查询，基于评审工作保密性不具备查询条件等客观因素，评审中，磋商小组只对核验材料进行形式要件审核（评委对证明材料按采购文件要求进行详细评审），对核验材料的形式要件审核为：核对有无查询结果截图（或查询异常情况说明资料）、核对证明材料与查询结果截图的对应一致性。</w:t>
      </w:r>
    </w:p>
    <w:p w14:paraId="6ECEB441">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证明材料未附查询结果截图或查询异常情况说明资料的，磋商小组按缺少要件不予认可该份证明材料。</w:t>
      </w:r>
    </w:p>
    <w:p w14:paraId="52F31668">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三）在质疑处理（或其他工作要求）中，成交人（被质疑方）应当配合提供相应信息，以对响应文件中所提供证明材料进行核验工作（按照监督检查工作指引列示的网上公开查询核验网址进行核验）。如查询异常或虚假，均将上报监督部门按提供虚假材料规定给予处罚。</w:t>
      </w:r>
    </w:p>
    <w:p w14:paraId="7D48EAB6">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查询异常的，成交人如无其他权威证明，将视作提供虚假材料。</w:t>
      </w:r>
    </w:p>
    <w:p w14:paraId="0E0553D0">
      <w:pPr>
        <w:spacing w:line="360" w:lineRule="auto"/>
        <w:ind w:firstLine="532" w:firstLineChars="222"/>
        <w:rPr>
          <w:rFonts w:ascii="宋体" w:hAnsi="宋体"/>
          <w:color w:val="auto"/>
          <w:sz w:val="24"/>
          <w:szCs w:val="24"/>
          <w:highlight w:val="none"/>
        </w:rPr>
      </w:pPr>
      <w:r>
        <w:rPr>
          <w:rFonts w:hint="eastAsia" w:ascii="宋体" w:hAnsi="宋体"/>
          <w:color w:val="auto"/>
          <w:sz w:val="24"/>
          <w:szCs w:val="24"/>
          <w:highlight w:val="none"/>
        </w:rPr>
        <w:t>四、除本14-1附件列示的网上公开查询核验的材料清单外，对其他证明材料，在质疑处理（或其他工作要求）中，成交人应当提供证明材料原件以证实证明材料的真实性。</w:t>
      </w:r>
    </w:p>
    <w:p w14:paraId="400255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除本14-1附件列示的网上公开查询核验的材料清单外，对其他证明材料，基于质疑处理（或其他工作要求）的法定时效，调查取证的权限，依据政府采购相关法规依据书面材料评审的规定，对没有提供发证机关（单位）等相应权威机构证伪书面材料的质疑，对怀疑猜测事项，经核对原件后、将视为缺乏事实依据处理。</w:t>
      </w:r>
    </w:p>
    <w:p w14:paraId="0C9B22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五、供应商对响应文件中所提供证明材料及核验证明材料的真实性负责、自行承担相应责任。</w:t>
      </w:r>
    </w:p>
    <w:p w14:paraId="35EA7F9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核验过程中涉及供应商（或个人）自身账号、密码等信息时，供应商（或个人）应积极配合核验工作。</w:t>
      </w:r>
    </w:p>
    <w:p w14:paraId="1871BBBF">
      <w:pPr>
        <w:widowControl w:val="0"/>
        <w:snapToGrid w:val="0"/>
        <w:spacing w:line="560" w:lineRule="exact"/>
        <w:rPr>
          <w:rFonts w:eastAsia="方正黑体简体"/>
          <w:b/>
          <w:color w:val="auto"/>
          <w:sz w:val="30"/>
          <w:szCs w:val="30"/>
          <w:highlight w:val="none"/>
        </w:rPr>
      </w:pPr>
      <w:r>
        <w:rPr>
          <w:rFonts w:ascii="黑体" w:hAnsi="黑体" w:eastAsia="黑体"/>
          <w:b/>
          <w:color w:val="auto"/>
          <w:sz w:val="30"/>
          <w:szCs w:val="30"/>
          <w:highlight w:val="none"/>
        </w:rPr>
        <w:br w:type="page"/>
      </w:r>
      <w:r>
        <w:rPr>
          <w:rFonts w:eastAsia="方正黑体简体"/>
          <w:b/>
          <w:color w:val="auto"/>
          <w:sz w:val="30"/>
          <w:szCs w:val="30"/>
          <w:highlight w:val="none"/>
        </w:rPr>
        <w:t xml:space="preserve"> </w:t>
      </w:r>
    </w:p>
    <w:p w14:paraId="4391034B">
      <w:pPr>
        <w:autoSpaceDE w:val="0"/>
        <w:autoSpaceDN w:val="0"/>
        <w:adjustRightInd w:val="0"/>
        <w:spacing w:line="360" w:lineRule="auto"/>
        <w:rPr>
          <w:rFonts w:ascii="黑体" w:hAnsi="黑体" w:eastAsia="黑体"/>
          <w:b/>
          <w:color w:val="auto"/>
          <w:sz w:val="30"/>
          <w:szCs w:val="30"/>
          <w:highlight w:val="none"/>
        </w:rPr>
      </w:pPr>
      <w:r>
        <w:rPr>
          <w:rFonts w:hint="eastAsia" w:ascii="黑体" w:hAnsi="黑体" w:eastAsia="黑体"/>
          <w:b/>
          <w:color w:val="auto"/>
          <w:sz w:val="30"/>
          <w:szCs w:val="30"/>
          <w:highlight w:val="none"/>
        </w:rPr>
        <w:t>十五、供应商认为有必要提交的其它材料</w:t>
      </w:r>
    </w:p>
    <w:p w14:paraId="393D0474">
      <w:pPr>
        <w:autoSpaceDE w:val="0"/>
        <w:autoSpaceDN w:val="0"/>
        <w:adjustRightInd w:val="0"/>
        <w:spacing w:line="360" w:lineRule="auto"/>
        <w:jc w:val="center"/>
        <w:rPr>
          <w:rFonts w:ascii="宋体"/>
          <w:color w:val="auto"/>
          <w:sz w:val="24"/>
          <w:szCs w:val="24"/>
          <w:highlight w:val="none"/>
        </w:rPr>
      </w:pPr>
      <w:r>
        <w:rPr>
          <w:rFonts w:hint="eastAsia" w:ascii="宋体" w:hAnsi="宋体"/>
          <w:color w:val="auto"/>
          <w:sz w:val="24"/>
          <w:szCs w:val="24"/>
          <w:highlight w:val="none"/>
        </w:rPr>
        <w:t>（由法定代表人</w:t>
      </w:r>
      <w:r>
        <w:rPr>
          <w:rFonts w:hint="eastAsia" w:ascii="宋体" w:hAnsi="宋体" w:cs="楷体_GB2312"/>
          <w:color w:val="auto"/>
          <w:sz w:val="24"/>
          <w:highlight w:val="none"/>
          <w:lang w:val="zh-CN"/>
        </w:rPr>
        <w:t>电子签名&lt;签</w:t>
      </w:r>
      <w:r>
        <w:rPr>
          <w:rFonts w:hint="eastAsia" w:ascii="宋体" w:hAnsi="宋体"/>
          <w:color w:val="auto"/>
          <w:sz w:val="24"/>
          <w:szCs w:val="24"/>
          <w:highlight w:val="none"/>
        </w:rPr>
        <w:t>章&gt;或供应商</w:t>
      </w:r>
      <w:r>
        <w:rPr>
          <w:rFonts w:hint="eastAsia" w:ascii="宋体" w:hAnsi="宋体" w:cs="楷体_GB2312"/>
          <w:color w:val="auto"/>
          <w:sz w:val="24"/>
          <w:highlight w:val="none"/>
          <w:lang w:val="zh-CN"/>
        </w:rPr>
        <w:t>电子签</w:t>
      </w:r>
      <w:r>
        <w:rPr>
          <w:rFonts w:hint="eastAsia" w:ascii="宋体" w:hAnsi="宋体"/>
          <w:color w:val="auto"/>
          <w:sz w:val="24"/>
          <w:szCs w:val="24"/>
          <w:highlight w:val="none"/>
        </w:rPr>
        <w:t>章）</w:t>
      </w:r>
    </w:p>
    <w:p w14:paraId="4A5F526F">
      <w:pPr>
        <w:autoSpaceDE w:val="0"/>
        <w:autoSpaceDN w:val="0"/>
        <w:adjustRightInd w:val="0"/>
        <w:spacing w:line="360" w:lineRule="auto"/>
        <w:ind w:left="-2" w:right="-817" w:hanging="149"/>
        <w:rPr>
          <w:rFonts w:ascii="宋体" w:cs="楷体_GB2312"/>
          <w:color w:val="auto"/>
          <w:sz w:val="24"/>
          <w:highlight w:val="none"/>
        </w:rPr>
      </w:pPr>
    </w:p>
    <w:p w14:paraId="3C07657A">
      <w:pPr>
        <w:spacing w:line="588" w:lineRule="exact"/>
        <w:jc w:val="center"/>
        <w:rPr>
          <w:rFonts w:eastAsia="方正黑体简体"/>
          <w:b/>
          <w:color w:val="auto"/>
          <w:sz w:val="30"/>
          <w:szCs w:val="30"/>
          <w:highlight w:val="none"/>
        </w:rPr>
      </w:pPr>
      <w:r>
        <w:rPr>
          <w:rFonts w:eastAsia="方正黑体简体"/>
          <w:b/>
          <w:color w:val="auto"/>
          <w:sz w:val="30"/>
          <w:szCs w:val="30"/>
          <w:highlight w:val="none"/>
        </w:rPr>
        <w:br w:type="page"/>
      </w:r>
    </w:p>
    <w:p w14:paraId="1EF22B75">
      <w:pPr>
        <w:spacing w:line="588" w:lineRule="exact"/>
        <w:jc w:val="center"/>
        <w:rPr>
          <w:rFonts w:ascii="黑体" w:hAnsi="黑体" w:eastAsia="黑体"/>
          <w:b/>
          <w:color w:val="auto"/>
          <w:sz w:val="30"/>
          <w:szCs w:val="30"/>
          <w:highlight w:val="none"/>
        </w:rPr>
      </w:pPr>
      <w:r>
        <w:rPr>
          <w:rFonts w:hint="eastAsia" w:ascii="黑体" w:hAnsi="黑体" w:eastAsia="黑体"/>
          <w:b/>
          <w:color w:val="auto"/>
          <w:sz w:val="30"/>
          <w:szCs w:val="30"/>
          <w:highlight w:val="none"/>
        </w:rPr>
        <w:t>十六、</w:t>
      </w:r>
      <w:r>
        <w:rPr>
          <w:rFonts w:ascii="黑体" w:hAnsi="黑体" w:eastAsia="黑体"/>
          <w:b/>
          <w:color w:val="auto"/>
          <w:sz w:val="30"/>
          <w:szCs w:val="30"/>
          <w:highlight w:val="none"/>
        </w:rPr>
        <w:t>中小企业声明函</w:t>
      </w:r>
      <w:r>
        <w:rPr>
          <w:rFonts w:hint="eastAsia" w:ascii="黑体" w:hAnsi="黑体" w:eastAsia="黑体"/>
          <w:b/>
          <w:color w:val="auto"/>
          <w:sz w:val="30"/>
          <w:szCs w:val="30"/>
          <w:highlight w:val="none"/>
        </w:rPr>
        <w:t xml:space="preserve"> </w:t>
      </w:r>
      <w:r>
        <w:rPr>
          <w:rFonts w:hint="eastAsia" w:ascii="宋体" w:hAnsi="宋体" w:cs="MingLiU"/>
          <w:color w:val="auto"/>
          <w:spacing w:val="30"/>
          <w:sz w:val="24"/>
          <w:szCs w:val="24"/>
          <w:highlight w:val="none"/>
        </w:rPr>
        <w:t>（如有）</w:t>
      </w:r>
      <w:r>
        <w:rPr>
          <w:rFonts w:hint="eastAsia" w:ascii="黑体" w:hAnsi="黑体" w:eastAsia="黑体"/>
          <w:b/>
          <w:color w:val="auto"/>
          <w:sz w:val="30"/>
          <w:szCs w:val="30"/>
          <w:highlight w:val="none"/>
        </w:rPr>
        <w:t xml:space="preserve"> </w:t>
      </w:r>
    </w:p>
    <w:p w14:paraId="333302E6">
      <w:pPr>
        <w:pStyle w:val="17"/>
        <w:shd w:val="clear" w:color="auto" w:fill="auto"/>
        <w:spacing w:after="0" w:line="518" w:lineRule="exact"/>
        <w:ind w:firstLine="680"/>
        <w:jc w:val="both"/>
        <w:rPr>
          <w:rFonts w:ascii="宋体" w:hAnsi="宋体" w:eastAsia="宋体"/>
          <w:color w:val="auto"/>
          <w:sz w:val="24"/>
          <w:szCs w:val="24"/>
          <w:highlight w:val="none"/>
        </w:rPr>
      </w:pPr>
    </w:p>
    <w:p w14:paraId="4234E5FE">
      <w:pPr>
        <w:pStyle w:val="17"/>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本公司（联合体）郑重声明，根据《政府采购促进中小企业发展管理办法》（财库〔2020〕46号）的规定，本公司 (联合体</w:t>
      </w:r>
      <w:r>
        <w:rPr>
          <w:rFonts w:ascii="宋体" w:hAnsi="宋体" w:eastAsia="宋体"/>
          <w:i/>
          <w:color w:val="auto"/>
          <w:sz w:val="24"/>
          <w:szCs w:val="24"/>
          <w:highlight w:val="none"/>
        </w:rPr>
        <w:t>）</w:t>
      </w:r>
      <w:r>
        <w:rPr>
          <w:rStyle w:val="18"/>
          <w:rFonts w:ascii="宋体" w:hAnsi="宋体" w:eastAsia="宋体"/>
          <w:i w:val="0"/>
          <w:color w:val="auto"/>
          <w:sz w:val="24"/>
          <w:szCs w:val="24"/>
          <w:highlight w:val="none"/>
        </w:rPr>
        <w:t>参加</w:t>
      </w:r>
      <w:r>
        <w:rPr>
          <w:rStyle w:val="18"/>
          <w:rFonts w:ascii="宋体" w:hAnsi="宋体" w:eastAsia="宋体"/>
          <w:i w:val="0"/>
          <w:color w:val="auto"/>
          <w:sz w:val="24"/>
          <w:szCs w:val="24"/>
          <w:highlight w:val="none"/>
          <w:u w:val="single"/>
        </w:rPr>
        <w:t>（单位名称）</w:t>
      </w:r>
      <w:r>
        <w:rPr>
          <w:rStyle w:val="18"/>
          <w:rFonts w:ascii="宋体" w:hAnsi="宋体" w:eastAsia="宋体"/>
          <w:i w:val="0"/>
          <w:color w:val="auto"/>
          <w:sz w:val="24"/>
          <w:szCs w:val="24"/>
          <w:highlight w:val="none"/>
        </w:rPr>
        <w:t>的</w:t>
      </w:r>
      <w:r>
        <w:rPr>
          <w:rStyle w:val="18"/>
          <w:rFonts w:ascii="宋体" w:hAnsi="宋体" w:eastAsia="宋体"/>
          <w:i w:val="0"/>
          <w:color w:val="auto"/>
          <w:sz w:val="24"/>
          <w:szCs w:val="24"/>
          <w:highlight w:val="none"/>
          <w:u w:val="single"/>
        </w:rPr>
        <w:t>（项目名称）</w:t>
      </w:r>
      <w:r>
        <w:rPr>
          <w:rStyle w:val="18"/>
          <w:rFonts w:ascii="宋体" w:hAnsi="宋体" w:eastAsia="宋体"/>
          <w:i w:val="0"/>
          <w:color w:val="auto"/>
          <w:sz w:val="24"/>
          <w:szCs w:val="24"/>
          <w:highlight w:val="none"/>
        </w:rPr>
        <w:t>采购活动，</w:t>
      </w:r>
      <w:r>
        <w:rPr>
          <w:rFonts w:hint="eastAsia" w:ascii="宋体" w:hAnsi="宋体" w:eastAsia="宋体"/>
          <w:color w:val="auto"/>
          <w:sz w:val="24"/>
          <w:szCs w:val="24"/>
          <w:highlight w:val="none"/>
        </w:rPr>
        <w:t>服务</w:t>
      </w:r>
      <w:r>
        <w:rPr>
          <w:rFonts w:ascii="宋体" w:hAnsi="宋体" w:eastAsia="宋体"/>
          <w:color w:val="auto"/>
          <w:sz w:val="24"/>
          <w:szCs w:val="24"/>
          <w:highlight w:val="none"/>
        </w:rPr>
        <w:t>全部</w:t>
      </w:r>
      <w:r>
        <w:rPr>
          <w:rFonts w:hint="eastAsia" w:ascii="宋体" w:hAnsi="宋体" w:eastAsia="宋体"/>
          <w:color w:val="auto"/>
          <w:sz w:val="24"/>
          <w:szCs w:val="24"/>
          <w:highlight w:val="none"/>
        </w:rPr>
        <w:t>由</w:t>
      </w:r>
      <w:r>
        <w:rPr>
          <w:rFonts w:ascii="宋体" w:hAnsi="宋体" w:eastAsia="宋体"/>
          <w:color w:val="auto"/>
          <w:sz w:val="24"/>
          <w:szCs w:val="24"/>
          <w:highlight w:val="none"/>
        </w:rPr>
        <w:t>符合政策要求的中小企业</w:t>
      </w:r>
      <w:r>
        <w:rPr>
          <w:rFonts w:hint="eastAsia" w:ascii="宋体" w:hAnsi="宋体" w:eastAsia="宋体"/>
          <w:color w:val="auto"/>
          <w:sz w:val="24"/>
          <w:szCs w:val="24"/>
          <w:highlight w:val="none"/>
        </w:rPr>
        <w:t>承接</w:t>
      </w:r>
      <w:r>
        <w:rPr>
          <w:rFonts w:ascii="宋体" w:hAnsi="宋体" w:eastAsia="宋体"/>
          <w:color w:val="auto"/>
          <w:sz w:val="24"/>
          <w:szCs w:val="24"/>
          <w:highlight w:val="none"/>
        </w:rPr>
        <w:t>。相关企业</w:t>
      </w:r>
      <w:r>
        <w:rPr>
          <w:rFonts w:ascii="宋体" w:hAnsi="宋体" w:eastAsia="宋体"/>
          <w:color w:val="auto"/>
          <w:sz w:val="24"/>
          <w:szCs w:val="24"/>
          <w:highlight w:val="none"/>
          <w:lang w:bidi="en-US"/>
        </w:rPr>
        <w:t>（</w:t>
      </w:r>
      <w:r>
        <w:rPr>
          <w:rFonts w:ascii="宋体" w:hAnsi="宋体" w:eastAsia="宋体"/>
          <w:color w:val="auto"/>
          <w:sz w:val="24"/>
          <w:szCs w:val="24"/>
          <w:highlight w:val="none"/>
        </w:rPr>
        <w:t>含联合体中的中小企业、签订分包意向协议的中小企业）的具体情况如下：</w:t>
      </w:r>
    </w:p>
    <w:p w14:paraId="70355663">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w:t>
      </w:r>
      <w:r>
        <w:rPr>
          <w:rFonts w:hint="eastAsia" w:ascii="宋体" w:hAnsi="宋体"/>
          <w:color w:val="auto"/>
          <w:sz w:val="24"/>
          <w:szCs w:val="24"/>
          <w:highlight w:val="none"/>
        </w:rPr>
        <w:t>接</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vertAlign w:val="superscript"/>
        </w:rPr>
        <w:t>1</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04885EC3">
      <w:pPr>
        <w:spacing w:line="588"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iCs/>
          <w:color w:val="auto"/>
          <w:sz w:val="24"/>
          <w:szCs w:val="24"/>
          <w:highlight w:val="none"/>
          <w:u w:val="single"/>
        </w:rPr>
        <w:t>(标的名称)</w:t>
      </w:r>
      <w:r>
        <w:rPr>
          <w:rFonts w:ascii="宋体" w:hAnsi="宋体"/>
          <w:iCs/>
          <w:color w:val="auto"/>
          <w:sz w:val="24"/>
          <w:szCs w:val="24"/>
          <w:highlight w:val="none"/>
        </w:rPr>
        <w:t>，</w:t>
      </w:r>
      <w:r>
        <w:rPr>
          <w:rFonts w:ascii="宋体" w:hAnsi="宋体"/>
          <w:color w:val="auto"/>
          <w:sz w:val="24"/>
          <w:szCs w:val="24"/>
          <w:highlight w:val="none"/>
        </w:rPr>
        <w:t>属于</w:t>
      </w:r>
      <w:r>
        <w:rPr>
          <w:rFonts w:ascii="宋体" w:hAnsi="宋体"/>
          <w:iCs/>
          <w:color w:val="auto"/>
          <w:sz w:val="24"/>
          <w:szCs w:val="24"/>
          <w:highlight w:val="none"/>
          <w:u w:val="single"/>
        </w:rPr>
        <w:t>（采购文件中明确的所属行业)</w:t>
      </w:r>
      <w:r>
        <w:rPr>
          <w:rFonts w:hint="eastAsia" w:ascii="宋体" w:hAnsi="宋体"/>
          <w:iCs/>
          <w:color w:val="auto"/>
          <w:sz w:val="24"/>
          <w:szCs w:val="24"/>
          <w:highlight w:val="none"/>
        </w:rPr>
        <w:t>，</w:t>
      </w:r>
      <w:r>
        <w:rPr>
          <w:rFonts w:ascii="宋体" w:hAnsi="宋体"/>
          <w:color w:val="auto"/>
          <w:sz w:val="24"/>
          <w:szCs w:val="24"/>
          <w:highlight w:val="none"/>
        </w:rPr>
        <w:t>承</w:t>
      </w:r>
      <w:r>
        <w:rPr>
          <w:rFonts w:hint="eastAsia" w:ascii="宋体" w:hAnsi="宋体"/>
          <w:color w:val="auto"/>
          <w:sz w:val="24"/>
          <w:szCs w:val="24"/>
          <w:highlight w:val="none"/>
        </w:rPr>
        <w:t>接</w:t>
      </w:r>
      <w:r>
        <w:rPr>
          <w:rFonts w:ascii="宋体" w:hAnsi="宋体"/>
          <w:iCs/>
          <w:color w:val="auto"/>
          <w:sz w:val="24"/>
          <w:szCs w:val="24"/>
          <w:highlight w:val="none"/>
        </w:rPr>
        <w:t>企业为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w:t>
      </w:r>
      <w:r>
        <w:rPr>
          <w:rFonts w:ascii="宋体" w:hAnsi="宋体"/>
          <w:iCs/>
          <w:color w:val="auto"/>
          <w:sz w:val="24"/>
          <w:szCs w:val="24"/>
          <w:highlight w:val="none"/>
        </w:rPr>
        <w:t>入为</w:t>
      </w:r>
      <w:r>
        <w:rPr>
          <w:rFonts w:ascii="宋体" w:hAnsi="宋体"/>
          <w:iCs/>
          <w:color w:val="auto"/>
          <w:sz w:val="24"/>
          <w:szCs w:val="24"/>
          <w:highlight w:val="none"/>
          <w:u w:val="single"/>
        </w:rPr>
        <w:t>_</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rPr>
        <w:t>万元，资产总额为</w:t>
      </w:r>
      <w:r>
        <w:rPr>
          <w:rFonts w:hint="eastAsia" w:ascii="宋体" w:hAnsi="宋体"/>
          <w:iCs/>
          <w:color w:val="auto"/>
          <w:sz w:val="24"/>
          <w:szCs w:val="24"/>
          <w:highlight w:val="none"/>
          <w:u w:val="single"/>
        </w:rPr>
        <w:t xml:space="preserve">    </w:t>
      </w:r>
      <w:r>
        <w:rPr>
          <w:rFonts w:ascii="宋体" w:hAnsi="宋体"/>
          <w:iCs/>
          <w:color w:val="auto"/>
          <w:sz w:val="24"/>
          <w:szCs w:val="24"/>
          <w:highlight w:val="none"/>
          <w:u w:val="single"/>
        </w:rPr>
        <w:t>_</w:t>
      </w:r>
      <w:r>
        <w:rPr>
          <w:rFonts w:ascii="宋体" w:hAnsi="宋体"/>
          <w:iCs/>
          <w:color w:val="auto"/>
          <w:sz w:val="24"/>
          <w:szCs w:val="24"/>
          <w:highlight w:val="none"/>
        </w:rPr>
        <w:t>万元</w:t>
      </w:r>
      <w:r>
        <w:rPr>
          <w:rFonts w:hint="eastAsia" w:ascii="宋体" w:hAnsi="宋体"/>
          <w:iCs/>
          <w:color w:val="auto"/>
          <w:sz w:val="24"/>
          <w:szCs w:val="24"/>
          <w:highlight w:val="none"/>
        </w:rPr>
        <w:t>，按采购文件中明确的所属行业</w:t>
      </w:r>
      <w:r>
        <w:rPr>
          <w:rFonts w:ascii="宋体" w:hAnsi="宋体"/>
          <w:color w:val="auto"/>
          <w:sz w:val="24"/>
          <w:szCs w:val="24"/>
          <w:highlight w:val="none"/>
        </w:rPr>
        <w:t>属于</w:t>
      </w:r>
      <w:r>
        <w:rPr>
          <w:rFonts w:ascii="宋体" w:hAnsi="宋体"/>
          <w:iCs/>
          <w:color w:val="auto"/>
          <w:sz w:val="24"/>
          <w:szCs w:val="24"/>
          <w:highlight w:val="none"/>
          <w:u w:val="single"/>
        </w:rPr>
        <w:t>（中型企业、小型企业、微型企业）</w:t>
      </w:r>
      <w:r>
        <w:rPr>
          <w:rFonts w:hint="eastAsia" w:ascii="宋体" w:hAnsi="宋体"/>
          <w:color w:val="auto"/>
          <w:sz w:val="24"/>
          <w:szCs w:val="24"/>
          <w:highlight w:val="none"/>
        </w:rPr>
        <w:t>；</w:t>
      </w:r>
    </w:p>
    <w:p w14:paraId="1CDC401A">
      <w:pPr>
        <w:pStyle w:val="17"/>
        <w:shd w:val="clear" w:color="auto" w:fill="auto"/>
        <w:spacing w:after="0" w:line="518" w:lineRule="exact"/>
        <w:ind w:firstLine="680"/>
        <w:jc w:val="both"/>
        <w:rPr>
          <w:rFonts w:ascii="宋体" w:hAnsi="宋体" w:eastAsia="宋体"/>
          <w:color w:val="auto"/>
          <w:sz w:val="24"/>
          <w:szCs w:val="24"/>
          <w:highlight w:val="none"/>
        </w:rPr>
      </w:pPr>
      <w:r>
        <w:rPr>
          <w:rFonts w:hint="eastAsia" w:ascii="宋体" w:hAnsi="宋体" w:eastAsia="宋体"/>
          <w:color w:val="auto"/>
          <w:sz w:val="24"/>
          <w:szCs w:val="24"/>
          <w:highlight w:val="none"/>
        </w:rPr>
        <w:t>……</w:t>
      </w:r>
    </w:p>
    <w:p w14:paraId="247667FA">
      <w:pPr>
        <w:pStyle w:val="17"/>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以上企业，不属于大企业的分支机构，不存在控股股东为大企业的情形，也不存在与大企业的负责人为同一人的情形。</w:t>
      </w:r>
    </w:p>
    <w:p w14:paraId="284D8871">
      <w:pPr>
        <w:pStyle w:val="17"/>
        <w:shd w:val="clear" w:color="auto" w:fill="auto"/>
        <w:spacing w:after="0" w:line="518" w:lineRule="exact"/>
        <w:ind w:firstLine="680"/>
        <w:jc w:val="both"/>
        <w:rPr>
          <w:rFonts w:ascii="宋体" w:hAnsi="宋体" w:eastAsia="宋体"/>
          <w:color w:val="auto"/>
          <w:sz w:val="24"/>
          <w:szCs w:val="24"/>
          <w:highlight w:val="none"/>
        </w:rPr>
      </w:pPr>
      <w:r>
        <w:rPr>
          <w:rFonts w:ascii="宋体" w:hAnsi="宋体" w:eastAsia="宋体"/>
          <w:color w:val="auto"/>
          <w:sz w:val="24"/>
          <w:szCs w:val="24"/>
          <w:highlight w:val="none"/>
        </w:rPr>
        <w:t>本企业对上述声明内容的真实性负责。如有虚假，将依法承担相应责任。</w:t>
      </w:r>
    </w:p>
    <w:p w14:paraId="0BDF40CE">
      <w:pPr>
        <w:pStyle w:val="17"/>
        <w:shd w:val="clear" w:color="auto" w:fill="auto"/>
        <w:spacing w:after="228" w:line="300" w:lineRule="exact"/>
        <w:ind w:left="3900"/>
        <w:rPr>
          <w:rFonts w:ascii="宋体" w:hAnsi="宋体" w:eastAsia="宋体"/>
          <w:color w:val="auto"/>
          <w:sz w:val="24"/>
          <w:szCs w:val="24"/>
          <w:highlight w:val="none"/>
        </w:rPr>
      </w:pPr>
    </w:p>
    <w:p w14:paraId="627BECED">
      <w:pPr>
        <w:pStyle w:val="17"/>
        <w:shd w:val="clear" w:color="auto" w:fill="auto"/>
        <w:spacing w:after="228" w:line="300" w:lineRule="exact"/>
        <w:ind w:firstLine="4536" w:firstLineChars="1512"/>
        <w:rPr>
          <w:rFonts w:ascii="宋体" w:hAnsi="宋体" w:eastAsia="宋体"/>
          <w:color w:val="auto"/>
          <w:sz w:val="24"/>
          <w:szCs w:val="24"/>
          <w:highlight w:val="none"/>
        </w:rPr>
      </w:pPr>
      <w:r>
        <w:rPr>
          <w:rFonts w:ascii="宋体" w:hAnsi="宋体" w:eastAsia="宋体"/>
          <w:color w:val="auto"/>
          <w:sz w:val="24"/>
          <w:szCs w:val="24"/>
          <w:highlight w:val="none"/>
        </w:rPr>
        <w:t>企业名称（盖章</w:t>
      </w:r>
      <w:r>
        <w:rPr>
          <w:rFonts w:ascii="宋体" w:hAnsi="宋体" w:eastAsia="宋体"/>
          <w:color w:val="auto"/>
          <w:sz w:val="24"/>
          <w:szCs w:val="24"/>
          <w:highlight w:val="none"/>
          <w:lang w:bidi="en-US"/>
        </w:rPr>
        <w:t>）</w:t>
      </w:r>
    </w:p>
    <w:p w14:paraId="74D2F8AE">
      <w:pPr>
        <w:autoSpaceDE w:val="0"/>
        <w:autoSpaceDN w:val="0"/>
        <w:adjustRightInd w:val="0"/>
        <w:spacing w:line="360" w:lineRule="auto"/>
        <w:ind w:firstLine="4536" w:firstLineChars="1890"/>
        <w:jc w:val="left"/>
        <w:rPr>
          <w:rFonts w:ascii="宋体" w:hAnsi="宋体"/>
          <w:color w:val="auto"/>
          <w:sz w:val="24"/>
          <w:szCs w:val="24"/>
          <w:highlight w:val="none"/>
        </w:rPr>
      </w:pPr>
      <w:r>
        <w:rPr>
          <w:rFonts w:ascii="宋体" w:hAnsi="宋体"/>
          <w:color w:val="auto"/>
          <w:sz w:val="24"/>
          <w:szCs w:val="24"/>
          <w:highlight w:val="none"/>
        </w:rPr>
        <w:t>日期：</w:t>
      </w:r>
    </w:p>
    <w:p w14:paraId="17AF1BE9">
      <w:pPr>
        <w:autoSpaceDE w:val="0"/>
        <w:autoSpaceDN w:val="0"/>
        <w:adjustRightInd w:val="0"/>
        <w:spacing w:line="360" w:lineRule="auto"/>
        <w:jc w:val="center"/>
        <w:rPr>
          <w:rFonts w:ascii="宋体" w:hAnsi="宋体"/>
          <w:color w:val="auto"/>
          <w:sz w:val="24"/>
          <w:szCs w:val="24"/>
          <w:highlight w:val="none"/>
        </w:rPr>
      </w:pPr>
    </w:p>
    <w:p w14:paraId="055D2192">
      <w:pPr>
        <w:autoSpaceDE w:val="0"/>
        <w:autoSpaceDN w:val="0"/>
        <w:adjustRightInd w:val="0"/>
        <w:spacing w:line="360" w:lineRule="auto"/>
        <w:jc w:val="center"/>
        <w:rPr>
          <w:rFonts w:ascii="宋体" w:hAnsi="宋体"/>
          <w:color w:val="auto"/>
          <w:sz w:val="24"/>
          <w:szCs w:val="24"/>
          <w:highlight w:val="none"/>
        </w:rPr>
      </w:pPr>
    </w:p>
    <w:p w14:paraId="5C741605">
      <w:pPr>
        <w:widowControl w:val="0"/>
        <w:tabs>
          <w:tab w:val="left" w:pos="9365"/>
        </w:tabs>
        <w:snapToGrid w:val="0"/>
        <w:spacing w:after="56" w:line="240" w:lineRule="auto"/>
        <w:ind w:right="85"/>
        <w:jc w:val="center"/>
        <w:textAlignment w:val="top"/>
        <w:rPr>
          <w:rStyle w:val="20"/>
          <w:rFonts w:ascii="宋体" w:hAnsi="宋体" w:eastAsia="宋体"/>
          <w:color w:val="auto"/>
          <w:highlight w:val="none"/>
        </w:rPr>
      </w:pPr>
      <w:r>
        <w:rPr>
          <w:rFonts w:hint="eastAsia" w:ascii="宋体" w:hAnsi="宋体"/>
          <w:color w:val="auto"/>
          <w:sz w:val="18"/>
          <w:szCs w:val="18"/>
          <w:highlight w:val="none"/>
        </w:rPr>
        <w:t>注：1、</w:t>
      </w:r>
      <w:r>
        <w:rPr>
          <w:rStyle w:val="19"/>
          <w:rFonts w:ascii="宋体" w:hAnsi="宋体" w:eastAsia="宋体"/>
          <w:color w:val="auto"/>
          <w:sz w:val="18"/>
          <w:szCs w:val="18"/>
          <w:highlight w:val="none"/>
          <w:vertAlign w:val="superscript"/>
        </w:rPr>
        <w:t>1</w:t>
      </w:r>
      <w:r>
        <w:rPr>
          <w:rStyle w:val="20"/>
          <w:rFonts w:ascii="宋体" w:hAnsi="宋体" w:eastAsia="宋体"/>
          <w:color w:val="auto"/>
          <w:highlight w:val="none"/>
        </w:rPr>
        <w:t>从业人员、营业收入、资产总额填报上一年度数据，无上一年度数据的新成立企业可不填报</w:t>
      </w:r>
      <w:r>
        <w:rPr>
          <w:rStyle w:val="20"/>
          <w:rFonts w:hint="eastAsia" w:ascii="宋体" w:hAnsi="宋体" w:eastAsia="宋体"/>
          <w:color w:val="auto"/>
          <w:highlight w:val="none"/>
        </w:rPr>
        <w:t>。</w:t>
      </w:r>
    </w:p>
    <w:p w14:paraId="0B090015">
      <w:pPr>
        <w:spacing w:line="240" w:lineRule="auto"/>
        <w:ind w:left="181" w:leftChars="86" w:firstLine="270" w:firstLineChars="150"/>
        <w:rPr>
          <w:rFonts w:ascii="宋体" w:hAnsi="宋体"/>
          <w:color w:val="auto"/>
          <w:sz w:val="18"/>
          <w:szCs w:val="18"/>
          <w:highlight w:val="none"/>
        </w:rPr>
      </w:pPr>
      <w:r>
        <w:rPr>
          <w:rStyle w:val="20"/>
          <w:rFonts w:hint="eastAsia" w:ascii="宋体" w:hAnsi="宋体" w:eastAsia="宋体"/>
          <w:color w:val="auto"/>
          <w:highlight w:val="none"/>
        </w:rPr>
        <w:t>2、磋商文件中未标注“专门面向中小企业采购”的未预留（非预留）项目，供应商可以根据自身情况提供《中小企业声明函》，未提供《中小企业声明函》的、将不享受小微企业价格扣除扶持政策。</w:t>
      </w:r>
    </w:p>
    <w:p w14:paraId="28EC4CD4">
      <w:pPr>
        <w:widowControl w:val="0"/>
        <w:tabs>
          <w:tab w:val="left" w:pos="9365"/>
        </w:tabs>
        <w:snapToGrid w:val="0"/>
        <w:spacing w:after="56" w:line="560" w:lineRule="exact"/>
        <w:ind w:right="85"/>
        <w:jc w:val="center"/>
        <w:textAlignment w:val="top"/>
        <w:rPr>
          <w:rStyle w:val="20"/>
          <w:rFonts w:ascii="宋体" w:hAnsi="宋体" w:eastAsia="宋体"/>
          <w:color w:val="auto"/>
          <w:szCs w:val="21"/>
          <w:highlight w:val="none"/>
          <w:lang w:val="en-US"/>
        </w:rPr>
      </w:pPr>
    </w:p>
    <w:p w14:paraId="695618F4">
      <w:pPr>
        <w:spacing w:line="588" w:lineRule="exact"/>
        <w:rPr>
          <w:rFonts w:ascii="黑体" w:hAnsi="黑体" w:eastAsia="黑体"/>
          <w:b/>
          <w:color w:val="auto"/>
          <w:sz w:val="30"/>
          <w:szCs w:val="30"/>
          <w:highlight w:val="none"/>
        </w:rPr>
      </w:pPr>
    </w:p>
    <w:p w14:paraId="3484367A">
      <w:pPr>
        <w:spacing w:line="588" w:lineRule="exact"/>
        <w:rPr>
          <w:rFonts w:ascii="黑体" w:hAnsi="黑体" w:eastAsia="黑体"/>
          <w:b/>
          <w:color w:val="auto"/>
          <w:sz w:val="30"/>
          <w:szCs w:val="30"/>
          <w:highlight w:val="none"/>
        </w:rPr>
      </w:pPr>
    </w:p>
    <w:p w14:paraId="19893FF4">
      <w:pPr>
        <w:spacing w:line="240" w:lineRule="auto"/>
        <w:jc w:val="center"/>
        <w:textAlignment w:val="auto"/>
        <w:rPr>
          <w:rFonts w:ascii="黑体" w:hAnsi="黑体" w:eastAsia="黑体"/>
          <w:b/>
          <w:color w:val="auto"/>
          <w:sz w:val="30"/>
          <w:szCs w:val="30"/>
          <w:highlight w:val="none"/>
        </w:rPr>
      </w:pPr>
      <w:r>
        <w:rPr>
          <w:rFonts w:hint="eastAsia" w:ascii="黑体" w:hAnsi="黑体" w:eastAsia="黑体"/>
          <w:b/>
          <w:color w:val="auto"/>
          <w:sz w:val="30"/>
          <w:szCs w:val="30"/>
          <w:highlight w:val="none"/>
        </w:rPr>
        <w:t>残疾人福利性单位声明函</w:t>
      </w:r>
      <w:r>
        <w:rPr>
          <w:rFonts w:hint="eastAsia" w:ascii="宋体" w:hAnsi="宋体"/>
          <w:color w:val="auto"/>
          <w:spacing w:val="6"/>
          <w:sz w:val="24"/>
          <w:szCs w:val="24"/>
          <w:highlight w:val="none"/>
        </w:rPr>
        <w:t>（如符合条件时填写</w:t>
      </w:r>
      <w:r>
        <w:rPr>
          <w:rFonts w:hint="eastAsia" w:ascii="宋体" w:hAnsi="宋体"/>
          <w:color w:val="auto"/>
          <w:spacing w:val="6"/>
          <w:sz w:val="28"/>
          <w:szCs w:val="28"/>
          <w:highlight w:val="none"/>
          <w:vertAlign w:val="superscript"/>
        </w:rPr>
        <w:t>*</w:t>
      </w:r>
      <w:r>
        <w:rPr>
          <w:rFonts w:hint="eastAsia" w:ascii="宋体" w:hAnsi="宋体"/>
          <w:color w:val="auto"/>
          <w:spacing w:val="6"/>
          <w:sz w:val="24"/>
          <w:szCs w:val="24"/>
          <w:highlight w:val="none"/>
        </w:rPr>
        <w:t>）</w:t>
      </w:r>
    </w:p>
    <w:p w14:paraId="7064CC2D">
      <w:pPr>
        <w:spacing w:line="588" w:lineRule="exact"/>
        <w:rPr>
          <w:rFonts w:ascii="仿宋_GB2312" w:eastAsia="仿宋_GB2312"/>
          <w:b/>
          <w:color w:val="auto"/>
          <w:spacing w:val="6"/>
          <w:sz w:val="30"/>
          <w:szCs w:val="30"/>
          <w:highlight w:val="none"/>
        </w:rPr>
      </w:pPr>
    </w:p>
    <w:p w14:paraId="26C89D04">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color w:val="auto"/>
          <w:sz w:val="24"/>
          <w:szCs w:val="24"/>
          <w:highlight w:val="none"/>
        </w:rPr>
        <w:t>〔2017〕141</w:t>
      </w:r>
      <w:r>
        <w:rPr>
          <w:rFonts w:hint="eastAsia" w:ascii="宋体" w:hAnsi="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E5853A">
      <w:pPr>
        <w:spacing w:line="588" w:lineRule="exact"/>
        <w:ind w:firstLine="504" w:firstLineChars="200"/>
        <w:rPr>
          <w:rFonts w:ascii="宋体" w:hAnsi="宋体"/>
          <w:color w:val="auto"/>
          <w:spacing w:val="6"/>
          <w:sz w:val="24"/>
          <w:szCs w:val="24"/>
          <w:highlight w:val="none"/>
        </w:rPr>
      </w:pPr>
      <w:r>
        <w:rPr>
          <w:rFonts w:hint="eastAsia" w:ascii="宋体" w:hAnsi="宋体"/>
          <w:color w:val="auto"/>
          <w:spacing w:val="6"/>
          <w:sz w:val="24"/>
          <w:szCs w:val="24"/>
          <w:highlight w:val="none"/>
        </w:rPr>
        <w:t>本单位对上述声明的真实性负责。如有虚假，将依法承担相应责任。</w:t>
      </w:r>
    </w:p>
    <w:p w14:paraId="3D399E05">
      <w:pPr>
        <w:spacing w:line="588" w:lineRule="exact"/>
        <w:ind w:firstLine="504" w:firstLineChars="200"/>
        <w:rPr>
          <w:rFonts w:ascii="宋体" w:hAnsi="宋体"/>
          <w:color w:val="auto"/>
          <w:spacing w:val="6"/>
          <w:sz w:val="24"/>
          <w:szCs w:val="24"/>
          <w:highlight w:val="none"/>
        </w:rPr>
      </w:pPr>
    </w:p>
    <w:p w14:paraId="7ABB5824">
      <w:pPr>
        <w:spacing w:line="588" w:lineRule="exact"/>
        <w:ind w:firstLine="504" w:firstLineChars="200"/>
        <w:rPr>
          <w:rFonts w:ascii="宋体" w:hAnsi="宋体"/>
          <w:color w:val="auto"/>
          <w:spacing w:val="6"/>
          <w:sz w:val="24"/>
          <w:szCs w:val="24"/>
          <w:highlight w:val="none"/>
        </w:rPr>
      </w:pPr>
    </w:p>
    <w:p w14:paraId="49E87CD9">
      <w:pPr>
        <w:spacing w:line="588" w:lineRule="exact"/>
        <w:ind w:firstLine="504" w:firstLineChars="200"/>
        <w:rPr>
          <w:rFonts w:ascii="宋体" w:hAnsi="宋体"/>
          <w:color w:val="auto"/>
          <w:spacing w:val="6"/>
          <w:sz w:val="24"/>
          <w:szCs w:val="24"/>
          <w:highlight w:val="none"/>
        </w:rPr>
      </w:pPr>
    </w:p>
    <w:p w14:paraId="5AF8CFFC">
      <w:pPr>
        <w:snapToGrid w:val="0"/>
        <w:spacing w:before="100" w:beforeAutospacing="1" w:after="100" w:afterAutospacing="1" w:line="700" w:lineRule="exact"/>
        <w:ind w:right="641" w:firstLine="4960" w:firstLineChars="2067"/>
        <w:rPr>
          <w:rFonts w:ascii="宋体" w:hAnsi="宋体"/>
          <w:color w:val="auto"/>
          <w:sz w:val="24"/>
          <w:szCs w:val="24"/>
          <w:highlight w:val="none"/>
        </w:rPr>
      </w:pPr>
      <w:r>
        <w:rPr>
          <w:rFonts w:hint="eastAsia" w:ascii="宋体" w:hAnsi="宋体"/>
          <w:color w:val="auto"/>
          <w:sz w:val="24"/>
          <w:szCs w:val="24"/>
          <w:highlight w:val="none"/>
        </w:rPr>
        <w:t>单位名称</w:t>
      </w:r>
      <w:r>
        <w:rPr>
          <w:rFonts w:ascii="宋体" w:hAnsi="宋体"/>
          <w:color w:val="auto"/>
          <w:sz w:val="24"/>
          <w:szCs w:val="24"/>
          <w:highlight w:val="none"/>
        </w:rPr>
        <w:t>（盖章</w:t>
      </w:r>
      <w:r>
        <w:rPr>
          <w:rFonts w:ascii="宋体" w:hAnsi="宋体"/>
          <w:color w:val="auto"/>
          <w:sz w:val="24"/>
          <w:szCs w:val="24"/>
          <w:highlight w:val="none"/>
          <w:lang w:bidi="en-US"/>
        </w:rPr>
        <w:t>）</w:t>
      </w:r>
      <w:r>
        <w:rPr>
          <w:rFonts w:hint="eastAsia" w:ascii="宋体" w:hAnsi="宋体"/>
          <w:color w:val="auto"/>
          <w:sz w:val="24"/>
          <w:szCs w:val="24"/>
          <w:highlight w:val="none"/>
        </w:rPr>
        <w:t>：</w:t>
      </w:r>
    </w:p>
    <w:p w14:paraId="18D33129">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r>
        <w:rPr>
          <w:rFonts w:hint="eastAsia" w:ascii="宋体" w:hAnsi="宋体"/>
          <w:color w:val="auto"/>
          <w:sz w:val="24"/>
          <w:szCs w:val="24"/>
          <w:highlight w:val="none"/>
        </w:rPr>
        <w:t>日期：</w:t>
      </w:r>
    </w:p>
    <w:p w14:paraId="31CD1D28">
      <w:pPr>
        <w:snapToGrid w:val="0"/>
        <w:spacing w:before="100" w:beforeAutospacing="1" w:after="100" w:afterAutospacing="1" w:line="540" w:lineRule="exact"/>
        <w:ind w:right="85" w:firstLine="5016" w:firstLineChars="2090"/>
        <w:jc w:val="left"/>
        <w:textAlignment w:val="top"/>
        <w:rPr>
          <w:rFonts w:ascii="宋体" w:hAnsi="宋体"/>
          <w:color w:val="auto"/>
          <w:sz w:val="24"/>
          <w:szCs w:val="24"/>
          <w:highlight w:val="none"/>
        </w:rPr>
      </w:pPr>
    </w:p>
    <w:p w14:paraId="2DB5AC14">
      <w:pPr>
        <w:snapToGrid w:val="0"/>
        <w:spacing w:before="100" w:beforeAutospacing="1" w:after="100" w:afterAutospacing="1" w:line="540" w:lineRule="exact"/>
        <w:ind w:right="85"/>
        <w:jc w:val="left"/>
        <w:textAlignment w:val="top"/>
        <w:rPr>
          <w:rFonts w:ascii="宋体" w:hAnsi="宋体"/>
          <w:color w:val="auto"/>
          <w:sz w:val="24"/>
          <w:szCs w:val="24"/>
          <w:highlight w:val="none"/>
        </w:rPr>
      </w:pPr>
    </w:p>
    <w:p w14:paraId="4A72196A">
      <w:pPr>
        <w:snapToGrid w:val="0"/>
        <w:spacing w:before="100" w:beforeAutospacing="1" w:after="100" w:afterAutospacing="1" w:line="240" w:lineRule="auto"/>
        <w:ind w:right="85" w:firstLine="5016" w:firstLineChars="2090"/>
        <w:jc w:val="left"/>
        <w:textAlignment w:val="top"/>
        <w:rPr>
          <w:rFonts w:ascii="宋体" w:hAnsi="宋体"/>
          <w:color w:val="auto"/>
          <w:sz w:val="24"/>
          <w:szCs w:val="24"/>
          <w:highlight w:val="none"/>
        </w:rPr>
      </w:pPr>
    </w:p>
    <w:p w14:paraId="2C30E314">
      <w:pPr>
        <w:snapToGrid w:val="0"/>
        <w:spacing w:before="100" w:beforeAutospacing="1" w:after="100" w:afterAutospacing="1" w:line="240" w:lineRule="auto"/>
        <w:ind w:right="85" w:firstLine="5016" w:firstLineChars="2090"/>
        <w:jc w:val="left"/>
        <w:textAlignment w:val="top"/>
        <w:rPr>
          <w:rFonts w:ascii="宋体" w:hAnsi="宋体"/>
          <w:color w:val="auto"/>
          <w:sz w:val="24"/>
          <w:szCs w:val="24"/>
          <w:highlight w:val="none"/>
        </w:rPr>
      </w:pPr>
    </w:p>
    <w:p w14:paraId="30874EF9">
      <w:pPr>
        <w:snapToGrid w:val="0"/>
        <w:spacing w:before="100" w:beforeAutospacing="1" w:after="100" w:afterAutospacing="1" w:line="240" w:lineRule="auto"/>
        <w:ind w:right="85" w:firstLine="5016" w:firstLineChars="2090"/>
        <w:jc w:val="left"/>
        <w:textAlignment w:val="top"/>
        <w:rPr>
          <w:rFonts w:ascii="宋体" w:hAnsi="宋体"/>
          <w:color w:val="auto"/>
          <w:sz w:val="24"/>
          <w:szCs w:val="24"/>
          <w:highlight w:val="none"/>
        </w:rPr>
      </w:pPr>
    </w:p>
    <w:p w14:paraId="13DB88F4">
      <w:pPr>
        <w:shd w:val="clear" w:color="auto" w:fill="FFFFFF"/>
        <w:spacing w:line="240" w:lineRule="auto"/>
        <w:jc w:val="left"/>
        <w:rPr>
          <w:rFonts w:ascii="宋体" w:hAnsi="宋体"/>
          <w:color w:val="auto"/>
          <w:sz w:val="18"/>
          <w:szCs w:val="18"/>
          <w:highlight w:val="none"/>
        </w:rPr>
      </w:pPr>
      <w:r>
        <w:rPr>
          <w:rFonts w:hint="eastAsia" w:ascii="宋体" w:hAnsi="宋体"/>
          <w:color w:val="auto"/>
          <w:sz w:val="18"/>
          <w:szCs w:val="18"/>
          <w:highlight w:val="none"/>
        </w:rPr>
        <w:t>注：1、按政策规定：符合条件的残疾人福利性单位视同小型、微型企业，享受评审价格扣除等促进中小企业发展的政府采购政策。残疾人福利性单位属于小型、微型企业的，不重复享受政策。</w:t>
      </w:r>
    </w:p>
    <w:p w14:paraId="406C37A3">
      <w:pPr>
        <w:spacing w:line="240" w:lineRule="auto"/>
        <w:ind w:firstLine="450" w:firstLineChars="250"/>
        <w:jc w:val="left"/>
        <w:rPr>
          <w:rFonts w:ascii="宋体" w:hAnsi="宋体"/>
          <w:color w:val="auto"/>
          <w:sz w:val="18"/>
          <w:szCs w:val="18"/>
          <w:highlight w:val="none"/>
        </w:rPr>
      </w:pPr>
      <w:r>
        <w:rPr>
          <w:rFonts w:hint="eastAsia" w:ascii="宋体" w:hAnsi="宋体"/>
          <w:color w:val="auto"/>
          <w:sz w:val="18"/>
          <w:szCs w:val="18"/>
          <w:highlight w:val="none"/>
        </w:rPr>
        <w:t>2、</w:t>
      </w:r>
      <w:r>
        <w:rPr>
          <w:rFonts w:hint="eastAsia" w:ascii="宋体" w:hAnsi="宋体"/>
          <w:b/>
          <w:color w:val="auto"/>
          <w:spacing w:val="6"/>
          <w:sz w:val="18"/>
          <w:szCs w:val="18"/>
          <w:highlight w:val="none"/>
          <w:vertAlign w:val="superscript"/>
        </w:rPr>
        <w:t>*</w:t>
      </w:r>
      <w:r>
        <w:rPr>
          <w:rFonts w:hint="eastAsia" w:ascii="宋体" w:hAnsi="宋体"/>
          <w:color w:val="auto"/>
          <w:sz w:val="18"/>
          <w:szCs w:val="18"/>
          <w:highlight w:val="none"/>
        </w:rPr>
        <w:t>本格式在残疾人福利性单位申请报价格扣除时填写，未填写不享受小微价格扣除，但不作为无效投标。</w:t>
      </w:r>
    </w:p>
    <w:p w14:paraId="00DFC347">
      <w:pPr>
        <w:spacing w:line="240" w:lineRule="auto"/>
        <w:ind w:firstLine="450" w:firstLineChars="250"/>
        <w:jc w:val="left"/>
        <w:rPr>
          <w:rFonts w:ascii="宋体" w:hAnsi="宋体"/>
          <w:color w:val="auto"/>
          <w:sz w:val="18"/>
          <w:szCs w:val="18"/>
          <w:highlight w:val="none"/>
        </w:rPr>
      </w:pPr>
      <w:r>
        <w:rPr>
          <w:rFonts w:hint="eastAsia" w:ascii="宋体" w:hAnsi="宋体"/>
          <w:color w:val="auto"/>
          <w:sz w:val="18"/>
          <w:szCs w:val="18"/>
          <w:highlight w:val="none"/>
        </w:rPr>
        <w:t>残疾人福利性单位属于小型、微型企业的，可只填写“</w:t>
      </w:r>
      <w:r>
        <w:rPr>
          <w:rFonts w:ascii="宋体" w:hAnsi="宋体"/>
          <w:color w:val="auto"/>
          <w:sz w:val="18"/>
          <w:szCs w:val="18"/>
          <w:highlight w:val="none"/>
        </w:rPr>
        <w:t xml:space="preserve"> 中小企业声明函</w:t>
      </w:r>
      <w:r>
        <w:rPr>
          <w:rFonts w:hint="eastAsia" w:ascii="宋体" w:hAnsi="宋体"/>
          <w:color w:val="auto"/>
          <w:sz w:val="18"/>
          <w:szCs w:val="18"/>
          <w:highlight w:val="none"/>
        </w:rPr>
        <w:t>”，不再填写“残疾人福利性单位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w:t>
      </w:r>
    </w:p>
    <w:p w14:paraId="34C73873">
      <w:pPr>
        <w:autoSpaceDE w:val="0"/>
        <w:autoSpaceDN w:val="0"/>
        <w:adjustRightInd w:val="0"/>
        <w:spacing w:line="240" w:lineRule="auto"/>
        <w:ind w:firstLine="450" w:firstLineChars="250"/>
        <w:jc w:val="left"/>
        <w:rPr>
          <w:rFonts w:ascii="宋体" w:hAnsi="宋体" w:cs="宋体"/>
          <w:b/>
          <w:color w:val="auto"/>
          <w:sz w:val="24"/>
          <w:highlight w:val="none"/>
        </w:rPr>
      </w:pPr>
      <w:r>
        <w:rPr>
          <w:rFonts w:hint="eastAsia" w:ascii="宋体" w:hAnsi="宋体"/>
          <w:color w:val="auto"/>
          <w:sz w:val="18"/>
          <w:szCs w:val="18"/>
          <w:highlight w:val="none"/>
        </w:rPr>
        <w:t>3、残疾人福利性单位填写“残疾人福利性单位</w:t>
      </w:r>
      <w:r>
        <w:rPr>
          <w:rFonts w:ascii="宋体" w:hAnsi="宋体"/>
          <w:color w:val="auto"/>
          <w:sz w:val="18"/>
          <w:szCs w:val="18"/>
          <w:highlight w:val="none"/>
        </w:rPr>
        <w:t>声明函</w:t>
      </w:r>
      <w:r>
        <w:rPr>
          <w:rFonts w:hint="eastAsia" w:ascii="宋体" w:hAnsi="宋体"/>
          <w:color w:val="auto"/>
          <w:sz w:val="18"/>
          <w:szCs w:val="18"/>
          <w:highlight w:val="none"/>
        </w:rPr>
        <w:t>”后，仍需同时填写“</w:t>
      </w:r>
      <w:r>
        <w:rPr>
          <w:rFonts w:ascii="宋体" w:hAnsi="宋体"/>
          <w:color w:val="auto"/>
          <w:sz w:val="18"/>
          <w:szCs w:val="18"/>
          <w:highlight w:val="none"/>
        </w:rPr>
        <w:t>中小企业声明函</w:t>
      </w:r>
      <w:r>
        <w:rPr>
          <w:rFonts w:hint="eastAsia" w:ascii="宋体" w:hAnsi="宋体"/>
          <w:color w:val="auto"/>
          <w:sz w:val="18"/>
          <w:szCs w:val="18"/>
          <w:highlight w:val="none"/>
        </w:rPr>
        <w:t>”、可在“</w:t>
      </w:r>
      <w:r>
        <w:rPr>
          <w:rFonts w:ascii="宋体" w:hAnsi="宋体"/>
          <w:color w:val="auto"/>
          <w:sz w:val="18"/>
          <w:szCs w:val="18"/>
          <w:highlight w:val="none"/>
        </w:rPr>
        <w:t>中小企业声明函</w:t>
      </w:r>
      <w:r>
        <w:rPr>
          <w:rFonts w:hint="eastAsia" w:ascii="宋体" w:hAnsi="宋体"/>
          <w:color w:val="auto"/>
          <w:sz w:val="18"/>
          <w:szCs w:val="18"/>
          <w:highlight w:val="none"/>
        </w:rPr>
        <w:t>”注明“属于符合条件的残疾人福利性单位、视同小型、微型企业”。</w:t>
      </w:r>
    </w:p>
    <w:p w14:paraId="7A5A667D">
      <w:pPr>
        <w:spacing w:line="240" w:lineRule="auto"/>
        <w:jc w:val="left"/>
        <w:textAlignment w:val="auto"/>
        <w:rPr>
          <w:rFonts w:eastAsia="方正黑体简体"/>
          <w:b/>
          <w:color w:val="auto"/>
          <w:sz w:val="30"/>
          <w:szCs w:val="30"/>
          <w:highlight w:val="none"/>
          <w:lang w:val="zh-CN"/>
        </w:rPr>
      </w:pPr>
    </w:p>
    <w:p w14:paraId="41255326">
      <w:pPr>
        <w:rPr>
          <w:color w:val="auto"/>
          <w:highlight w:val="none"/>
        </w:rPr>
      </w:pPr>
    </w:p>
    <w:sectPr>
      <w:pgSz w:w="11905" w:h="16837"/>
      <w:pgMar w:top="1091" w:right="1106" w:bottom="993" w:left="1418" w:header="567" w:footer="567"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3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dobe 宋体 Std L">
    <w:altName w:val="宋体"/>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FAC69">
    <w:pPr>
      <w:widowControl w:val="0"/>
      <w:snapToGrid w:val="0"/>
      <w:spacing w:line="240" w:lineRule="atLeast"/>
      <w:ind w:right="21"/>
      <w:jc w:val="left"/>
      <w:rPr>
        <w:rFonts w:ascii="宋体" w:hAnsi="宋体"/>
        <w:szCs w:val="21"/>
        <w:u w:val="single"/>
      </w:rPr>
    </w:pPr>
    <w:r>
      <w:rPr>
        <w:rFonts w:hint="eastAsia" w:ascii="宋体" w:hAnsi="宋体"/>
        <w:szCs w:val="21"/>
        <w:u w:val="single"/>
      </w:rPr>
      <w:t>《磋商文件》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11"/>
        <w:rFonts w:ascii="宋体" w:hAnsi="宋体"/>
        <w:szCs w:val="21"/>
        <w:u w:val="single"/>
      </w:rPr>
      <w:fldChar w:fldCharType="begin"/>
    </w:r>
    <w:r>
      <w:rPr>
        <w:rStyle w:val="11"/>
        <w:rFonts w:ascii="宋体" w:hAnsi="宋体"/>
        <w:szCs w:val="21"/>
        <w:u w:val="single"/>
      </w:rPr>
      <w:instrText xml:space="preserve"> PAGE </w:instrText>
    </w:r>
    <w:r>
      <w:rPr>
        <w:rStyle w:val="11"/>
        <w:rFonts w:ascii="宋体" w:hAnsi="宋体"/>
        <w:szCs w:val="21"/>
        <w:u w:val="single"/>
      </w:rPr>
      <w:fldChar w:fldCharType="separate"/>
    </w:r>
    <w:r>
      <w:rPr>
        <w:rStyle w:val="11"/>
        <w:rFonts w:ascii="宋体" w:hAnsi="宋体"/>
        <w:szCs w:val="21"/>
        <w:u w:val="single"/>
      </w:rPr>
      <w:t>- 65 -</w:t>
    </w:r>
    <w:r>
      <w:rPr>
        <w:rStyle w:val="11"/>
        <w:rFonts w:ascii="宋体" w:hAnsi="宋体"/>
        <w:szCs w:val="21"/>
        <w:u w:val="single"/>
      </w:rPr>
      <w:fldChar w:fldCharType="end"/>
    </w:r>
    <w:r>
      <w:rPr>
        <w:rStyle w:val="11"/>
        <w:rFonts w:ascii="宋体" w:hAnsi="宋体"/>
        <w:szCs w:val="21"/>
        <w:u w:val="single"/>
      </w:rPr>
      <w:t xml:space="preserve"> </w:t>
    </w:r>
    <w:r>
      <w:rPr>
        <w:rStyle w:val="11"/>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11"/>
        <w:szCs w:val="21"/>
        <w:u w:val="single"/>
      </w:rPr>
      <w:t>70</w:t>
    </w:r>
    <w:r>
      <w:rPr>
        <w:rStyle w:val="11"/>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_x0000_s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0ne5yNkAAAAOAQAADwAAAAAAAAABACAAAAAiAAAAZHJzL2Rvd25yZXYueG1sUEsBAhQAFAAA&#10;AAgAh07iQD3/5cm1AQAAZwMAAA4AAAAAAAAAAQAgAAAAKAEAAGRycy9lMm9Eb2MueG1sUEsFBgAA&#10;AAAGAAYAWQEAAE8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B5336">
    <w:pPr>
      <w:pStyle w:val="4"/>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35DE40B5">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EBC93">
    <w:pPr>
      <w:pStyle w:val="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FC0C8">
    <w:pPr>
      <w:widowControl w:val="0"/>
      <w:snapToGrid w:val="0"/>
      <w:spacing w:line="240" w:lineRule="atLeast"/>
      <w:ind w:right="21"/>
      <w:jc w:val="left"/>
      <w:rPr>
        <w:rFonts w:ascii="宋体" w:hAnsi="宋体"/>
        <w:szCs w:val="21"/>
        <w:u w:val="single"/>
      </w:rPr>
    </w:pPr>
    <w:r>
      <w:rPr>
        <w:rFonts w:hint="eastAsia" w:ascii="宋体" w:hAnsi="宋体"/>
        <w:szCs w:val="21"/>
        <w:u w:val="single"/>
      </w:rPr>
      <w:t>《磋商文件》</w:t>
    </w:r>
    <w:r>
      <w:rPr>
        <w:rFonts w:ascii="宋体" w:hAnsi="宋体"/>
        <w:szCs w:val="21"/>
        <w:u w:val="single"/>
      </w:rPr>
      <w:t xml:space="preserve">                                                          </w:t>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NUMPAGES-1\* Arabic \* MERGEFORMAT</w:instrText>
    </w:r>
    <w:r>
      <w:rPr>
        <w:rFonts w:ascii="宋体" w:hAnsi="宋体"/>
        <w:szCs w:val="21"/>
        <w:u w:val="single"/>
      </w:rPr>
      <w:fldChar w:fldCharType="end"/>
    </w:r>
    <w:r>
      <w:rPr>
        <w:rFonts w:ascii="宋体" w:hAnsi="宋体"/>
        <w:szCs w:val="21"/>
        <w:u w:val="single"/>
      </w:rPr>
      <w:fldChar w:fldCharType="begin"/>
    </w:r>
    <w:r>
      <w:rPr>
        <w:rFonts w:ascii="宋体" w:hAnsi="宋体"/>
        <w:szCs w:val="21"/>
        <w:u w:val="single"/>
      </w:rPr>
      <w:instrText xml:space="preserve"> NUMPAGES-1   \* MERGEFORMAT </w:instrText>
    </w:r>
    <w:r>
      <w:rPr>
        <w:rFonts w:ascii="宋体" w:hAnsi="宋体"/>
        <w:szCs w:val="21"/>
        <w:u w:val="single"/>
      </w:rPr>
      <w:fldChar w:fldCharType="end"/>
    </w:r>
    <w:r>
      <w:rPr>
        <w:rStyle w:val="11"/>
        <w:rFonts w:ascii="宋体" w:hAnsi="宋体"/>
        <w:szCs w:val="21"/>
        <w:u w:val="single"/>
      </w:rPr>
      <w:fldChar w:fldCharType="begin"/>
    </w:r>
    <w:r>
      <w:rPr>
        <w:rStyle w:val="11"/>
        <w:rFonts w:ascii="宋体" w:hAnsi="宋体"/>
        <w:szCs w:val="21"/>
        <w:u w:val="single"/>
      </w:rPr>
      <w:instrText xml:space="preserve"> PAGE </w:instrText>
    </w:r>
    <w:r>
      <w:rPr>
        <w:rStyle w:val="11"/>
        <w:rFonts w:ascii="宋体" w:hAnsi="宋体"/>
        <w:szCs w:val="21"/>
        <w:u w:val="single"/>
      </w:rPr>
      <w:fldChar w:fldCharType="separate"/>
    </w:r>
    <w:r>
      <w:rPr>
        <w:rStyle w:val="11"/>
        <w:rFonts w:ascii="宋体" w:hAnsi="宋体"/>
        <w:szCs w:val="21"/>
        <w:u w:val="single"/>
      </w:rPr>
      <w:t>- 65 -</w:t>
    </w:r>
    <w:r>
      <w:rPr>
        <w:rStyle w:val="11"/>
        <w:rFonts w:ascii="宋体" w:hAnsi="宋体"/>
        <w:szCs w:val="21"/>
        <w:u w:val="single"/>
      </w:rPr>
      <w:fldChar w:fldCharType="end"/>
    </w:r>
    <w:r>
      <w:rPr>
        <w:rStyle w:val="11"/>
        <w:rFonts w:ascii="宋体" w:hAnsi="宋体"/>
        <w:szCs w:val="21"/>
        <w:u w:val="single"/>
      </w:rPr>
      <w:t xml:space="preserve"> </w:t>
    </w:r>
    <w:r>
      <w:rPr>
        <w:rStyle w:val="11"/>
        <w:rFonts w:hint="eastAsia" w:ascii="宋体" w:hAnsi="宋体"/>
        <w:szCs w:val="21"/>
        <w:u w:val="single"/>
      </w:rPr>
      <w:t>（</w:t>
    </w:r>
    <w:r>
      <w:rPr>
        <w:rFonts w:hint="eastAsia" w:ascii="宋体" w:hAnsi="宋体"/>
        <w:szCs w:val="21"/>
        <w:u w:val="single"/>
      </w:rPr>
      <w:t>共</w:t>
    </w:r>
    <w:r>
      <w:fldChar w:fldCharType="begin"/>
    </w:r>
    <w:r>
      <w:instrText xml:space="preserve"> SECTIONPAGES   \* MERGEFORMAT </w:instrText>
    </w:r>
    <w:r>
      <w:fldChar w:fldCharType="separate"/>
    </w:r>
    <w:r>
      <w:rPr>
        <w:rStyle w:val="11"/>
        <w:szCs w:val="21"/>
        <w:u w:val="single"/>
      </w:rPr>
      <w:t>70</w:t>
    </w:r>
    <w:r>
      <w:rPr>
        <w:rStyle w:val="11"/>
        <w:szCs w:val="21"/>
        <w:u w:val="single"/>
      </w:rPr>
      <w:fldChar w:fldCharType="end"/>
    </w:r>
    <w:r>
      <w:rPr>
        <w:rFonts w:hint="eastAsia" w:ascii="宋体" w:hAnsi="宋体"/>
        <w:szCs w:val="21"/>
        <w:u w:val="single"/>
      </w:rPr>
      <w:t>页</w:t>
    </w:r>
    <w:r>
      <w:rPr>
        <w:rFonts w:ascii="宋体" w:hAnsi="宋体"/>
        <w:szCs w:val="21"/>
        <w:u w:val="single"/>
      </w:rPr>
      <w:t>)</w:t>
    </w:r>
    <w:r>
      <w:rPr>
        <w:rFonts w:ascii="宋体" w:hAnsi="宋体"/>
      </w:rPr>
      <mc:AlternateContent>
        <mc:Choice Requires="wps">
          <w:drawing>
            <wp:anchor distT="0" distB="0" distL="114300" distR="114300" simplePos="0" relativeHeight="251660288" behindDoc="1" locked="0" layoutInCell="0" allowOverlap="1">
              <wp:simplePos x="0" y="0"/>
              <wp:positionH relativeFrom="page">
                <wp:posOffset>899795</wp:posOffset>
              </wp:positionH>
              <wp:positionV relativeFrom="page">
                <wp:posOffset>10151745</wp:posOffset>
              </wp:positionV>
              <wp:extent cx="5759450" cy="179705"/>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文本框 1026" o:spid="_x0000_s1026" o:spt="202" type="#_x0000_t202" style="position:absolute;left:0pt;margin-left:70.85pt;margin-top:799.35pt;height:14.15pt;width:453.5pt;mso-position-horizontal-relative:page;mso-position-vertical-relative:page;z-index:-251656192;mso-width-relative:page;mso-height-relative:page;" filled="f" stroked="f" coordsize="21600,21600" o:allowincell="f" o:gfxdata="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0ne5yNkAAAAOAQAADwAAAAAAAAABACAAAAAiAAAAZHJzL2Rvd25yZXYueG1sUEsBAhQA&#10;FAAAAAgAh07iQJo/E4C4AQAAagMAAA4AAAAAAAAAAQAgAAAAKAEAAGRycy9lMm9Eb2MueG1sUEsF&#10;BgAAAAAGAAYAWQEAAFIFAAAAAA==&#10;">
              <v:fill on="f" focussize="0,0"/>
              <v:stroke on="f"/>
              <v:imagedata o:title=""/>
              <o:lock v:ext="edit" aspectratio="f"/>
              <v:textbox inset="0mm,0mm,0mm,0mm"/>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EFAB1">
    <w:pPr>
      <w:pStyle w:val="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12A2E">
    <w:pPr>
      <w:widowControl w:val="0"/>
      <w:snapToGrid w:val="0"/>
      <w:spacing w:line="240" w:lineRule="atLeast"/>
      <w:rPr>
        <w:rFonts w:ascii="宋体" w:hAnsi="宋体"/>
        <w:szCs w:val="21"/>
      </w:rPr>
    </w:pPr>
    <w:r>
      <w:rPr>
        <w:rFonts w:hint="eastAsia" w:ascii="宋体" w:hAnsi="宋体"/>
        <w:szCs w:val="21"/>
        <w:u w:val="single"/>
      </w:rPr>
      <w:t>安阳市方正招标采购服务有限责任公司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_x0000_s1026"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dN05x2AAAAAoBAAAPAAAAAAAAAAEAIAAAACIAAABkcnMvZG93bnJldi54bWxQSwECFAAUAAAA&#10;CACHTuJAMVL5F7UBAABnAwAADgAAAAAAAAABACAAAAAnAQAAZHJzL2Uyb0RvYy54bWxQSwUGAAAA&#10;AAYABgBZAQAATgUAAAAA&#10;">
              <v:fill on="f" focussize="0,0"/>
              <v:stroke on="f"/>
              <v:imagedata o:title=""/>
              <o:lock v:ext="edit" aspectratio="f"/>
              <v:textbox inset="0mm,0mm,0mm,0mm"/>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79AE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71145">
    <w:pPr>
      <w:widowControl w:val="0"/>
      <w:snapToGrid w:val="0"/>
      <w:spacing w:line="240" w:lineRule="atLeast"/>
      <w:rPr>
        <w:rFonts w:ascii="宋体" w:hAnsi="宋体"/>
        <w:szCs w:val="21"/>
      </w:rPr>
    </w:pPr>
    <w:r>
      <w:rPr>
        <w:rFonts w:hint="eastAsia" w:ascii="宋体" w:hAnsi="宋体"/>
        <w:szCs w:val="21"/>
        <w:u w:val="single"/>
        <w:lang w:val="en-US" w:eastAsia="zh-CN"/>
      </w:rPr>
      <w:t>安阳</w:t>
    </w:r>
    <w:r>
      <w:rPr>
        <w:rFonts w:hint="eastAsia" w:ascii="宋体" w:hAnsi="宋体"/>
        <w:szCs w:val="21"/>
        <w:u w:val="single"/>
      </w:rPr>
      <w:t>市方正招标采购服务有限责任公司</w:t>
    </w:r>
    <w:r>
      <w:rPr>
        <w:rFonts w:ascii="宋体" w:hAnsi="宋体"/>
        <w:szCs w:val="21"/>
        <w:u w:val="single"/>
      </w:rPr>
      <w:t xml:space="preserve">        </w:t>
    </w:r>
    <w:r>
      <w:rPr>
        <w:rFonts w:hint="eastAsia" w:ascii="宋体" w:hAnsi="宋体"/>
        <w:szCs w:val="21"/>
        <w:u w:val="single"/>
      </w:rPr>
      <w:t>电话及传真：</w:t>
    </w:r>
    <w:r>
      <w:rPr>
        <w:rFonts w:ascii="宋体" w:hAnsi="宋体"/>
        <w:szCs w:val="21"/>
        <w:u w:val="single"/>
      </w:rPr>
      <w:t>0372—2283981</w:t>
    </w:r>
    <w:r>
      <w:rPr>
        <w:rFonts w:hint="eastAsia" w:ascii="宋体" w:hAnsi="宋体"/>
        <w:szCs w:val="21"/>
        <w:u w:val="single"/>
      </w:rPr>
      <w:t>、</w:t>
    </w:r>
    <w:r>
      <w:rPr>
        <w:rFonts w:ascii="宋体" w:hAnsi="宋体"/>
        <w:szCs w:val="21"/>
        <w:u w:val="single"/>
      </w:rPr>
      <w:t>2283982</w:t>
    </w:r>
    <w:r>
      <w:rPr>
        <w:rFonts w:hint="eastAsia" w:ascii="宋体" w:hAnsi="宋体"/>
        <w:szCs w:val="21"/>
        <w:u w:val="single"/>
      </w:rPr>
      <w:t>、</w:t>
    </w:r>
    <w:r>
      <w:rPr>
        <w:rFonts w:ascii="宋体" w:hAnsi="宋体"/>
        <w:szCs w:val="21"/>
        <w:u w:val="single"/>
      </w:rPr>
      <w:t>2283983 .</w:t>
    </w:r>
    <w:r>
      <w:rPr>
        <w:rFonts w:ascii="宋体" w:hAnsi="宋体"/>
      </w:rPr>
      <mc:AlternateContent>
        <mc:Choice Requires="wps">
          <w:drawing>
            <wp:anchor distT="0" distB="0" distL="114300" distR="114300" simplePos="0" relativeHeight="251659264" behindDoc="1" locked="0" layoutInCell="0" allowOverlap="1">
              <wp:simplePos x="0" y="0"/>
              <wp:positionH relativeFrom="page">
                <wp:posOffset>899795</wp:posOffset>
              </wp:positionH>
              <wp:positionV relativeFrom="page">
                <wp:posOffset>359410</wp:posOffset>
              </wp:positionV>
              <wp:extent cx="5759450" cy="1797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bodyPr lIns="0" tIns="0" rIns="0" bIns="0" upright="1"/>
                  </wps:wsp>
                </a:graphicData>
              </a:graphic>
            </wp:anchor>
          </w:drawing>
        </mc:Choice>
        <mc:Fallback>
          <w:pict>
            <v:shape id="Text Box 1" o:spid="_x0000_s1026" o:spt="202" type="#_x0000_t202" style="position:absolute;left:0pt;margin-left:70.85pt;margin-top:28.3pt;height:14.15pt;width:453.5pt;mso-position-horizontal-relative:page;mso-position-vertical-relative:page;z-index:-251657216;mso-width-relative:page;mso-height-relative:page;" filled="f" stroked="f" coordsize="21600,21600" o:allowincell="f" o:gfxdata="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dN05x2AAAAAoBAAAP&#10;AAAAAAAAAAEAIAAAACIAAABkcnMvZG93bnJldi54bWxQSwECFAAUAAAACACHTuJAs2EH6qYBAABm&#10;AwAADgAAAAAAAAABACAAAAAnAQAAZHJzL2Uyb0RvYy54bWxQSwUGAAAAAAYABgBZAQAAPwUAAAAA&#10;">
              <v:fill on="f" focussize="0,0"/>
              <v:stroke on="f"/>
              <v:imagedata o:title=""/>
              <o:lock v:ext="edit" aspectratio="f"/>
              <v:textbox inset="0mm,0mm,0mm,0mm"/>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22D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805C1B"/>
    <w:multiLevelType w:val="singleLevel"/>
    <w:tmpl w:val="B3805C1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dit="forms" w:formatting="1" w:enforcement="1" w:cryptProviderType="rsaFull" w:cryptAlgorithmClass="hash" w:cryptAlgorithmType="typeAny" w:cryptAlgorithmSid="4" w:cryptSpinCount="0" w:hash="G/i4SX4aIW4KY3oJ5Q6Qt5O2GQU=" w:salt="wMnOGIagtgWPQ4H7JZKpzA=="/>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E52B2"/>
    <w:rsid w:val="05F839C9"/>
    <w:rsid w:val="07E769B9"/>
    <w:rsid w:val="0CF713DF"/>
    <w:rsid w:val="0E960202"/>
    <w:rsid w:val="0FE97CF7"/>
    <w:rsid w:val="126D48E6"/>
    <w:rsid w:val="15F06B35"/>
    <w:rsid w:val="17B029A2"/>
    <w:rsid w:val="1CA30E79"/>
    <w:rsid w:val="1CD74EF6"/>
    <w:rsid w:val="2658331A"/>
    <w:rsid w:val="307921EC"/>
    <w:rsid w:val="30C97EF1"/>
    <w:rsid w:val="30E038CF"/>
    <w:rsid w:val="333458C9"/>
    <w:rsid w:val="33396F28"/>
    <w:rsid w:val="3A02454A"/>
    <w:rsid w:val="3D4022FA"/>
    <w:rsid w:val="3DE0230F"/>
    <w:rsid w:val="430C777E"/>
    <w:rsid w:val="47390555"/>
    <w:rsid w:val="4C8229F4"/>
    <w:rsid w:val="501A248C"/>
    <w:rsid w:val="528B5FF8"/>
    <w:rsid w:val="62B4209F"/>
    <w:rsid w:val="65744A4C"/>
    <w:rsid w:val="65B732B6"/>
    <w:rsid w:val="66065FEC"/>
    <w:rsid w:val="6743234F"/>
    <w:rsid w:val="6CB67B0D"/>
    <w:rsid w:val="70CB561A"/>
    <w:rsid w:val="711B7030"/>
    <w:rsid w:val="721C09EE"/>
    <w:rsid w:val="7AE97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qFormat/>
    <w:uiPriority w:val="99"/>
    <w:pPr>
      <w:keepNext/>
      <w:keepLines/>
      <w:widowControl w:val="0"/>
      <w:spacing w:before="340" w:after="330" w:line="576" w:lineRule="auto"/>
      <w:textAlignment w:val="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99"/>
    <w:pPr>
      <w:widowControl w:val="0"/>
      <w:spacing w:line="240" w:lineRule="auto"/>
      <w:textAlignment w:val="auto"/>
    </w:pPr>
    <w:rPr>
      <w:rFonts w:ascii="宋体" w:hAnsi="Courier New"/>
      <w:color w:val="auto"/>
      <w:kern w:val="2"/>
    </w:rPr>
  </w:style>
  <w:style w:type="paragraph" w:styleId="4">
    <w:name w:val="footer"/>
    <w:basedOn w:val="1"/>
    <w:qFormat/>
    <w:uiPriority w:val="99"/>
    <w:pPr>
      <w:tabs>
        <w:tab w:val="center" w:pos="4153"/>
        <w:tab w:val="right" w:pos="8306"/>
      </w:tabs>
      <w:snapToGrid w:val="0"/>
      <w:spacing w:line="240" w:lineRule="atLeast"/>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paragraph" w:styleId="8">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character" w:styleId="11">
    <w:name w:val="page number"/>
    <w:qFormat/>
    <w:uiPriority w:val="99"/>
    <w:rPr>
      <w:rFonts w:cs="Times New Roman"/>
    </w:rPr>
  </w:style>
  <w:style w:type="character" w:styleId="12">
    <w:name w:val="Hyperlink"/>
    <w:qFormat/>
    <w:uiPriority w:val="99"/>
    <w:rPr>
      <w:rFonts w:cs="Times New Roman"/>
      <w:color w:val="0368A8"/>
      <w:u w:val="none"/>
    </w:rPr>
  </w:style>
  <w:style w:type="paragraph" w:customStyle="1" w:styleId="13">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14">
    <w:name w:val="样式 首行缩进:  0 字符"/>
    <w:basedOn w:val="1"/>
    <w:qFormat/>
    <w:uiPriority w:val="0"/>
    <w:pPr>
      <w:widowControl w:val="0"/>
      <w:spacing w:line="360" w:lineRule="auto"/>
      <w:ind w:firstLine="200" w:firstLineChars="200"/>
      <w:textAlignment w:val="auto"/>
    </w:pPr>
    <w:rPr>
      <w:color w:val="auto"/>
      <w:sz w:val="24"/>
    </w:rPr>
  </w:style>
  <w:style w:type="paragraph" w:customStyle="1" w:styleId="15">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Table Text"/>
    <w:basedOn w:val="1"/>
    <w:semiHidden/>
    <w:qFormat/>
    <w:uiPriority w:val="0"/>
    <w:pPr>
      <w:widowControl w:val="0"/>
      <w:spacing w:line="240" w:lineRule="auto"/>
      <w:textAlignment w:val="auto"/>
    </w:pPr>
    <w:rPr>
      <w:rFonts w:ascii="仿宋" w:hAnsi="仿宋" w:eastAsia="仿宋" w:cs="仿宋"/>
      <w:color w:val="auto"/>
      <w:kern w:val="2"/>
      <w:sz w:val="31"/>
      <w:szCs w:val="31"/>
      <w:lang w:eastAsia="en-US"/>
    </w:rPr>
  </w:style>
  <w:style w:type="paragraph" w:customStyle="1" w:styleId="17">
    <w:name w:val="正文文本 (2)"/>
    <w:basedOn w:val="1"/>
    <w:qFormat/>
    <w:uiPriority w:val="0"/>
    <w:pPr>
      <w:widowControl w:val="0"/>
      <w:shd w:val="clear" w:color="auto" w:fill="FFFFFF"/>
      <w:spacing w:after="660" w:line="0" w:lineRule="atLeast"/>
      <w:jc w:val="left"/>
      <w:textAlignment w:val="auto"/>
    </w:pPr>
    <w:rPr>
      <w:rFonts w:ascii="MingLiU" w:hAnsi="MingLiU" w:eastAsia="MingLiU" w:cs="MingLiU"/>
      <w:color w:val="auto"/>
      <w:spacing w:val="30"/>
      <w:sz w:val="30"/>
      <w:szCs w:val="30"/>
    </w:rPr>
  </w:style>
  <w:style w:type="character" w:customStyle="1" w:styleId="18">
    <w:name w:val="正文文本 (2) + 斜体"/>
    <w:qFormat/>
    <w:uiPriority w:val="0"/>
    <w:rPr>
      <w:rFonts w:ascii="MingLiU" w:hAnsi="MingLiU" w:eastAsia="MingLiU" w:cs="MingLiU"/>
      <w:i/>
      <w:iCs/>
      <w:color w:val="000000"/>
      <w:spacing w:val="0"/>
      <w:w w:val="100"/>
      <w:position w:val="0"/>
      <w:sz w:val="30"/>
      <w:szCs w:val="30"/>
      <w:u w:val="none"/>
      <w:lang w:val="zh-CN" w:eastAsia="zh-CN" w:bidi="zh-CN"/>
    </w:rPr>
  </w:style>
  <w:style w:type="character" w:customStyle="1" w:styleId="19">
    <w:name w:val="页眉或页脚 + Calibri"/>
    <w:qFormat/>
    <w:uiPriority w:val="0"/>
    <w:rPr>
      <w:rFonts w:ascii="Calibri" w:hAnsi="Calibri" w:eastAsia="Calibri" w:cs="Calibri"/>
      <w:color w:val="000000"/>
      <w:spacing w:val="0"/>
      <w:w w:val="100"/>
      <w:position w:val="0"/>
      <w:sz w:val="20"/>
      <w:szCs w:val="20"/>
      <w:u w:val="none"/>
      <w:lang w:val="zh-CN" w:eastAsia="zh-CN" w:bidi="zh-CN"/>
    </w:rPr>
  </w:style>
  <w:style w:type="character" w:customStyle="1" w:styleId="20">
    <w:name w:val="页眉或页脚"/>
    <w:qFormat/>
    <w:uiPriority w:val="0"/>
    <w:rPr>
      <w:rFonts w:ascii="MingLiU" w:hAnsi="MingLiU" w:eastAsia="MingLiU" w:cs="MingLiU"/>
      <w:color w:val="000000"/>
      <w:spacing w:val="0"/>
      <w:w w:val="100"/>
      <w:position w:val="0"/>
      <w:sz w:val="18"/>
      <w:szCs w:val="1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6009</Words>
  <Characters>6688</Characters>
  <Lines>0</Lines>
  <Paragraphs>0</Paragraphs>
  <TotalTime>7</TotalTime>
  <ScaleCrop>false</ScaleCrop>
  <LinksUpToDate>false</LinksUpToDate>
  <CharactersWithSpaces>6861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2025-07-27T10:39:00Z</dcterms:created>
  <dc:creator>10621</dc:creator>
  <cp:lastModifiedBy>Administrator</cp:lastModifiedBy>
  <cp:lastPrinted>2025-08-05T02:21:00Z</cp:lastPrinted>
  <dcterms:modified xsi:type="dcterms:W3CDTF">2025-12-29T05:51:47Z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eyJoZGlkIjoiYWViYWFjMDEyOWIxMDRiMzJjNmM0MTE3OGZjYjA0YjkiLCJ1c2VySWQiOiIyOTY0MTY5MDkifQ==</vt:lpwstr>
  </property>
  <property fmtid="{D5CDD505-2E9C-101B-9397-08002B2CF9AE}" pid="4" name="ICV">
    <vt:lpwstr>8B6A2F022146490BACE56F83CFBA8541_13</vt:lpwstr>
  </property>
</Properties>
</file>