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napToGrid w:val="0"/>
        <w:spacing w:line="560" w:lineRule="exact"/>
        <w:ind w:firstLine="241" w:firstLineChars="50"/>
        <w:jc w:val="center"/>
        <w:rPr>
          <w:rFonts w:eastAsia="黑体"/>
          <w:b/>
          <w:color w:val="auto"/>
          <w:spacing w:val="40"/>
          <w:sz w:val="40"/>
          <w:szCs w:val="40"/>
          <w:highlight w:val="none"/>
        </w:rPr>
      </w:pPr>
      <w:bookmarkStart w:id="63" w:name="_GoBack"/>
      <w:bookmarkEnd w:id="63"/>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jc w:val="center"/>
        <w:rPr>
          <w:rFonts w:ascii="黑体" w:eastAsia="黑体"/>
          <w:b/>
          <w:color w:val="auto"/>
          <w:spacing w:val="-20"/>
          <w:sz w:val="44"/>
          <w:szCs w:val="44"/>
          <w:highlight w:val="none"/>
        </w:rPr>
      </w:pPr>
      <w:r>
        <w:rPr>
          <w:rFonts w:hint="eastAsia" w:ascii="黑体" w:eastAsia="黑体"/>
          <w:b/>
          <w:color w:val="auto"/>
          <w:sz w:val="44"/>
          <w:szCs w:val="44"/>
          <w:highlight w:val="none"/>
        </w:rPr>
        <w:t>安阳市体育运动学校射击馆改造项目</w:t>
      </w:r>
    </w:p>
    <w:p>
      <w:pPr>
        <w:widowControl w:val="0"/>
        <w:snapToGrid w:val="0"/>
        <w:spacing w:line="560" w:lineRule="exact"/>
        <w:ind w:firstLine="261" w:firstLineChars="50"/>
        <w:jc w:val="center"/>
        <w:rPr>
          <w:rFonts w:ascii="黑体" w:eastAsia="黑体"/>
          <w:b/>
          <w:color w:val="auto"/>
          <w:spacing w:val="40"/>
          <w:sz w:val="44"/>
          <w:szCs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ascii="华文新魏" w:hAnsi="微软雅黑" w:eastAsia="华文新魏"/>
          <w:b/>
          <w:color w:val="auto"/>
          <w:sz w:val="104"/>
          <w:szCs w:val="104"/>
          <w:highlight w:val="none"/>
        </w:rPr>
      </w:pPr>
      <w:r>
        <w:rPr>
          <w:rFonts w:hint="eastAsia" w:ascii="华文新魏" w:hAnsi="微软雅黑" w:eastAsia="华文新魏"/>
          <w:b/>
          <w:color w:val="auto"/>
          <w:sz w:val="104"/>
          <w:szCs w:val="104"/>
          <w:highlight w:val="none"/>
        </w:rPr>
        <w:t>单一来源采购文件</w:t>
      </w:r>
    </w:p>
    <w:p>
      <w:pPr>
        <w:widowControl w:val="0"/>
        <w:snapToGrid w:val="0"/>
        <w:spacing w:before="240" w:beforeLines="100" w:line="560" w:lineRule="exact"/>
        <w:jc w:val="center"/>
        <w:rPr>
          <w:rFonts w:ascii="宋体"/>
          <w:color w:val="auto"/>
          <w:sz w:val="32"/>
          <w:szCs w:val="32"/>
          <w:highlight w:val="none"/>
        </w:rPr>
      </w:pPr>
    </w:p>
    <w:p>
      <w:pPr>
        <w:widowControl w:val="0"/>
        <w:snapToGrid w:val="0"/>
        <w:spacing w:before="240" w:beforeLines="100" w:line="560" w:lineRule="exact"/>
        <w:jc w:val="center"/>
        <w:rPr>
          <w:rFonts w:ascii="宋体" w:hAnsi="宋体"/>
          <w:color w:val="auto"/>
          <w:sz w:val="32"/>
          <w:szCs w:val="32"/>
          <w:highlight w:val="none"/>
        </w:rPr>
      </w:pPr>
      <w:r>
        <w:rPr>
          <w:rFonts w:hint="eastAsia" w:ascii="宋体" w:hAnsi="宋体"/>
          <w:color w:val="auto"/>
          <w:sz w:val="32"/>
          <w:szCs w:val="32"/>
          <w:highlight w:val="none"/>
        </w:rPr>
        <w:t>项目编号：安财单一采购-2025-9</w:t>
      </w:r>
      <w:r>
        <w:rPr>
          <w:rFonts w:ascii="宋体" w:hAnsi="宋体"/>
          <w:color w:val="auto"/>
          <w:sz w:val="32"/>
          <w:szCs w:val="32"/>
          <w:highlight w:val="none"/>
        </w:rPr>
        <w:t xml:space="preserve"> </w:t>
      </w: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rPr>
          <w:rFonts w:eastAsia="黑体"/>
          <w:b/>
          <w:color w:val="auto"/>
          <w:sz w:val="44"/>
          <w:highlight w:val="none"/>
        </w:rPr>
      </w:pPr>
    </w:p>
    <w:p>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采购人：安阳市体育运动学校</w:t>
      </w:r>
    </w:p>
    <w:p>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pPr>
        <w:widowControl w:val="0"/>
        <w:snapToGrid w:val="0"/>
        <w:spacing w:line="660" w:lineRule="exact"/>
        <w:ind w:firstLine="540" w:firstLineChars="168"/>
        <w:rPr>
          <w:rFonts w:ascii="黑体" w:hAnsi="黑体" w:eastAsia="黑体"/>
          <w:b/>
          <w:color w:val="auto"/>
          <w:sz w:val="32"/>
          <w:szCs w:val="32"/>
          <w:highlight w:val="none"/>
        </w:rPr>
      </w:pPr>
    </w:p>
    <w:p>
      <w:pPr>
        <w:pStyle w:val="68"/>
        <w:jc w:val="center"/>
        <w:rPr>
          <w:rFonts w:ascii="黑体" w:hAnsi="黑体" w:eastAsia="黑体"/>
          <w:color w:val="auto"/>
          <w:sz w:val="36"/>
          <w:szCs w:val="36"/>
          <w:highlight w:val="none"/>
          <w:lang w:val="zh-CN"/>
        </w:rPr>
      </w:pPr>
      <w:r>
        <w:rPr>
          <w:rFonts w:hint="eastAsia" w:ascii="黑体" w:hAnsi="黑体" w:eastAsia="黑体"/>
          <w:color w:val="auto"/>
          <w:sz w:val="36"/>
          <w:szCs w:val="36"/>
          <w:highlight w:val="none"/>
          <w:lang w:val="zh-CN"/>
        </w:rPr>
        <w:t>目</w:t>
      </w:r>
      <w:r>
        <w:rPr>
          <w:rFonts w:ascii="黑体" w:hAnsi="黑体" w:eastAsia="黑体"/>
          <w:color w:val="auto"/>
          <w:sz w:val="36"/>
          <w:szCs w:val="36"/>
          <w:highlight w:val="none"/>
          <w:lang w:val="zh-CN"/>
        </w:rPr>
        <w:t xml:space="preserve"> </w:t>
      </w:r>
      <w:r>
        <w:rPr>
          <w:rFonts w:hint="eastAsia" w:ascii="黑体" w:hAnsi="黑体" w:eastAsia="黑体"/>
          <w:color w:val="auto"/>
          <w:sz w:val="36"/>
          <w:szCs w:val="36"/>
          <w:highlight w:val="none"/>
          <w:lang w:val="zh-CN"/>
        </w:rPr>
        <w:t>录</w:t>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_Toc28710 </w:instrText>
      </w:r>
      <w:r>
        <w:rPr>
          <w:color w:val="auto"/>
          <w:highlight w:val="none"/>
        </w:rPr>
        <w:fldChar w:fldCharType="separate"/>
      </w:r>
      <w:r>
        <w:rPr>
          <w:rFonts w:hint="eastAsia" w:eastAsia="黑体"/>
          <w:color w:val="auto"/>
          <w:szCs w:val="36"/>
          <w:highlight w:val="none"/>
        </w:rPr>
        <w:t>第一章</w:t>
      </w:r>
      <w:r>
        <w:rPr>
          <w:rFonts w:eastAsia="黑体"/>
          <w:color w:val="auto"/>
          <w:szCs w:val="36"/>
          <w:highlight w:val="none"/>
        </w:rPr>
        <w:t xml:space="preserve"> </w:t>
      </w:r>
      <w:r>
        <w:rPr>
          <w:rFonts w:hint="eastAsia" w:eastAsia="黑体"/>
          <w:color w:val="auto"/>
          <w:szCs w:val="36"/>
          <w:highlight w:val="none"/>
        </w:rPr>
        <w:t xml:space="preserve"> 谈判邀请函</w:t>
      </w:r>
      <w:r>
        <w:rPr>
          <w:color w:val="auto"/>
          <w:highlight w:val="none"/>
        </w:rPr>
        <w:tab/>
      </w:r>
      <w:r>
        <w:rPr>
          <w:color w:val="auto"/>
          <w:highlight w:val="none"/>
        </w:rPr>
        <w:fldChar w:fldCharType="begin"/>
      </w:r>
      <w:r>
        <w:rPr>
          <w:color w:val="auto"/>
          <w:highlight w:val="none"/>
        </w:rPr>
        <w:instrText xml:space="preserve"> PAGEREF _Toc28710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HYPERLINK \l _Toc11756 </w:instrText>
      </w:r>
      <w:r>
        <w:rPr>
          <w:color w:val="auto"/>
          <w:highlight w:val="none"/>
        </w:rPr>
        <w:fldChar w:fldCharType="separate"/>
      </w:r>
      <w:r>
        <w:rPr>
          <w:rFonts w:hint="eastAsia" w:eastAsia="黑体"/>
          <w:color w:val="auto"/>
          <w:szCs w:val="36"/>
          <w:highlight w:val="none"/>
        </w:rPr>
        <w:t>第二章</w:t>
      </w:r>
      <w:r>
        <w:rPr>
          <w:rFonts w:eastAsia="黑体"/>
          <w:color w:val="auto"/>
          <w:szCs w:val="36"/>
          <w:highlight w:val="none"/>
        </w:rPr>
        <w:t xml:space="preserve"> </w:t>
      </w:r>
      <w:r>
        <w:rPr>
          <w:rFonts w:hint="eastAsia" w:eastAsia="黑体"/>
          <w:color w:val="auto"/>
          <w:szCs w:val="36"/>
          <w:highlight w:val="none"/>
        </w:rPr>
        <w:t xml:space="preserve"> 采购项目及技术要求</w:t>
      </w:r>
      <w:r>
        <w:rPr>
          <w:color w:val="auto"/>
          <w:highlight w:val="none"/>
        </w:rPr>
        <w:tab/>
      </w:r>
      <w:r>
        <w:rPr>
          <w:color w:val="auto"/>
          <w:highlight w:val="none"/>
        </w:rPr>
        <w:fldChar w:fldCharType="begin"/>
      </w:r>
      <w:r>
        <w:rPr>
          <w:color w:val="auto"/>
          <w:highlight w:val="none"/>
        </w:rPr>
        <w:instrText xml:space="preserve"> PAGEREF _Toc11756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_Toc10569 </w:instrText>
      </w:r>
      <w:r>
        <w:rPr>
          <w:color w:val="auto"/>
          <w:highlight w:val="none"/>
        </w:rPr>
        <w:fldChar w:fldCharType="separate"/>
      </w:r>
      <w:r>
        <w:rPr>
          <w:rFonts w:ascii="黑体" w:hAnsi="黑体" w:eastAsia="黑体"/>
          <w:color w:val="auto"/>
          <w:highlight w:val="none"/>
        </w:rPr>
        <w:t>1.</w:t>
      </w:r>
      <w:r>
        <w:rPr>
          <w:rFonts w:hint="eastAsia" w:ascii="黑体" w:hAnsi="黑体" w:eastAsia="黑体"/>
          <w:color w:val="auto"/>
          <w:highlight w:val="none"/>
        </w:rPr>
        <w:t xml:space="preserve"> 采购项目、标段（包）划分、投标报价</w:t>
      </w:r>
      <w:r>
        <w:rPr>
          <w:color w:val="auto"/>
          <w:highlight w:val="none"/>
        </w:rPr>
        <w:tab/>
      </w:r>
      <w:r>
        <w:rPr>
          <w:color w:val="auto"/>
          <w:highlight w:val="none"/>
        </w:rPr>
        <w:fldChar w:fldCharType="begin"/>
      </w:r>
      <w:r>
        <w:rPr>
          <w:color w:val="auto"/>
          <w:highlight w:val="none"/>
        </w:rPr>
        <w:instrText xml:space="preserve"> PAGEREF _Toc10569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ascii="黑体" w:hAnsi="黑体" w:eastAsia="黑体"/>
          <w:color w:val="auto"/>
          <w:highlight w:val="none"/>
        </w:rPr>
        <w:t>2.</w:t>
      </w:r>
      <w:r>
        <w:rPr>
          <w:rFonts w:hint="eastAsia" w:ascii="黑体" w:hAnsi="黑体" w:eastAsia="黑体"/>
          <w:color w:val="auto"/>
          <w:highlight w:val="none"/>
        </w:rPr>
        <w:t xml:space="preserve"> 标段（包）内容（范围）及基本技术要求</w:t>
      </w:r>
      <w:r>
        <w:rPr>
          <w:color w:val="auto"/>
          <w:highlight w:val="none"/>
        </w:rPr>
        <w:tab/>
      </w:r>
      <w:r>
        <w:rPr>
          <w:color w:val="auto"/>
          <w:highlight w:val="none"/>
        </w:rPr>
        <w:fldChar w:fldCharType="begin"/>
      </w:r>
      <w:r>
        <w:rPr>
          <w:color w:val="auto"/>
          <w:highlight w:val="none"/>
        </w:rPr>
        <w:instrText xml:space="preserve"> PAGEREF _Toc18131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_Toc30275 </w:instrText>
      </w:r>
      <w:r>
        <w:rPr>
          <w:color w:val="auto"/>
          <w:highlight w:val="none"/>
        </w:rPr>
        <w:fldChar w:fldCharType="separate"/>
      </w:r>
      <w:r>
        <w:rPr>
          <w:rFonts w:ascii="黑体" w:hAnsi="黑体" w:eastAsia="黑体"/>
          <w:color w:val="auto"/>
          <w:highlight w:val="none"/>
        </w:rPr>
        <w:t xml:space="preserve">3. </w:t>
      </w:r>
      <w:r>
        <w:rPr>
          <w:rFonts w:hint="eastAsia" w:ascii="黑体" w:hAnsi="黑体" w:eastAsia="黑体"/>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_Toc30275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HYPERLINK \l _Toc27388 </w:instrText>
      </w:r>
      <w:r>
        <w:rPr>
          <w:color w:val="auto"/>
          <w:highlight w:val="none"/>
        </w:rPr>
        <w:fldChar w:fldCharType="separate"/>
      </w:r>
      <w:r>
        <w:rPr>
          <w:rFonts w:hint="eastAsia" w:eastAsia="黑体"/>
          <w:color w:val="auto"/>
          <w:szCs w:val="36"/>
          <w:highlight w:val="none"/>
        </w:rPr>
        <w:t>第三章</w:t>
      </w:r>
      <w:r>
        <w:rPr>
          <w:rFonts w:eastAsia="黑体"/>
          <w:color w:val="auto"/>
          <w:szCs w:val="36"/>
          <w:highlight w:val="none"/>
        </w:rPr>
        <w:t xml:space="preserve"> </w:t>
      </w:r>
      <w:r>
        <w:rPr>
          <w:rFonts w:hint="eastAsia" w:eastAsia="黑体"/>
          <w:color w:val="auto"/>
          <w:szCs w:val="36"/>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_Toc27388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_Toc29223 </w:instrText>
      </w:r>
      <w:r>
        <w:rPr>
          <w:color w:val="auto"/>
          <w:highlight w:val="none"/>
        </w:rPr>
        <w:fldChar w:fldCharType="separate"/>
      </w:r>
      <w:r>
        <w:rPr>
          <w:rFonts w:hint="eastAsia" w:eastAsia="黑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_Toc29223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_Toc8532 </w:instrText>
      </w:r>
      <w:r>
        <w:rPr>
          <w:color w:val="auto"/>
          <w:highlight w:val="none"/>
        </w:rPr>
        <w:fldChar w:fldCharType="separate"/>
      </w:r>
      <w:r>
        <w:rPr>
          <w:rFonts w:ascii="黑体" w:hAnsi="黑体" w:eastAsia="黑体" w:cs="楷体_GB2312"/>
          <w:bCs/>
          <w:color w:val="auto"/>
          <w:szCs w:val="28"/>
          <w:highlight w:val="none"/>
          <w:lang w:val="zh-CN"/>
        </w:rPr>
        <w:t xml:space="preserve">1. </w:t>
      </w:r>
      <w:r>
        <w:rPr>
          <w:rFonts w:hint="eastAsia" w:ascii="黑体" w:hAnsi="黑体" w:eastAsia="黑体" w:cs="楷体_GB2312"/>
          <w:bCs/>
          <w:color w:val="auto"/>
          <w:szCs w:val="28"/>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_Toc8532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_Toc10158 </w:instrText>
      </w:r>
      <w:r>
        <w:rPr>
          <w:color w:val="auto"/>
          <w:highlight w:val="none"/>
        </w:rPr>
        <w:fldChar w:fldCharType="separate"/>
      </w:r>
      <w:r>
        <w:rPr>
          <w:rFonts w:ascii="黑体" w:hAnsi="黑体" w:eastAsia="黑体" w:cs="楷体_GB2312"/>
          <w:bCs/>
          <w:color w:val="auto"/>
          <w:szCs w:val="28"/>
          <w:highlight w:val="none"/>
          <w:lang w:val="zh-CN"/>
        </w:rPr>
        <w:t xml:space="preserve">2. </w:t>
      </w:r>
      <w:r>
        <w:rPr>
          <w:rFonts w:hint="eastAsia" w:ascii="黑体" w:hAnsi="黑体" w:eastAsia="黑体" w:cs="楷体_GB2312"/>
          <w:bCs/>
          <w:color w:val="auto"/>
          <w:szCs w:val="28"/>
          <w:highlight w:val="none"/>
          <w:lang w:val="zh-CN"/>
        </w:rPr>
        <w:t>单一来源采购文件</w:t>
      </w:r>
      <w:r>
        <w:rPr>
          <w:color w:val="auto"/>
          <w:highlight w:val="none"/>
        </w:rPr>
        <w:tab/>
      </w:r>
      <w:r>
        <w:rPr>
          <w:color w:val="auto"/>
          <w:highlight w:val="none"/>
        </w:rPr>
        <w:fldChar w:fldCharType="begin"/>
      </w:r>
      <w:r>
        <w:rPr>
          <w:color w:val="auto"/>
          <w:highlight w:val="none"/>
        </w:rPr>
        <w:instrText xml:space="preserve"> PAGEREF _Toc10158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_Toc29486 </w:instrText>
      </w:r>
      <w:r>
        <w:rPr>
          <w:color w:val="auto"/>
          <w:highlight w:val="none"/>
        </w:rPr>
        <w:fldChar w:fldCharType="separate"/>
      </w:r>
      <w:r>
        <w:rPr>
          <w:rFonts w:ascii="黑体" w:hAnsi="黑体" w:eastAsia="黑体" w:cs="楷体_GB2312"/>
          <w:bCs/>
          <w:color w:val="auto"/>
          <w:szCs w:val="28"/>
          <w:highlight w:val="none"/>
          <w:lang w:val="zh-CN"/>
        </w:rPr>
        <w:t xml:space="preserve">3. </w:t>
      </w:r>
      <w:r>
        <w:rPr>
          <w:rFonts w:hint="eastAsia" w:ascii="黑体" w:hAnsi="黑体" w:eastAsia="黑体" w:cs="楷体_GB2312"/>
          <w:bCs/>
          <w:color w:val="auto"/>
          <w:szCs w:val="28"/>
          <w:highlight w:val="none"/>
          <w:lang w:val="zh-CN"/>
        </w:rPr>
        <w:t>投标文件（响应文件）</w:t>
      </w:r>
      <w:r>
        <w:rPr>
          <w:color w:val="auto"/>
          <w:highlight w:val="none"/>
        </w:rPr>
        <w:tab/>
      </w:r>
      <w:r>
        <w:rPr>
          <w:color w:val="auto"/>
          <w:highlight w:val="none"/>
        </w:rPr>
        <w:fldChar w:fldCharType="begin"/>
      </w:r>
      <w:r>
        <w:rPr>
          <w:color w:val="auto"/>
          <w:highlight w:val="none"/>
        </w:rPr>
        <w:instrText xml:space="preserve"> PAGEREF _Toc29486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_Toc26228 </w:instrText>
      </w:r>
      <w:r>
        <w:rPr>
          <w:color w:val="auto"/>
          <w:highlight w:val="none"/>
        </w:rPr>
        <w:fldChar w:fldCharType="separate"/>
      </w:r>
      <w:r>
        <w:rPr>
          <w:rFonts w:ascii="黑体" w:hAnsi="黑体" w:eastAsia="黑体" w:cs="楷体_GB2312"/>
          <w:bCs/>
          <w:color w:val="auto"/>
          <w:szCs w:val="28"/>
          <w:highlight w:val="none"/>
          <w:lang w:val="zh-CN"/>
        </w:rPr>
        <w:t xml:space="preserve">4. </w:t>
      </w:r>
      <w:r>
        <w:rPr>
          <w:rFonts w:hint="eastAsia" w:ascii="黑体" w:hAnsi="黑体" w:eastAsia="黑体" w:cs="楷体_GB2312"/>
          <w:bCs/>
          <w:color w:val="auto"/>
          <w:szCs w:val="28"/>
          <w:highlight w:val="none"/>
          <w:lang w:val="zh-CN"/>
        </w:rPr>
        <w:t>投标（响应文件的递交）</w:t>
      </w:r>
      <w:r>
        <w:rPr>
          <w:color w:val="auto"/>
          <w:highlight w:val="none"/>
        </w:rPr>
        <w:tab/>
      </w:r>
      <w:r>
        <w:rPr>
          <w:color w:val="auto"/>
          <w:highlight w:val="none"/>
        </w:rPr>
        <w:fldChar w:fldCharType="begin"/>
      </w:r>
      <w:r>
        <w:rPr>
          <w:color w:val="auto"/>
          <w:highlight w:val="none"/>
        </w:rPr>
        <w:instrText xml:space="preserve"> PAGEREF _Toc26228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_Toc30462 </w:instrText>
      </w:r>
      <w:r>
        <w:rPr>
          <w:color w:val="auto"/>
          <w:highlight w:val="none"/>
        </w:rPr>
        <w:fldChar w:fldCharType="separate"/>
      </w:r>
      <w:r>
        <w:rPr>
          <w:rFonts w:ascii="黑体" w:hAnsi="黑体" w:eastAsia="黑体" w:cs="楷体_GB2312"/>
          <w:bCs/>
          <w:color w:val="auto"/>
          <w:szCs w:val="28"/>
          <w:highlight w:val="none"/>
          <w:lang w:val="zh-CN"/>
        </w:rPr>
        <w:t xml:space="preserve">5. </w:t>
      </w:r>
      <w:r>
        <w:rPr>
          <w:rFonts w:hint="eastAsia" w:ascii="黑体" w:hAnsi="黑体" w:eastAsia="黑体" w:cs="楷体_GB2312"/>
          <w:bCs/>
          <w:color w:val="auto"/>
          <w:szCs w:val="28"/>
          <w:highlight w:val="none"/>
          <w:lang w:val="zh-CN"/>
        </w:rPr>
        <w:t>开标（响应文件的开启）</w:t>
      </w:r>
      <w:r>
        <w:rPr>
          <w:color w:val="auto"/>
          <w:highlight w:val="none"/>
        </w:rPr>
        <w:tab/>
      </w:r>
      <w:r>
        <w:rPr>
          <w:color w:val="auto"/>
          <w:highlight w:val="none"/>
        </w:rPr>
        <w:fldChar w:fldCharType="begin"/>
      </w:r>
      <w:r>
        <w:rPr>
          <w:color w:val="auto"/>
          <w:highlight w:val="none"/>
        </w:rPr>
        <w:instrText xml:space="preserve"> PAGEREF _Toc30462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_Toc832 </w:instrText>
      </w:r>
      <w:r>
        <w:rPr>
          <w:color w:val="auto"/>
          <w:highlight w:val="none"/>
        </w:rPr>
        <w:fldChar w:fldCharType="separate"/>
      </w:r>
      <w:r>
        <w:rPr>
          <w:rFonts w:ascii="黑体" w:hAnsi="黑体" w:eastAsia="黑体" w:cs="楷体_GB2312"/>
          <w:bCs/>
          <w:color w:val="auto"/>
          <w:szCs w:val="28"/>
          <w:highlight w:val="none"/>
          <w:lang w:val="zh-CN"/>
        </w:rPr>
        <w:t xml:space="preserve">6. </w:t>
      </w:r>
      <w:r>
        <w:rPr>
          <w:rFonts w:hint="eastAsia" w:ascii="黑体" w:hAnsi="黑体" w:eastAsia="黑体" w:cs="楷体_GB2312"/>
          <w:bCs/>
          <w:color w:val="auto"/>
          <w:szCs w:val="28"/>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_Toc832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_Toc28167 </w:instrText>
      </w:r>
      <w:r>
        <w:rPr>
          <w:color w:val="auto"/>
          <w:highlight w:val="none"/>
        </w:rPr>
        <w:fldChar w:fldCharType="separate"/>
      </w:r>
      <w:r>
        <w:rPr>
          <w:rFonts w:ascii="黑体" w:hAnsi="黑体" w:eastAsia="黑体" w:cs="楷体_GB2312"/>
          <w:bCs/>
          <w:color w:val="auto"/>
          <w:szCs w:val="28"/>
          <w:highlight w:val="none"/>
          <w:lang w:val="zh-CN"/>
        </w:rPr>
        <w:t xml:space="preserve">7. </w:t>
      </w:r>
      <w:r>
        <w:rPr>
          <w:rFonts w:hint="eastAsia" w:ascii="黑体" w:hAnsi="黑体" w:eastAsia="黑体" w:cs="楷体_GB2312"/>
          <w:bCs/>
          <w:color w:val="auto"/>
          <w:szCs w:val="28"/>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_Toc28167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_Toc25463 </w:instrText>
      </w:r>
      <w:r>
        <w:rPr>
          <w:color w:val="auto"/>
          <w:highlight w:val="none"/>
        </w:rPr>
        <w:fldChar w:fldCharType="separate"/>
      </w:r>
      <w:r>
        <w:rPr>
          <w:rFonts w:ascii="黑体" w:hAnsi="黑体" w:eastAsia="黑体" w:cs="楷体_GB2312"/>
          <w:bCs/>
          <w:color w:val="auto"/>
          <w:szCs w:val="28"/>
          <w:highlight w:val="none"/>
          <w:lang w:val="zh-CN"/>
        </w:rPr>
        <w:t xml:space="preserve">8. </w:t>
      </w:r>
      <w:r>
        <w:rPr>
          <w:rFonts w:hint="eastAsia" w:ascii="黑体" w:hAnsi="黑体" w:eastAsia="黑体" w:cs="楷体_GB2312"/>
          <w:bCs/>
          <w:color w:val="auto"/>
          <w:szCs w:val="28"/>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_Toc25463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_Toc29832 </w:instrText>
      </w:r>
      <w:r>
        <w:rPr>
          <w:color w:val="auto"/>
          <w:highlight w:val="none"/>
        </w:rPr>
        <w:fldChar w:fldCharType="separate"/>
      </w:r>
      <w:r>
        <w:rPr>
          <w:rFonts w:ascii="黑体" w:hAnsi="黑体" w:eastAsia="黑体" w:cs="楷体_GB2312"/>
          <w:bCs/>
          <w:color w:val="auto"/>
          <w:szCs w:val="28"/>
          <w:highlight w:val="none"/>
          <w:lang w:val="zh-CN"/>
        </w:rPr>
        <w:t>9.</w:t>
      </w:r>
      <w:r>
        <w:rPr>
          <w:rFonts w:hint="eastAsia" w:ascii="黑体" w:hAnsi="黑体" w:eastAsia="黑体" w:cs="楷体_GB2312"/>
          <w:bCs/>
          <w:color w:val="auto"/>
          <w:szCs w:val="28"/>
          <w:highlight w:val="none"/>
          <w:lang w:val="zh-CN"/>
        </w:rPr>
        <w:t xml:space="preserve"> 付款</w:t>
      </w:r>
      <w:r>
        <w:rPr>
          <w:color w:val="auto"/>
          <w:highlight w:val="none"/>
        </w:rPr>
        <w:tab/>
      </w:r>
      <w:r>
        <w:rPr>
          <w:color w:val="auto"/>
          <w:highlight w:val="none"/>
        </w:rPr>
        <w:fldChar w:fldCharType="begin"/>
      </w:r>
      <w:r>
        <w:rPr>
          <w:color w:val="auto"/>
          <w:highlight w:val="none"/>
        </w:rPr>
        <w:instrText xml:space="preserve"> PAGEREF _Toc29832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_Toc29986 </w:instrText>
      </w:r>
      <w:r>
        <w:rPr>
          <w:color w:val="auto"/>
          <w:highlight w:val="none"/>
        </w:rPr>
        <w:fldChar w:fldCharType="separate"/>
      </w:r>
      <w:r>
        <w:rPr>
          <w:rFonts w:ascii="黑体" w:hAnsi="黑体" w:eastAsia="黑体" w:cs="楷体_GB2312"/>
          <w:bCs/>
          <w:color w:val="auto"/>
          <w:szCs w:val="28"/>
          <w:highlight w:val="none"/>
          <w:lang w:val="zh-CN"/>
        </w:rPr>
        <w:t xml:space="preserve">10. </w:t>
      </w:r>
      <w:r>
        <w:rPr>
          <w:rFonts w:hint="eastAsia" w:ascii="黑体" w:hAnsi="黑体" w:eastAsia="黑体" w:cs="楷体_GB2312"/>
          <w:bCs/>
          <w:color w:val="auto"/>
          <w:szCs w:val="28"/>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_Toc29986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_Toc33 </w:instrText>
      </w:r>
      <w:r>
        <w:rPr>
          <w:color w:val="auto"/>
          <w:highlight w:val="none"/>
        </w:rPr>
        <w:fldChar w:fldCharType="separate"/>
      </w:r>
      <w:r>
        <w:rPr>
          <w:rFonts w:hint="eastAsia" w:ascii="黑体" w:hAnsi="黑体" w:eastAsia="黑体" w:cs="楷体_GB2312"/>
          <w:bCs/>
          <w:color w:val="auto"/>
          <w:szCs w:val="28"/>
          <w:highlight w:val="none"/>
          <w:lang w:val="zh-CN"/>
        </w:rPr>
        <w:t>11. 河南省政府采购合同融资政策告知函</w:t>
      </w:r>
      <w:r>
        <w:rPr>
          <w:color w:val="auto"/>
          <w:highlight w:val="none"/>
        </w:rPr>
        <w:tab/>
      </w:r>
      <w:r>
        <w:rPr>
          <w:color w:val="auto"/>
          <w:highlight w:val="none"/>
        </w:rPr>
        <w:fldChar w:fldCharType="begin"/>
      </w:r>
      <w:r>
        <w:rPr>
          <w:color w:val="auto"/>
          <w:highlight w:val="none"/>
        </w:rPr>
        <w:instrText xml:space="preserve"> PAGEREF _Toc33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HYPERLINK \l _Toc49 </w:instrText>
      </w:r>
      <w:r>
        <w:rPr>
          <w:color w:val="auto"/>
          <w:highlight w:val="none"/>
        </w:rPr>
        <w:fldChar w:fldCharType="separate"/>
      </w:r>
      <w:r>
        <w:rPr>
          <w:rFonts w:hint="eastAsia" w:eastAsia="黑体"/>
          <w:color w:val="auto"/>
          <w:szCs w:val="36"/>
          <w:highlight w:val="none"/>
        </w:rPr>
        <w:t>第四章</w:t>
      </w:r>
      <w:r>
        <w:rPr>
          <w:rFonts w:eastAsia="黑体"/>
          <w:color w:val="auto"/>
          <w:szCs w:val="36"/>
          <w:highlight w:val="none"/>
        </w:rPr>
        <w:t xml:space="preserve"> </w:t>
      </w:r>
      <w:r>
        <w:rPr>
          <w:rFonts w:hint="eastAsia" w:eastAsia="黑体"/>
          <w:color w:val="auto"/>
          <w:szCs w:val="36"/>
          <w:highlight w:val="none"/>
        </w:rPr>
        <w:t xml:space="preserve"> 评审办法</w:t>
      </w:r>
      <w:r>
        <w:rPr>
          <w:color w:val="auto"/>
          <w:highlight w:val="none"/>
        </w:rPr>
        <w:tab/>
      </w:r>
      <w:r>
        <w:rPr>
          <w:color w:val="auto"/>
          <w:highlight w:val="none"/>
        </w:rPr>
        <w:fldChar w:fldCharType="begin"/>
      </w:r>
      <w:r>
        <w:rPr>
          <w:color w:val="auto"/>
          <w:highlight w:val="none"/>
        </w:rPr>
        <w:instrText xml:space="preserve"> PAGEREF _Toc49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_Toc1670 </w:instrText>
      </w:r>
      <w:r>
        <w:rPr>
          <w:color w:val="auto"/>
          <w:highlight w:val="none"/>
        </w:rPr>
        <w:fldChar w:fldCharType="separate"/>
      </w:r>
      <w:r>
        <w:rPr>
          <w:rFonts w:hint="eastAsia" w:ascii="黑体" w:hAnsi="黑体" w:eastAsia="黑体"/>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_Toc1670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_Toc25322 </w:instrText>
      </w:r>
      <w:r>
        <w:rPr>
          <w:color w:val="auto"/>
          <w:highlight w:val="none"/>
        </w:rPr>
        <w:fldChar w:fldCharType="separate"/>
      </w:r>
      <w:r>
        <w:rPr>
          <w:rFonts w:ascii="黑体" w:hAnsi="黑体" w:eastAsia="黑体" w:cs="楷体_GB2312"/>
          <w:bCs/>
          <w:color w:val="auto"/>
          <w:szCs w:val="28"/>
          <w:highlight w:val="none"/>
          <w:lang w:val="zh-CN"/>
        </w:rPr>
        <w:t xml:space="preserve">1. </w:t>
      </w:r>
      <w:r>
        <w:rPr>
          <w:rFonts w:hint="eastAsia" w:ascii="黑体" w:hAnsi="黑体" w:eastAsia="黑体" w:cs="楷体_GB2312"/>
          <w:bCs/>
          <w:color w:val="auto"/>
          <w:szCs w:val="28"/>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_Toc25322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_Toc14020 </w:instrText>
      </w:r>
      <w:r>
        <w:rPr>
          <w:color w:val="auto"/>
          <w:highlight w:val="none"/>
        </w:rPr>
        <w:fldChar w:fldCharType="separate"/>
      </w:r>
      <w:r>
        <w:rPr>
          <w:rFonts w:ascii="黑体" w:hAnsi="黑体" w:eastAsia="黑体" w:cs="楷体_GB2312"/>
          <w:bCs/>
          <w:color w:val="auto"/>
          <w:szCs w:val="28"/>
          <w:highlight w:val="none"/>
          <w:lang w:val="zh-CN"/>
        </w:rPr>
        <w:t xml:space="preserve">2. </w:t>
      </w:r>
      <w:r>
        <w:rPr>
          <w:rFonts w:hint="eastAsia" w:ascii="黑体" w:hAnsi="黑体" w:eastAsia="黑体" w:cs="楷体_GB2312"/>
          <w:bCs/>
          <w:color w:val="auto"/>
          <w:szCs w:val="28"/>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_Toc6810 </w:instrText>
      </w:r>
      <w:r>
        <w:rPr>
          <w:color w:val="auto"/>
          <w:highlight w:val="none"/>
        </w:rPr>
        <w:fldChar w:fldCharType="separate"/>
      </w:r>
      <w:r>
        <w:rPr>
          <w:rFonts w:ascii="黑体" w:hAnsi="黑体" w:eastAsia="黑体" w:cs="楷体_GB2312"/>
          <w:bCs/>
          <w:color w:val="auto"/>
          <w:szCs w:val="28"/>
          <w:highlight w:val="none"/>
          <w:lang w:val="zh-CN"/>
        </w:rPr>
        <w:t xml:space="preserve">3. </w:t>
      </w:r>
      <w:r>
        <w:rPr>
          <w:rFonts w:hint="eastAsia" w:ascii="黑体" w:hAnsi="黑体" w:eastAsia="黑体" w:cs="楷体_GB2312"/>
          <w:bCs/>
          <w:color w:val="auto"/>
          <w:szCs w:val="28"/>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_Toc6810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HYPERLINK \l _Toc16792 </w:instrText>
      </w:r>
      <w:r>
        <w:rPr>
          <w:color w:val="auto"/>
          <w:highlight w:val="none"/>
        </w:rPr>
        <w:fldChar w:fldCharType="separate"/>
      </w:r>
      <w:r>
        <w:rPr>
          <w:rFonts w:hint="eastAsia" w:ascii="黑体" w:eastAsia="黑体"/>
          <w:color w:val="auto"/>
          <w:szCs w:val="36"/>
          <w:highlight w:val="none"/>
        </w:rPr>
        <w:t>第五章</w:t>
      </w:r>
      <w:r>
        <w:rPr>
          <w:rFonts w:ascii="黑体" w:eastAsia="黑体"/>
          <w:color w:val="auto"/>
          <w:szCs w:val="36"/>
          <w:highlight w:val="none"/>
        </w:rPr>
        <w:t xml:space="preserve">  </w:t>
      </w:r>
      <w:r>
        <w:rPr>
          <w:rFonts w:hint="eastAsia" w:ascii="黑体" w:eastAsia="黑体"/>
          <w:color w:val="auto"/>
          <w:szCs w:val="36"/>
          <w:highlight w:val="none"/>
        </w:rPr>
        <w:t>合同主要条款</w:t>
      </w:r>
      <w:r>
        <w:rPr>
          <w:color w:val="auto"/>
          <w:highlight w:val="none"/>
        </w:rPr>
        <w:tab/>
      </w:r>
      <w:r>
        <w:rPr>
          <w:color w:val="auto"/>
          <w:highlight w:val="none"/>
        </w:rPr>
        <w:fldChar w:fldCharType="begin"/>
      </w:r>
      <w:r>
        <w:rPr>
          <w:color w:val="auto"/>
          <w:highlight w:val="none"/>
        </w:rPr>
        <w:instrText xml:space="preserve"> PAGEREF _Toc16792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黑体" w:hAnsi="黑体" w:eastAsia="黑体"/>
          <w:bCs w:val="0"/>
          <w:color w:val="auto"/>
          <w:szCs w:val="28"/>
          <w:highlight w:val="none"/>
        </w:rPr>
        <w:t xml:space="preserve">第一节 </w:t>
      </w:r>
      <w:r>
        <w:rPr>
          <w:rFonts w:hint="eastAsia" w:ascii="黑体" w:hAnsi="华文中宋" w:eastAsia="黑体"/>
          <w:bCs w:val="0"/>
          <w:color w:val="auto"/>
          <w:szCs w:val="28"/>
          <w:highlight w:val="none"/>
        </w:rPr>
        <w:t>政府采购合同协议书</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- 49 -</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_Toc20917 </w:instrText>
      </w:r>
      <w:r>
        <w:rPr>
          <w:color w:val="auto"/>
          <w:highlight w:val="none"/>
        </w:rPr>
        <w:fldChar w:fldCharType="separate"/>
      </w:r>
      <w:r>
        <w:rPr>
          <w:rFonts w:hint="eastAsia" w:ascii="黑体" w:hAnsi="黑体" w:eastAsia="黑体"/>
          <w:bCs w:val="0"/>
          <w:color w:val="auto"/>
          <w:szCs w:val="28"/>
          <w:highlight w:val="none"/>
        </w:rPr>
        <w:t>第二节 政府采购合同通用条款</w:t>
      </w:r>
      <w:r>
        <w:rPr>
          <w:color w:val="auto"/>
          <w:highlight w:val="none"/>
        </w:rPr>
        <w:tab/>
      </w:r>
      <w:r>
        <w:rPr>
          <w:color w:val="auto"/>
          <w:highlight w:val="none"/>
        </w:rPr>
        <w:fldChar w:fldCharType="begin"/>
      </w:r>
      <w:r>
        <w:rPr>
          <w:color w:val="auto"/>
          <w:highlight w:val="none"/>
        </w:rPr>
        <w:instrText xml:space="preserve"> PAGEREF _Toc20917 \h </w:instrText>
      </w:r>
      <w:r>
        <w:rPr>
          <w:color w:val="auto"/>
          <w:highlight w:val="none"/>
        </w:rPr>
        <w:fldChar w:fldCharType="separate"/>
      </w:r>
      <w:r>
        <w:rPr>
          <w:color w:val="auto"/>
          <w:highlight w:val="none"/>
        </w:rPr>
        <w:t>- 54 -</w:t>
      </w:r>
      <w:r>
        <w:rPr>
          <w:color w:val="auto"/>
          <w:highlight w:val="none"/>
        </w:rPr>
        <w:fldChar w:fldCharType="end"/>
      </w:r>
      <w:r>
        <w:rPr>
          <w:color w:val="auto"/>
          <w:highlight w:val="none"/>
        </w:rPr>
        <w:fldChar w:fldCharType="end"/>
      </w:r>
    </w:p>
    <w:p>
      <w:pPr>
        <w:pStyle w:val="20"/>
        <w:tabs>
          <w:tab w:val="right" w:leader="dot" w:pos="9381"/>
        </w:tabs>
        <w:rPr>
          <w:color w:val="auto"/>
          <w:highlight w:val="none"/>
        </w:rPr>
      </w:pPr>
      <w:r>
        <w:rPr>
          <w:color w:val="auto"/>
          <w:highlight w:val="none"/>
        </w:rPr>
        <w:fldChar w:fldCharType="begin"/>
      </w:r>
      <w:r>
        <w:rPr>
          <w:color w:val="auto"/>
          <w:highlight w:val="none"/>
        </w:rPr>
        <w:instrText xml:space="preserve"> HYPERLINK \l _Toc18990 </w:instrText>
      </w:r>
      <w:r>
        <w:rPr>
          <w:color w:val="auto"/>
          <w:highlight w:val="none"/>
        </w:rPr>
        <w:fldChar w:fldCharType="separate"/>
      </w:r>
      <w:r>
        <w:rPr>
          <w:rFonts w:hint="eastAsia" w:ascii="黑体" w:hAnsi="华文中宋" w:eastAsia="黑体"/>
          <w:bCs w:val="0"/>
          <w:color w:val="auto"/>
          <w:szCs w:val="28"/>
          <w:highlight w:val="none"/>
        </w:rPr>
        <w:t>第三节 政府采购合同专用条款</w:t>
      </w:r>
      <w:r>
        <w:rPr>
          <w:color w:val="auto"/>
          <w:highlight w:val="none"/>
        </w:rPr>
        <w:tab/>
      </w:r>
      <w:r>
        <w:rPr>
          <w:color w:val="auto"/>
          <w:highlight w:val="none"/>
        </w:rPr>
        <w:fldChar w:fldCharType="begin"/>
      </w:r>
      <w:r>
        <w:rPr>
          <w:color w:val="auto"/>
          <w:highlight w:val="none"/>
        </w:rPr>
        <w:instrText xml:space="preserve"> PAGEREF _Toc18990 \h </w:instrText>
      </w:r>
      <w:r>
        <w:rPr>
          <w:color w:val="auto"/>
          <w:highlight w:val="none"/>
        </w:rPr>
        <w:fldChar w:fldCharType="separate"/>
      </w:r>
      <w:r>
        <w:rPr>
          <w:color w:val="auto"/>
          <w:highlight w:val="none"/>
        </w:rPr>
        <w:t>- 60 -</w:t>
      </w:r>
      <w:r>
        <w:rPr>
          <w:color w:val="auto"/>
          <w:highlight w:val="none"/>
        </w:rPr>
        <w:fldChar w:fldCharType="end"/>
      </w:r>
      <w:r>
        <w:rPr>
          <w:color w:val="auto"/>
          <w:highlight w:val="none"/>
        </w:rPr>
        <w:fldChar w:fldCharType="end"/>
      </w:r>
    </w:p>
    <w:p>
      <w:pPr>
        <w:pStyle w:val="17"/>
        <w:tabs>
          <w:tab w:val="right" w:leader="dot" w:pos="9381"/>
        </w:tabs>
        <w:rPr>
          <w:color w:val="auto"/>
          <w:highlight w:val="none"/>
        </w:rPr>
      </w:pPr>
      <w:r>
        <w:rPr>
          <w:color w:val="auto"/>
          <w:highlight w:val="none"/>
        </w:rPr>
        <w:fldChar w:fldCharType="begin"/>
      </w:r>
      <w:r>
        <w:rPr>
          <w:color w:val="auto"/>
          <w:highlight w:val="none"/>
        </w:rPr>
        <w:instrText xml:space="preserve"> HYPERLINK \l _Toc6882 </w:instrText>
      </w:r>
      <w:r>
        <w:rPr>
          <w:color w:val="auto"/>
          <w:highlight w:val="none"/>
        </w:rPr>
        <w:fldChar w:fldCharType="separate"/>
      </w:r>
      <w:r>
        <w:rPr>
          <w:rFonts w:hint="eastAsia" w:ascii="黑体" w:hAnsi="黑体" w:eastAsia="黑体"/>
          <w:color w:val="auto"/>
          <w:szCs w:val="36"/>
          <w:highlight w:val="none"/>
          <w:lang w:val="zh-CN"/>
        </w:rPr>
        <w:t>第六章</w:t>
      </w:r>
      <w:r>
        <w:rPr>
          <w:rFonts w:ascii="黑体" w:hAnsi="黑体" w:eastAsia="黑体"/>
          <w:color w:val="auto"/>
          <w:szCs w:val="36"/>
          <w:highlight w:val="none"/>
          <w:lang w:val="zh-CN"/>
        </w:rPr>
        <w:t xml:space="preserve"> </w:t>
      </w:r>
      <w:r>
        <w:rPr>
          <w:rFonts w:hint="eastAsia" w:ascii="黑体" w:hAnsi="黑体" w:eastAsia="黑体"/>
          <w:color w:val="auto"/>
          <w:szCs w:val="36"/>
          <w:highlight w:val="none"/>
          <w:lang w:val="zh-CN"/>
        </w:rPr>
        <w:t xml:space="preserve"> 投标文件格式</w:t>
      </w:r>
      <w:r>
        <w:rPr>
          <w:color w:val="auto"/>
          <w:highlight w:val="none"/>
        </w:rPr>
        <w:tab/>
      </w:r>
      <w:r>
        <w:rPr>
          <w:color w:val="auto"/>
          <w:highlight w:val="none"/>
        </w:rPr>
        <w:fldChar w:fldCharType="begin"/>
      </w:r>
      <w:r>
        <w:rPr>
          <w:color w:val="auto"/>
          <w:highlight w:val="none"/>
        </w:rPr>
        <w:instrText xml:space="preserve"> PAGEREF _Toc6882 \h </w:instrText>
      </w:r>
      <w:r>
        <w:rPr>
          <w:color w:val="auto"/>
          <w:highlight w:val="none"/>
        </w:rPr>
        <w:fldChar w:fldCharType="separate"/>
      </w:r>
      <w:r>
        <w:rPr>
          <w:color w:val="auto"/>
          <w:highlight w:val="none"/>
        </w:rPr>
        <w:t>- 62 -</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widowControl w:val="0"/>
        <w:snapToGrid w:val="0"/>
        <w:spacing w:line="660" w:lineRule="exact"/>
        <w:ind w:firstLine="607" w:firstLineChars="168"/>
        <w:rPr>
          <w:rFonts w:ascii="黑体" w:hAnsi="黑体" w:eastAsia="黑体"/>
          <w:b/>
          <w:color w:val="auto"/>
          <w:sz w:val="36"/>
          <w:szCs w:val="36"/>
          <w:highlight w:val="none"/>
        </w:rPr>
      </w:pPr>
    </w:p>
    <w:p>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hAnsi="宋体"/>
          <w:b/>
          <w:color w:val="auto"/>
          <w:sz w:val="24"/>
          <w:szCs w:val="24"/>
          <w:highlight w:val="none"/>
        </w:rPr>
      </w:pPr>
    </w:p>
    <w:p>
      <w:pPr>
        <w:widowControl w:val="0"/>
        <w:snapToGrid w:val="0"/>
        <w:spacing w:line="560" w:lineRule="exact"/>
        <w:jc w:val="center"/>
        <w:outlineLvl w:val="0"/>
        <w:rPr>
          <w:color w:val="auto"/>
          <w:sz w:val="36"/>
          <w:szCs w:val="36"/>
          <w:highlight w:val="none"/>
        </w:rPr>
      </w:pPr>
      <w:bookmarkStart w:id="0" w:name="_Toc28710"/>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 xml:space="preserve"> 谈判邀请函</w:t>
      </w:r>
      <w:bookmarkEnd w:id="0"/>
    </w:p>
    <w:p>
      <w:pPr>
        <w:widowControl w:val="0"/>
        <w:snapToGrid w:val="0"/>
        <w:spacing w:line="276" w:lineRule="auto"/>
        <w:ind w:firstLine="566"/>
        <w:rPr>
          <w:color w:val="auto"/>
          <w:sz w:val="24"/>
          <w:szCs w:val="24"/>
          <w:highlight w:val="none"/>
        </w:rPr>
      </w:pPr>
    </w:p>
    <w:p>
      <w:pPr>
        <w:widowControl w:val="0"/>
        <w:snapToGrid w:val="0"/>
        <w:spacing w:line="360" w:lineRule="auto"/>
        <w:rPr>
          <w:b/>
          <w:color w:val="auto"/>
          <w:sz w:val="24"/>
          <w:szCs w:val="24"/>
          <w:highlight w:val="none"/>
        </w:rPr>
      </w:pPr>
      <w:r>
        <w:rPr>
          <w:rFonts w:hint="eastAsia"/>
          <w:b/>
          <w:color w:val="auto"/>
          <w:sz w:val="24"/>
          <w:szCs w:val="24"/>
          <w:highlight w:val="none"/>
        </w:rPr>
        <w:t>致：</w:t>
      </w:r>
      <w:r>
        <w:rPr>
          <w:rFonts w:hint="eastAsia"/>
          <w:b/>
          <w:color w:val="auto"/>
          <w:sz w:val="24"/>
          <w:szCs w:val="24"/>
          <w:highlight w:val="none"/>
          <w:u w:val="single"/>
        </w:rPr>
        <w:t xml:space="preserve"> 北京合利兄弟体育器材有限公司</w:t>
      </w:r>
    </w:p>
    <w:p>
      <w:pPr>
        <w:widowControl w:val="0"/>
        <w:snapToGrid w:val="0"/>
        <w:spacing w:line="360" w:lineRule="auto"/>
        <w:ind w:firstLine="540" w:firstLineChars="225"/>
        <w:rPr>
          <w:color w:val="auto"/>
          <w:sz w:val="24"/>
          <w:szCs w:val="24"/>
          <w:highlight w:val="none"/>
        </w:rPr>
      </w:pPr>
      <w:r>
        <w:rPr>
          <w:rFonts w:hint="eastAsia"/>
          <w:color w:val="auto"/>
          <w:sz w:val="24"/>
          <w:szCs w:val="24"/>
          <w:highlight w:val="none"/>
        </w:rPr>
        <w:t>安阳市方正招标采购服务有限责任公司接受委托，就安阳市体育运动学校射击馆改造项目进行单一来源采购，邀请你单位参与投标，现将相关事宜通告如下：</w:t>
      </w:r>
    </w:p>
    <w:p>
      <w:pPr>
        <w:widowControl w:val="0"/>
        <w:snapToGrid w:val="0"/>
        <w:spacing w:line="276" w:lineRule="auto"/>
        <w:ind w:firstLine="540" w:firstLineChars="225"/>
        <w:rPr>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1.</w:t>
      </w:r>
      <w:r>
        <w:rPr>
          <w:rFonts w:hint="eastAsia" w:ascii="黑体" w:hAnsi="黑体" w:eastAsia="黑体"/>
          <w:b/>
          <w:color w:val="auto"/>
          <w:sz w:val="28"/>
          <w:szCs w:val="28"/>
          <w:highlight w:val="none"/>
        </w:rPr>
        <w:t>项目概况：</w:t>
      </w:r>
    </w:p>
    <w:p>
      <w:pPr>
        <w:widowControl w:val="0"/>
        <w:adjustRightInd w:val="0"/>
        <w:snapToGrid w:val="0"/>
        <w:spacing w:line="360" w:lineRule="auto"/>
        <w:ind w:firstLine="540" w:firstLineChars="225"/>
        <w:jc w:val="left"/>
        <w:rPr>
          <w:rFonts w:ascii="宋体"/>
          <w:b/>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．采购项目名称：</w:t>
      </w:r>
      <w:r>
        <w:rPr>
          <w:rFonts w:hint="eastAsia"/>
          <w:color w:val="auto"/>
          <w:sz w:val="24"/>
          <w:szCs w:val="24"/>
          <w:highlight w:val="none"/>
        </w:rPr>
        <w:t>安阳市体育运动学校射击馆改造项目</w:t>
      </w:r>
    </w:p>
    <w:p>
      <w:pPr>
        <w:widowControl w:val="0"/>
        <w:adjustRightInd w:val="0"/>
        <w:snapToGrid w:val="0"/>
        <w:spacing w:line="360" w:lineRule="auto"/>
        <w:ind w:firstLine="540" w:firstLineChars="225"/>
        <w:jc w:val="left"/>
        <w:rPr>
          <w:rFonts w:asci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．项目编号：安财单一采购-2025-9</w:t>
      </w:r>
      <w:r>
        <w:rPr>
          <w:rFonts w:ascii="宋体"/>
          <w:color w:val="auto"/>
          <w:sz w:val="24"/>
          <w:szCs w:val="24"/>
          <w:highlight w:val="none"/>
        </w:rPr>
        <w:t xml:space="preserve"> </w:t>
      </w:r>
    </w:p>
    <w:p>
      <w:pPr>
        <w:widowControl w:val="0"/>
        <w:adjustRightInd w:val="0"/>
        <w:snapToGrid w:val="0"/>
        <w:spacing w:line="360" w:lineRule="auto"/>
        <w:ind w:firstLine="540" w:firstLineChars="225"/>
        <w:jc w:val="left"/>
        <w:rPr>
          <w:rFonts w:asci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．采购方式：单一来源</w:t>
      </w:r>
    </w:p>
    <w:p>
      <w:pPr>
        <w:adjustRightInd w:val="0"/>
        <w:snapToGrid w:val="0"/>
        <w:spacing w:line="360" w:lineRule="auto"/>
        <w:ind w:firstLine="540" w:firstLineChars="225"/>
        <w:rPr>
          <w:rFonts w:ascii="宋体"/>
          <w:color w:val="auto"/>
          <w:sz w:val="24"/>
          <w:szCs w:val="24"/>
          <w:highlight w:val="none"/>
        </w:rPr>
      </w:pPr>
      <w:r>
        <w:rPr>
          <w:rFonts w:ascii="宋体" w:hAnsi="宋体"/>
          <w:color w:val="auto"/>
          <w:sz w:val="24"/>
          <w:szCs w:val="24"/>
          <w:highlight w:val="none"/>
        </w:rPr>
        <w:t>1.4</w:t>
      </w:r>
      <w:r>
        <w:rPr>
          <w:rFonts w:hint="eastAsia" w:ascii="宋体" w:hAnsi="宋体"/>
          <w:color w:val="auto"/>
          <w:sz w:val="24"/>
          <w:szCs w:val="24"/>
          <w:highlight w:val="none"/>
        </w:rPr>
        <w:t>．采购项目基本概况：</w:t>
      </w:r>
      <w:r>
        <w:rPr>
          <w:rFonts w:hint="eastAsia"/>
          <w:color w:val="auto"/>
          <w:sz w:val="24"/>
          <w:szCs w:val="24"/>
          <w:highlight w:val="none"/>
        </w:rPr>
        <w:t>射击馆改造</w:t>
      </w:r>
      <w:r>
        <w:rPr>
          <w:rFonts w:hint="eastAsia" w:ascii="宋体" w:hAnsi="宋体"/>
          <w:color w:val="auto"/>
          <w:sz w:val="24"/>
          <w:szCs w:val="24"/>
          <w:highlight w:val="none"/>
        </w:rPr>
        <w:t>，详见单一来源采购文件。</w:t>
      </w:r>
    </w:p>
    <w:p>
      <w:pPr>
        <w:widowControl w:val="0"/>
        <w:adjustRightInd w:val="0"/>
        <w:snapToGrid w:val="0"/>
        <w:spacing w:line="360" w:lineRule="auto"/>
        <w:ind w:firstLine="540" w:firstLineChars="225"/>
        <w:jc w:val="left"/>
        <w:rPr>
          <w:rFonts w:asci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．预算金额：199</w:t>
      </w:r>
      <w:r>
        <w:rPr>
          <w:rFonts w:hint="eastAsia" w:ascii="宋体" w:hAnsi="宋体"/>
          <w:color w:val="auto"/>
          <w:sz w:val="24"/>
          <w:szCs w:val="24"/>
          <w:highlight w:val="none"/>
          <w:lang w:val="en-US" w:eastAsia="zh-CN"/>
        </w:rPr>
        <w:t>95777.73</w:t>
      </w:r>
      <w:r>
        <w:rPr>
          <w:rFonts w:hint="eastAsia" w:ascii="宋体" w:hAnsi="宋体"/>
          <w:color w:val="auto"/>
          <w:sz w:val="24"/>
          <w:szCs w:val="24"/>
          <w:highlight w:val="none"/>
        </w:rPr>
        <w:t>元</w:t>
      </w:r>
    </w:p>
    <w:p>
      <w:pPr>
        <w:widowControl w:val="0"/>
        <w:adjustRightInd w:val="0"/>
        <w:snapToGrid w:val="0"/>
        <w:spacing w:line="276" w:lineRule="auto"/>
        <w:ind w:firstLine="540" w:firstLineChars="225"/>
        <w:jc w:val="left"/>
        <w:rPr>
          <w:rFonts w:asci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2.</w:t>
      </w:r>
      <w:r>
        <w:rPr>
          <w:rFonts w:hint="eastAsia" w:ascii="黑体" w:hAnsi="黑体" w:eastAsia="黑体"/>
          <w:b/>
          <w:color w:val="auto"/>
          <w:sz w:val="28"/>
          <w:szCs w:val="28"/>
          <w:highlight w:val="none"/>
        </w:rPr>
        <w:t>投标人资格要求：</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w:t>
      </w:r>
      <w:r>
        <w:rPr>
          <w:rFonts w:hint="eastAsia" w:ascii="宋体" w:hAnsi="宋体"/>
          <w:color w:val="auto"/>
          <w:sz w:val="24"/>
          <w:szCs w:val="24"/>
          <w:highlight w:val="none"/>
        </w:rPr>
        <w:t>《政府采购法》第二十二条第一款规定的法定基本资格要求：</w:t>
      </w:r>
    </w:p>
    <w:p>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2.2落实政府采购政策需满足的资格要求：无专项资格要求。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2.3.1投标人应满足《中华人民共和国政府采购法》第二十二条第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2.3.2对供</w:t>
      </w:r>
      <w:r>
        <w:rPr>
          <w:rFonts w:ascii="宋体" w:hAnsi="宋体"/>
          <w:color w:val="auto"/>
          <w:sz w:val="24"/>
          <w:szCs w:val="24"/>
          <w:highlight w:val="none"/>
        </w:rPr>
        <w:t>应商的限制性规定</w:t>
      </w:r>
    </w:p>
    <w:p>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pPr>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采购人或者采购代理机构将按以上信用信息查询渠道在解密投标文件之前对单一来源供应商信用记录进行查询，投标人如有上述任一不良信用记录的，其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标，单一来源采购终止。查询的网页内容将以截图或者拍照作为证据留存。</w:t>
      </w:r>
    </w:p>
    <w:p>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2.3.3项目的特定资格要求：</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（1）联合体投标：不接受。</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（2）具备法律、行政法规规定的其他条件。</w:t>
      </w:r>
    </w:p>
    <w:p>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注：（1）</w:t>
      </w:r>
      <w:r>
        <w:rPr>
          <w:rFonts w:ascii="宋体" w:hAnsi="宋体"/>
          <w:color w:val="auto"/>
          <w:sz w:val="24"/>
          <w:szCs w:val="24"/>
          <w:highlight w:val="none"/>
        </w:rPr>
        <w:t xml:space="preserve"> </w:t>
      </w:r>
      <w:r>
        <w:rPr>
          <w:rFonts w:hint="eastAsia" w:ascii="宋体" w:hAnsi="宋体"/>
          <w:color w:val="auto"/>
          <w:sz w:val="24"/>
          <w:szCs w:val="24"/>
          <w:highlight w:val="none"/>
        </w:rPr>
        <w:t>所有证照均应为有效的证照；文中“近”、“前”指距投标截止时间。</w:t>
      </w:r>
    </w:p>
    <w:p>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（2）资格证明材料（文件）应附于投标文件中并经投标人电子签章</w:t>
      </w:r>
      <w:r>
        <w:rPr>
          <w:rFonts w:hint="eastAsia"/>
          <w:color w:val="auto"/>
          <w:sz w:val="24"/>
          <w:szCs w:val="24"/>
          <w:highlight w:val="none"/>
        </w:rPr>
        <w:t>。</w:t>
      </w:r>
      <w:r>
        <w:rPr>
          <w:rFonts w:hint="eastAsia" w:ascii="宋体" w:hAnsi="宋体"/>
          <w:color w:val="auto"/>
          <w:sz w:val="24"/>
          <w:szCs w:val="24"/>
          <w:highlight w:val="none"/>
        </w:rPr>
        <w:t>投标人对资格证明文件真实性有效合规承担责任，提供虚假材料的为无效投标并将进一步追究其责任。</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（3）本项目采取资格后审，开标后，将由谈判小组对投标人的资格证明材料（文件）进行资格审核，未按要求逐一提供、或资格审查不合格的为无效投标，投标人应自负其风险费用。</w:t>
      </w:r>
    </w:p>
    <w:p>
      <w:pPr>
        <w:widowControl w:val="0"/>
        <w:adjustRightInd w:val="0"/>
        <w:snapToGrid w:val="0"/>
        <w:spacing w:line="360" w:lineRule="auto"/>
        <w:ind w:firstLine="540" w:firstLineChars="225"/>
        <w:rPr>
          <w:rFonts w:ascii="宋体"/>
          <w:color w:val="auto"/>
          <w:sz w:val="24"/>
          <w:szCs w:val="24"/>
          <w:highlight w:val="none"/>
        </w:rPr>
      </w:pPr>
    </w:p>
    <w:p>
      <w:pPr>
        <w:widowControl w:val="0"/>
        <w:snapToGrid w:val="0"/>
        <w:spacing w:line="360" w:lineRule="auto"/>
        <w:ind w:firstLine="632" w:firstLineChars="225"/>
        <w:jc w:val="left"/>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单一来源采购文件的获取：</w:t>
      </w:r>
    </w:p>
    <w:p>
      <w:pPr>
        <w:widowControl w:val="0"/>
        <w:snapToGrid w:val="0"/>
        <w:spacing w:line="360" w:lineRule="auto"/>
        <w:ind w:left="55" w:leftChars="26" w:firstLine="542" w:firstLineChars="225"/>
        <w:jc w:val="left"/>
        <w:rPr>
          <w:rFonts w:ascii="宋体" w:hAnsi="宋体"/>
          <w:b/>
          <w:bCs/>
          <w:color w:val="auto"/>
          <w:sz w:val="24"/>
          <w:szCs w:val="24"/>
          <w:highlight w:val="none"/>
        </w:rPr>
      </w:pPr>
      <w:r>
        <w:rPr>
          <w:rFonts w:hint="eastAsia" w:ascii="宋体" w:hAnsi="宋体"/>
          <w:b/>
          <w:bCs/>
          <w:color w:val="auto"/>
          <w:sz w:val="24"/>
          <w:szCs w:val="24"/>
          <w:highlight w:val="none"/>
        </w:rPr>
        <w:t>3.1单一来源采购文件获取时间：202</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日—202</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日。</w:t>
      </w:r>
    </w:p>
    <w:p>
      <w:pPr>
        <w:widowControl w:val="0"/>
        <w:snapToGrid w:val="0"/>
        <w:spacing w:line="360" w:lineRule="auto"/>
        <w:ind w:left="55" w:leftChars="26" w:firstLine="542" w:firstLineChars="225"/>
        <w:rPr>
          <w:b/>
          <w:bCs/>
          <w:color w:val="auto"/>
          <w:sz w:val="24"/>
          <w:szCs w:val="24"/>
          <w:highlight w:val="none"/>
        </w:rPr>
      </w:pPr>
      <w:r>
        <w:rPr>
          <w:rFonts w:hint="eastAsia" w:ascii="宋体" w:hAnsi="宋体"/>
          <w:b/>
          <w:bCs/>
          <w:color w:val="auto"/>
          <w:sz w:val="24"/>
          <w:szCs w:val="24"/>
          <w:highlight w:val="none"/>
        </w:rPr>
        <w:t>3.2单一来源采购文件获取地点、</w:t>
      </w:r>
      <w:r>
        <w:rPr>
          <w:rFonts w:ascii="宋体" w:hAnsi="宋体"/>
          <w:b/>
          <w:bCs/>
          <w:color w:val="auto"/>
          <w:sz w:val="24"/>
          <w:szCs w:val="24"/>
          <w:highlight w:val="none"/>
        </w:rPr>
        <w:t>方式</w:t>
      </w:r>
      <w:r>
        <w:rPr>
          <w:rFonts w:hint="eastAsia" w:ascii="宋体" w:hAnsi="宋体"/>
          <w:b/>
          <w:bCs/>
          <w:color w:val="auto"/>
          <w:sz w:val="24"/>
          <w:szCs w:val="24"/>
          <w:highlight w:val="none"/>
        </w:rPr>
        <w:t>：网上</w:t>
      </w:r>
      <w:r>
        <w:rPr>
          <w:rFonts w:ascii="宋体" w:hAnsi="宋体"/>
          <w:b/>
          <w:bCs/>
          <w:color w:val="auto"/>
          <w:sz w:val="24"/>
          <w:szCs w:val="24"/>
          <w:highlight w:val="none"/>
        </w:rPr>
        <w:t>下载</w:t>
      </w:r>
      <w:r>
        <w:rPr>
          <w:rFonts w:hint="eastAsia" w:ascii="宋体" w:hAnsi="宋体"/>
          <w:b/>
          <w:bCs/>
          <w:color w:val="auto"/>
          <w:sz w:val="24"/>
          <w:szCs w:val="24"/>
          <w:highlight w:val="none"/>
        </w:rPr>
        <w:t>；</w:t>
      </w:r>
      <w:r>
        <w:rPr>
          <w:rFonts w:hint="eastAsia"/>
          <w:b/>
          <w:bCs/>
          <w:color w:val="auto"/>
          <w:sz w:val="24"/>
          <w:szCs w:val="24"/>
          <w:highlight w:val="none"/>
        </w:rPr>
        <w:t>登陆安阳市公共资源交易中心网站（</w:t>
      </w:r>
      <w:r>
        <w:rPr>
          <w:b/>
          <w:bCs/>
          <w:color w:val="auto"/>
          <w:sz w:val="24"/>
          <w:szCs w:val="24"/>
          <w:highlight w:val="none"/>
        </w:rPr>
        <w:t>https://ggzy.anyang.gov.cn</w:t>
      </w:r>
      <w:r>
        <w:rPr>
          <w:rFonts w:hint="eastAsia"/>
          <w:b/>
          <w:bCs/>
          <w:color w:val="auto"/>
          <w:sz w:val="24"/>
          <w:szCs w:val="24"/>
          <w:highlight w:val="none"/>
        </w:rPr>
        <w:t>），在【交易主体登录】入口完成注册。凭数字证书下载单一来源文件及其它资料。</w:t>
      </w:r>
    </w:p>
    <w:p>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pPr>
        <w:widowControl w:val="0"/>
        <w:snapToGrid w:val="0"/>
        <w:spacing w:line="360" w:lineRule="auto"/>
        <w:ind w:left="55" w:leftChars="26" w:firstLine="542" w:firstLineChars="225"/>
        <w:jc w:val="left"/>
        <w:rPr>
          <w:rFonts w:ascii="宋体" w:hAnsi="宋体"/>
          <w:b/>
          <w:color w:val="auto"/>
          <w:sz w:val="24"/>
          <w:szCs w:val="24"/>
          <w:highlight w:val="none"/>
        </w:rPr>
      </w:pPr>
      <w:r>
        <w:rPr>
          <w:rFonts w:hint="eastAsia" w:ascii="宋体" w:hAnsi="宋体"/>
          <w:b/>
          <w:color w:val="auto"/>
          <w:sz w:val="24"/>
          <w:szCs w:val="24"/>
          <w:highlight w:val="none"/>
        </w:rPr>
        <w:t>3.</w:t>
      </w:r>
      <w:r>
        <w:rPr>
          <w:rFonts w:ascii="宋体" w:hAnsi="宋体"/>
          <w:b/>
          <w:color w:val="auto"/>
          <w:sz w:val="24"/>
          <w:szCs w:val="24"/>
          <w:highlight w:val="none"/>
        </w:rPr>
        <w:t xml:space="preserve">3 </w:t>
      </w:r>
      <w:r>
        <w:rPr>
          <w:rFonts w:hint="eastAsia" w:ascii="宋体" w:hAnsi="宋体"/>
          <w:b/>
          <w:color w:val="auto"/>
          <w:sz w:val="24"/>
          <w:szCs w:val="24"/>
          <w:highlight w:val="none"/>
        </w:rPr>
        <w:t>单一来源采购文件售价：</w:t>
      </w:r>
      <w:r>
        <w:rPr>
          <w:rFonts w:hint="eastAsia"/>
          <w:b/>
          <w:bCs/>
          <w:color w:val="auto"/>
          <w:sz w:val="24"/>
          <w:szCs w:val="24"/>
          <w:highlight w:val="none"/>
        </w:rPr>
        <w:t>为优化营商环境，电子标免收标书费。</w:t>
      </w:r>
    </w:p>
    <w:p>
      <w:pPr>
        <w:widowControl w:val="0"/>
        <w:snapToGrid w:val="0"/>
        <w:spacing w:line="360" w:lineRule="auto"/>
        <w:ind w:firstLine="562" w:firstLineChars="200"/>
        <w:rPr>
          <w:rFonts w:ascii="黑体" w:hAnsi="黑体" w:eastAsia="黑体"/>
          <w:b/>
          <w:color w:val="auto"/>
          <w:sz w:val="28"/>
          <w:szCs w:val="28"/>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投标文件（响应文件）提交的截止时间、开启时间及地点：</w:t>
      </w:r>
    </w:p>
    <w:p>
      <w:pPr>
        <w:widowControl w:val="0"/>
        <w:snapToGrid w:val="0"/>
        <w:spacing w:line="360" w:lineRule="auto"/>
        <w:ind w:left="55" w:leftChars="26"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本次单一来源采购，采用网上电子交易方式在安阳市公共资源交易系统进行。</w:t>
      </w:r>
    </w:p>
    <w:p>
      <w:pPr>
        <w:widowControl w:val="0"/>
        <w:snapToGrid w:val="0"/>
        <w:spacing w:line="360" w:lineRule="auto"/>
        <w:ind w:left="55" w:leftChars="26" w:firstLine="540" w:firstLineChars="225"/>
        <w:jc w:val="left"/>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提交响应文件截止时间及开启时间：</w:t>
      </w:r>
      <w:r>
        <w:rPr>
          <w:rFonts w:ascii="宋体" w:hAnsi="宋体"/>
          <w:color w:val="auto"/>
          <w:sz w:val="24"/>
          <w:szCs w:val="24"/>
          <w:highlight w:val="none"/>
        </w:rPr>
        <w:t>20</w:t>
      </w: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p>
    <w:p>
      <w:pPr>
        <w:widowControl w:val="0"/>
        <w:snapToGrid w:val="0"/>
        <w:spacing w:line="360" w:lineRule="auto"/>
        <w:ind w:left="55" w:leftChars="26"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4.2响应文件递交地</w:t>
      </w:r>
      <w:r>
        <w:rPr>
          <w:rFonts w:ascii="宋体" w:hAnsi="宋体"/>
          <w:color w:val="auto"/>
          <w:sz w:val="24"/>
          <w:szCs w:val="24"/>
          <w:highlight w:val="none"/>
        </w:rPr>
        <w:t>点：</w:t>
      </w:r>
      <w:r>
        <w:rPr>
          <w:rFonts w:hint="eastAsia" w:ascii="宋体" w:hAnsi="宋体"/>
          <w:color w:val="auto"/>
          <w:sz w:val="24"/>
          <w:szCs w:val="24"/>
          <w:highlight w:val="none"/>
        </w:rPr>
        <w:t>于安阳市公共资源交易平台网</w:t>
      </w:r>
      <w:r>
        <w:rPr>
          <w:rFonts w:ascii="宋体" w:hAnsi="宋体"/>
          <w:color w:val="auto"/>
          <w:sz w:val="24"/>
          <w:szCs w:val="24"/>
          <w:highlight w:val="none"/>
        </w:rPr>
        <w:t>上</w:t>
      </w:r>
      <w:r>
        <w:rPr>
          <w:rFonts w:hint="eastAsia" w:ascii="宋体" w:hAnsi="宋体"/>
          <w:color w:val="auto"/>
          <w:sz w:val="24"/>
          <w:szCs w:val="24"/>
          <w:highlight w:val="none"/>
        </w:rPr>
        <w:t>上传</w:t>
      </w:r>
      <w:r>
        <w:rPr>
          <w:rFonts w:ascii="宋体" w:hAnsi="宋体"/>
          <w:color w:val="auto"/>
          <w:sz w:val="24"/>
          <w:szCs w:val="24"/>
          <w:highlight w:val="none"/>
        </w:rPr>
        <w:t>递</w:t>
      </w:r>
      <w:r>
        <w:rPr>
          <w:rFonts w:hint="eastAsia" w:ascii="宋体" w:hAnsi="宋体"/>
          <w:color w:val="auto"/>
          <w:sz w:val="24"/>
          <w:szCs w:val="24"/>
          <w:highlight w:val="none"/>
        </w:rPr>
        <w:t>交、</w:t>
      </w:r>
      <w:r>
        <w:rPr>
          <w:rFonts w:ascii="宋体" w:hAnsi="宋体"/>
          <w:color w:val="auto"/>
          <w:sz w:val="24"/>
          <w:szCs w:val="24"/>
          <w:highlight w:val="none"/>
        </w:rPr>
        <w:t>并</w:t>
      </w:r>
      <w:r>
        <w:rPr>
          <w:rFonts w:hint="eastAsia" w:ascii="宋体" w:hAnsi="宋体"/>
          <w:color w:val="auto"/>
          <w:sz w:val="24"/>
          <w:szCs w:val="24"/>
          <w:highlight w:val="none"/>
        </w:rPr>
        <w:t>由</w:t>
      </w:r>
      <w:r>
        <w:rPr>
          <w:rFonts w:ascii="宋体" w:hAnsi="宋体"/>
          <w:color w:val="auto"/>
          <w:sz w:val="24"/>
          <w:szCs w:val="24"/>
          <w:highlight w:val="none"/>
        </w:rPr>
        <w:t>投标人在规定时间</w:t>
      </w:r>
      <w:r>
        <w:rPr>
          <w:rFonts w:hint="eastAsia" w:ascii="宋体" w:hAnsi="宋体"/>
          <w:color w:val="auto"/>
          <w:sz w:val="24"/>
          <w:szCs w:val="24"/>
          <w:highlight w:val="none"/>
        </w:rPr>
        <w:t>远程解密。</w:t>
      </w:r>
    </w:p>
    <w:p>
      <w:pPr>
        <w:widowControl w:val="0"/>
        <w:snapToGrid w:val="0"/>
        <w:spacing w:line="360" w:lineRule="auto"/>
        <w:ind w:left="55" w:leftChars="26" w:firstLine="540" w:firstLineChars="225"/>
        <w:jc w:val="left"/>
        <w:rPr>
          <w:rFonts w:ascii="宋体" w:hAnsi="宋体"/>
          <w:color w:val="auto"/>
          <w:sz w:val="24"/>
          <w:szCs w:val="24"/>
          <w:highlight w:val="none"/>
        </w:rPr>
      </w:pPr>
      <w:r>
        <w:rPr>
          <w:rFonts w:ascii="宋体" w:hAnsi="宋体"/>
          <w:color w:val="auto"/>
          <w:sz w:val="24"/>
          <w:szCs w:val="24"/>
          <w:highlight w:val="none"/>
        </w:rPr>
        <w:t>4.3</w:t>
      </w:r>
      <w:r>
        <w:rPr>
          <w:rFonts w:hint="eastAsia" w:ascii="宋体" w:hAnsi="宋体"/>
          <w:color w:val="auto"/>
          <w:sz w:val="24"/>
          <w:szCs w:val="24"/>
          <w:highlight w:val="none"/>
        </w:rPr>
        <w:t>开启地点（管理员网上操作地点）：安阳市公共资源交易中心五楼集中开标大厅</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室（安阳市文峰大道东段559号安阳市民之家）。</w:t>
      </w:r>
    </w:p>
    <w:p>
      <w:pPr>
        <w:widowControl w:val="0"/>
        <w:adjustRightInd w:val="0"/>
        <w:spacing w:before="156" w:beforeLines="50" w:line="300" w:lineRule="auto"/>
        <w:ind w:firstLine="542" w:firstLineChars="225"/>
        <w:rPr>
          <w:b/>
          <w:bCs/>
          <w:color w:val="auto"/>
          <w:sz w:val="24"/>
          <w:szCs w:val="24"/>
          <w:highlight w:val="none"/>
        </w:rPr>
      </w:pPr>
      <w:r>
        <w:rPr>
          <w:rFonts w:hint="eastAsia"/>
          <w:b/>
          <w:bCs/>
          <w:color w:val="auto"/>
          <w:sz w:val="24"/>
          <w:szCs w:val="24"/>
          <w:highlight w:val="none"/>
        </w:rPr>
        <w:t>4.4</w:t>
      </w:r>
      <w:r>
        <w:rPr>
          <w:b/>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pPr>
        <w:widowControl w:val="0"/>
        <w:adjustRightInd w:val="0"/>
        <w:snapToGrid w:val="0"/>
        <w:spacing w:line="276" w:lineRule="auto"/>
        <w:ind w:firstLine="540" w:firstLineChars="225"/>
        <w:rPr>
          <w:rFonts w:ascii="宋体" w:hAnsi="宋体"/>
          <w:color w:val="auto"/>
          <w:sz w:val="24"/>
          <w:szCs w:val="24"/>
          <w:highlight w:val="none"/>
        </w:rPr>
      </w:pPr>
    </w:p>
    <w:p>
      <w:pPr>
        <w:widowControl w:val="0"/>
        <w:snapToGrid w:val="0"/>
        <w:spacing w:line="360" w:lineRule="auto"/>
        <w:ind w:firstLine="632" w:firstLineChars="225"/>
        <w:jc w:val="left"/>
        <w:rPr>
          <w:color w:val="auto"/>
          <w:sz w:val="24"/>
          <w:szCs w:val="24"/>
          <w:highlight w:val="none"/>
        </w:rPr>
      </w:pPr>
      <w:r>
        <w:rPr>
          <w:rFonts w:ascii="黑体" w:hAnsi="黑体" w:eastAsia="黑体"/>
          <w:b/>
          <w:color w:val="auto"/>
          <w:sz w:val="28"/>
          <w:szCs w:val="28"/>
          <w:highlight w:val="none"/>
        </w:rPr>
        <w:t>5.</w:t>
      </w:r>
      <w:r>
        <w:rPr>
          <w:rFonts w:hint="eastAsia" w:ascii="黑体" w:hAnsi="黑体" w:eastAsia="黑体"/>
          <w:b/>
          <w:color w:val="auto"/>
          <w:sz w:val="28"/>
          <w:szCs w:val="28"/>
          <w:highlight w:val="none"/>
        </w:rPr>
        <w:t>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pPr>
        <w:widowControl w:val="0"/>
        <w:adjustRightInd w:val="0"/>
        <w:snapToGrid w:val="0"/>
        <w:spacing w:line="276" w:lineRule="auto"/>
        <w:ind w:firstLine="540" w:firstLineChars="225"/>
        <w:rPr>
          <w:rFonts w:ascii="宋体" w:hAns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6.</w:t>
      </w:r>
      <w:r>
        <w:rPr>
          <w:rFonts w:hint="eastAsia" w:ascii="黑体" w:hAnsi="黑体" w:eastAsia="黑体"/>
          <w:b/>
          <w:color w:val="auto"/>
          <w:sz w:val="28"/>
          <w:szCs w:val="28"/>
          <w:highlight w:val="none"/>
        </w:rPr>
        <w:t>成交公告发布的媒介：</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p>
    <w:p>
      <w:pPr>
        <w:widowControl w:val="0"/>
        <w:tabs>
          <w:tab w:val="left" w:pos="39"/>
          <w:tab w:val="left" w:pos="96"/>
        </w:tabs>
        <w:snapToGrid w:val="0"/>
        <w:spacing w:line="276" w:lineRule="auto"/>
        <w:rPr>
          <w:rFonts w:asci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7.</w:t>
      </w:r>
      <w:r>
        <w:rPr>
          <w:rFonts w:hint="eastAsia" w:ascii="黑体" w:hAnsi="黑体" w:eastAsia="黑体"/>
          <w:b/>
          <w:color w:val="auto"/>
          <w:sz w:val="28"/>
          <w:szCs w:val="28"/>
          <w:highlight w:val="none"/>
        </w:rPr>
        <w:t>网上电子交易系统网址：</w:t>
      </w:r>
    </w:p>
    <w:p>
      <w:pPr>
        <w:widowControl w:val="0"/>
        <w:tabs>
          <w:tab w:val="left" w:pos="39"/>
          <w:tab w:val="left" w:pos="96"/>
        </w:tabs>
        <w:snapToGrid w:val="0"/>
        <w:spacing w:line="360" w:lineRule="auto"/>
        <w:ind w:firstLine="590" w:firstLineChars="245"/>
        <w:rPr>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31"/>
          <w:b/>
          <w:color w:val="auto"/>
          <w:sz w:val="24"/>
          <w:szCs w:val="24"/>
          <w:highlight w:val="none"/>
        </w:rPr>
        <w:t>https://ggzy.anyang.gov.cn</w:t>
      </w:r>
      <w:r>
        <w:rPr>
          <w:rStyle w:val="31"/>
          <w:b/>
          <w:color w:val="auto"/>
          <w:sz w:val="24"/>
          <w:szCs w:val="24"/>
          <w:highlight w:val="none"/>
        </w:rPr>
        <w:fldChar w:fldCharType="end"/>
      </w:r>
    </w:p>
    <w:p>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单一来源采购文件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投标文件制作软件：在安阳市公共资源交易平台进行下载、并安装投标文件制作工具，查看单一来源文件和制作电子投标文件。</w:t>
      </w:r>
    </w:p>
    <w:p>
      <w:pPr>
        <w:widowControl w:val="0"/>
        <w:adjustRightInd w:val="0"/>
        <w:snapToGrid w:val="0"/>
        <w:spacing w:line="360" w:lineRule="auto"/>
        <w:ind w:firstLine="540" w:firstLineChars="225"/>
        <w:rPr>
          <w:rFonts w:ascii="宋体" w:hAns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8</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政府采购合同融资：</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widowControl w:val="0"/>
        <w:tabs>
          <w:tab w:val="left" w:pos="39"/>
          <w:tab w:val="left" w:pos="96"/>
        </w:tabs>
        <w:snapToGrid w:val="0"/>
        <w:spacing w:line="276" w:lineRule="auto"/>
        <w:rPr>
          <w:rFonts w:asci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项目联系事项：</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采购人：安阳市体育运动学校</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联系人：宋伟</w:t>
      </w:r>
    </w:p>
    <w:p>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18530601686</w:t>
      </w:r>
    </w:p>
    <w:p>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地址：安阳市殷都区商都路中段　</w:t>
      </w:r>
    </w:p>
    <w:p>
      <w:pPr>
        <w:widowControl w:val="0"/>
        <w:adjustRightInd w:val="0"/>
        <w:snapToGrid w:val="0"/>
        <w:spacing w:line="360" w:lineRule="auto"/>
        <w:ind w:firstLine="540" w:firstLineChars="225"/>
        <w:rPr>
          <w:rFonts w:ascii="宋体" w:hAnsi="宋体"/>
          <w:color w:val="auto"/>
          <w:sz w:val="24"/>
          <w:szCs w:val="24"/>
          <w:highlight w:val="none"/>
        </w:rPr>
      </w:pP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采购代理机构：安阳市方正招标采购服务有限责任公司</w:t>
      </w:r>
      <w:r>
        <w:rPr>
          <w:rFonts w:ascii="宋体" w:hAnsi="宋体"/>
          <w:color w:val="auto"/>
          <w:sz w:val="24"/>
          <w:szCs w:val="24"/>
          <w:highlight w:val="none"/>
        </w:rPr>
        <w:t xml:space="preserve">   </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联系人：陶文雯</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13937245785</w:t>
      </w:r>
      <w:r>
        <w:rPr>
          <w:rFonts w:hint="eastAsia" w:ascii="宋体" w:hAnsi="宋体"/>
          <w:color w:val="auto"/>
          <w:sz w:val="24"/>
          <w:szCs w:val="24"/>
          <w:highlight w:val="none"/>
        </w:rPr>
        <w:t xml:space="preserve">   </w:t>
      </w:r>
      <w:r>
        <w:rPr>
          <w:rFonts w:ascii="宋体" w:hAnsi="宋体"/>
          <w:color w:val="auto"/>
          <w:sz w:val="24"/>
          <w:szCs w:val="24"/>
          <w:highlight w:val="none"/>
        </w:rPr>
        <w:t>0372-2283981</w:t>
      </w:r>
      <w:r>
        <w:rPr>
          <w:rFonts w:hint="eastAsia" w:ascii="宋体" w:hAnsi="宋体"/>
          <w:color w:val="auto"/>
          <w:sz w:val="24"/>
          <w:szCs w:val="24"/>
          <w:highlight w:val="none"/>
        </w:rPr>
        <w:t>、</w:t>
      </w:r>
      <w:r>
        <w:rPr>
          <w:rFonts w:ascii="宋体" w:hAnsi="宋体"/>
          <w:color w:val="auto"/>
          <w:sz w:val="24"/>
          <w:szCs w:val="24"/>
          <w:highlight w:val="none"/>
        </w:rPr>
        <w:t>2283982</w:t>
      </w:r>
      <w:r>
        <w:rPr>
          <w:rFonts w:hint="eastAsia" w:ascii="宋体" w:hAnsi="宋体"/>
          <w:color w:val="auto"/>
          <w:sz w:val="24"/>
          <w:szCs w:val="24"/>
          <w:highlight w:val="none"/>
        </w:rPr>
        <w:t xml:space="preserve">  财务部咨询电话：</w:t>
      </w:r>
      <w:r>
        <w:rPr>
          <w:rFonts w:ascii="宋体" w:hAnsi="宋体"/>
          <w:color w:val="auto"/>
          <w:sz w:val="24"/>
          <w:szCs w:val="24"/>
          <w:highlight w:val="none"/>
        </w:rPr>
        <w:t>0372-2283983</w:t>
      </w:r>
    </w:p>
    <w:p>
      <w:pPr>
        <w:widowControl w:val="0"/>
        <w:adjustRightInd w:val="0"/>
        <w:snapToGrid w:val="0"/>
        <w:spacing w:line="360" w:lineRule="auto"/>
        <w:ind w:left="1260" w:leftChars="257" w:hanging="720" w:hangingChars="300"/>
        <w:rPr>
          <w:rFonts w:ascii="宋体" w:hAnsi="宋体"/>
          <w:color w:val="auto"/>
          <w:sz w:val="24"/>
          <w:szCs w:val="24"/>
          <w:highlight w:val="none"/>
        </w:rPr>
      </w:pPr>
      <w:r>
        <w:rPr>
          <w:rFonts w:hint="eastAsia" w:ascii="宋体" w:hAnsi="宋体"/>
          <w:color w:val="auto"/>
          <w:sz w:val="24"/>
          <w:szCs w:val="24"/>
          <w:highlight w:val="none"/>
        </w:rPr>
        <w:t>地址：安阳市安钢大道39号（人民大道北地下道口南侧、安阳粮食产业集团-后院办公楼五楼）</w:t>
      </w:r>
    </w:p>
    <w:p>
      <w:pPr>
        <w:pStyle w:val="23"/>
        <w:shd w:val="clear" w:color="auto" w:fill="FFFFFF"/>
        <w:adjustRightInd w:val="0"/>
        <w:spacing w:before="50" w:beforeAutospacing="0" w:after="0" w:afterAutospacing="0" w:line="276" w:lineRule="auto"/>
        <w:ind w:firstLine="540" w:firstLineChars="225"/>
        <w:rPr>
          <w:color w:val="auto"/>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10</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网上电子交易提示：</w:t>
      </w:r>
    </w:p>
    <w:p>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注册：投标人完成注册、办理数字证书后，方可获取单一来源采购文件、参加投标等网上电子交易。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ascii="宋体" w:hAnsi="宋体"/>
          <w:color w:val="auto"/>
          <w:sz w:val="24"/>
          <w:szCs w:val="24"/>
          <w:highlight w:val="none"/>
        </w:rPr>
        <w:t xml:space="preserve">10.2 </w:t>
      </w:r>
      <w:r>
        <w:rPr>
          <w:rFonts w:hint="eastAsia" w:ascii="宋体" w:hAnsi="宋体"/>
          <w:color w:val="auto"/>
          <w:sz w:val="24"/>
          <w:szCs w:val="24"/>
          <w:highlight w:val="none"/>
        </w:rPr>
        <w:t>获取单一来源采购文件：按本章第</w:t>
      </w:r>
      <w:r>
        <w:rPr>
          <w:rFonts w:ascii="宋体" w:hAnsi="宋体"/>
          <w:color w:val="auto"/>
          <w:sz w:val="24"/>
          <w:szCs w:val="24"/>
          <w:highlight w:val="none"/>
        </w:rPr>
        <w:t>3</w:t>
      </w:r>
      <w:r>
        <w:rPr>
          <w:rFonts w:hint="eastAsia" w:ascii="宋体" w:hAnsi="宋体"/>
          <w:color w:val="auto"/>
          <w:sz w:val="24"/>
          <w:szCs w:val="24"/>
          <w:highlight w:val="none"/>
        </w:rPr>
        <w:t>条</w:t>
      </w:r>
      <w:r>
        <w:rPr>
          <w:rFonts w:hint="eastAsia" w:ascii="宋体"/>
          <w:color w:val="auto"/>
          <w:sz w:val="24"/>
          <w:szCs w:val="24"/>
          <w:highlight w:val="none"/>
        </w:rPr>
        <w:t>“</w:t>
      </w:r>
      <w:r>
        <w:rPr>
          <w:rFonts w:hint="eastAsia" w:ascii="宋体" w:hAnsi="宋体"/>
          <w:color w:val="auto"/>
          <w:sz w:val="24"/>
          <w:szCs w:val="24"/>
          <w:highlight w:val="none"/>
        </w:rPr>
        <w:t>单一来源采购文件的获取</w:t>
      </w:r>
      <w:r>
        <w:rPr>
          <w:rFonts w:hint="eastAsia" w:ascii="宋体"/>
          <w:color w:val="auto"/>
          <w:sz w:val="24"/>
          <w:szCs w:val="24"/>
          <w:highlight w:val="none"/>
        </w:rPr>
        <w:t>”</w:t>
      </w:r>
      <w:r>
        <w:rPr>
          <w:rFonts w:hint="eastAsia" w:ascii="宋体" w:hAnsi="宋体"/>
          <w:color w:val="auto"/>
          <w:sz w:val="24"/>
          <w:szCs w:val="24"/>
          <w:highlight w:val="none"/>
        </w:rPr>
        <w:t>办理。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ascii="宋体" w:hAnsi="宋体"/>
          <w:color w:val="auto"/>
          <w:sz w:val="24"/>
          <w:szCs w:val="24"/>
          <w:highlight w:val="none"/>
        </w:rPr>
        <w:t>1</w:t>
      </w:r>
      <w:r>
        <w:rPr>
          <w:rFonts w:hint="eastAsia" w:ascii="宋体" w:hAnsi="宋体"/>
          <w:color w:val="auto"/>
          <w:sz w:val="24"/>
          <w:szCs w:val="24"/>
          <w:highlight w:val="none"/>
        </w:rPr>
        <w:t>0.3 单一来源采购文件的澄清与修改或延期的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《单一来源采购文件》</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单一来源采购文件的澄清、修改、补充的通知，及相应时间变更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ascii="宋体" w:hAnsi="宋体"/>
          <w:color w:val="auto"/>
          <w:sz w:val="24"/>
          <w:szCs w:val="24"/>
          <w:highlight w:val="none"/>
        </w:rPr>
        <w:t>10.</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响应文件编制：在安阳市公共资源交易中心网站下载并安装投标文件制作工具、进行编制，按《单一来源采购文件》第三章“投标人须知”第</w:t>
      </w:r>
      <w:r>
        <w:rPr>
          <w:rFonts w:ascii="宋体" w:hAnsi="宋体"/>
          <w:color w:val="auto"/>
          <w:sz w:val="24"/>
          <w:szCs w:val="24"/>
          <w:highlight w:val="none"/>
        </w:rPr>
        <w:t>3</w:t>
      </w:r>
      <w:r>
        <w:rPr>
          <w:rFonts w:hint="eastAsia" w:ascii="宋体" w:hAnsi="宋体"/>
          <w:color w:val="auto"/>
          <w:sz w:val="24"/>
          <w:szCs w:val="24"/>
          <w:highlight w:val="none"/>
        </w:rPr>
        <w:t>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ascii="宋体"/>
          <w:color w:val="auto"/>
          <w:sz w:val="24"/>
          <w:szCs w:val="24"/>
          <w:highlight w:val="none"/>
        </w:rPr>
        <w:t>10.</w:t>
      </w:r>
      <w:r>
        <w:rPr>
          <w:rFonts w:hint="eastAsia" w:ascii="宋体"/>
          <w:color w:val="auto"/>
          <w:sz w:val="24"/>
          <w:szCs w:val="24"/>
          <w:highlight w:val="none"/>
        </w:rPr>
        <w:t>5</w:t>
      </w:r>
      <w:r>
        <w:rPr>
          <w:rFonts w:ascii="宋体"/>
          <w:color w:val="auto"/>
          <w:sz w:val="24"/>
          <w:szCs w:val="24"/>
          <w:highlight w:val="none"/>
        </w:rPr>
        <w:t xml:space="preserve"> </w:t>
      </w:r>
      <w:r>
        <w:rPr>
          <w:rFonts w:hint="eastAsia" w:ascii="宋体"/>
          <w:color w:val="auto"/>
          <w:sz w:val="24"/>
          <w:szCs w:val="24"/>
          <w:highlight w:val="none"/>
        </w:rPr>
        <w:t>响应文件递交：</w:t>
      </w:r>
      <w:r>
        <w:rPr>
          <w:rFonts w:hint="eastAsia" w:ascii="宋体" w:hAnsi="宋体"/>
          <w:color w:val="auto"/>
          <w:sz w:val="24"/>
          <w:szCs w:val="24"/>
          <w:highlight w:val="none"/>
        </w:rPr>
        <w:t>投标人应在投标截止时间前上传加密的电子投标文件（*.aytf）到安阳市公共资源交易平台，按《单一来源采购文件》第三章“投标人须知</w:t>
      </w:r>
      <w:r>
        <w:rPr>
          <w:rFonts w:hint="eastAsia" w:ascii="宋体"/>
          <w:color w:val="auto"/>
          <w:sz w:val="24"/>
          <w:szCs w:val="24"/>
          <w:highlight w:val="none"/>
        </w:rPr>
        <w:t>”</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4.</w:t>
      </w:r>
      <w:r>
        <w:rPr>
          <w:rFonts w:hint="eastAsia" w:ascii="宋体" w:hAnsi="宋体"/>
          <w:color w:val="auto"/>
          <w:sz w:val="24"/>
          <w:szCs w:val="24"/>
          <w:highlight w:val="none"/>
        </w:rPr>
        <w:t>投标（响应文件的递交）”执行，</w:t>
      </w:r>
      <w:r>
        <w:rPr>
          <w:rFonts w:hint="eastAsia" w:ascii="黑体" w:hAnsi="黑体" w:eastAsia="黑体" w:cs="楷体_GB2312"/>
          <w:b/>
          <w:color w:val="auto"/>
          <w:sz w:val="24"/>
          <w:highlight w:val="none"/>
          <w:lang w:val="zh-CN"/>
        </w:rPr>
        <w:t>否则将会评定为无效投标。</w:t>
      </w:r>
    </w:p>
    <w:p>
      <w:pPr>
        <w:widowControl w:val="0"/>
        <w:tabs>
          <w:tab w:val="left" w:pos="39"/>
          <w:tab w:val="left" w:pos="96"/>
        </w:tabs>
        <w:snapToGrid w:val="0"/>
        <w:spacing w:line="360" w:lineRule="auto"/>
        <w:ind w:firstLine="480" w:firstLineChars="200"/>
        <w:rPr>
          <w:rFonts w:ascii="宋体"/>
          <w:color w:val="auto"/>
          <w:sz w:val="24"/>
          <w:szCs w:val="24"/>
          <w:highlight w:val="none"/>
        </w:rPr>
      </w:pPr>
      <w:r>
        <w:rPr>
          <w:rFonts w:ascii="宋体"/>
          <w:color w:val="auto"/>
          <w:sz w:val="24"/>
          <w:szCs w:val="24"/>
          <w:highlight w:val="none"/>
        </w:rPr>
        <w:t>10.</w:t>
      </w:r>
      <w:r>
        <w:rPr>
          <w:rFonts w:hint="eastAsia" w:ascii="宋体"/>
          <w:color w:val="auto"/>
          <w:sz w:val="24"/>
          <w:szCs w:val="24"/>
          <w:highlight w:val="none"/>
        </w:rPr>
        <w:t>6</w:t>
      </w:r>
      <w:r>
        <w:rPr>
          <w:rFonts w:ascii="宋体"/>
          <w:color w:val="auto"/>
          <w:sz w:val="24"/>
          <w:szCs w:val="24"/>
          <w:highlight w:val="none"/>
        </w:rPr>
        <w:t xml:space="preserve"> </w:t>
      </w:r>
      <w:r>
        <w:rPr>
          <w:rFonts w:hint="eastAsia" w:ascii="宋体"/>
          <w:color w:val="auto"/>
          <w:sz w:val="24"/>
          <w:szCs w:val="24"/>
          <w:highlight w:val="none"/>
        </w:rPr>
        <w:t>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hint="eastAsia" w:ascii="宋体" w:hAnsi="宋体"/>
          <w:color w:val="auto"/>
          <w:sz w:val="24"/>
          <w:szCs w:val="24"/>
          <w:highlight w:val="none"/>
        </w:rPr>
        <w:t>按《单一来源采购文件》第三章“投标人须知</w:t>
      </w:r>
      <w:r>
        <w:rPr>
          <w:rFonts w:hint="eastAsia" w:ascii="宋体"/>
          <w:color w:val="auto"/>
          <w:sz w:val="24"/>
          <w:szCs w:val="24"/>
          <w:highlight w:val="none"/>
        </w:rPr>
        <w:t>”</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hint="eastAsia" w:ascii="宋体"/>
          <w:color w:val="auto"/>
          <w:sz w:val="24"/>
          <w:szCs w:val="24"/>
          <w:highlight w:val="none"/>
        </w:rPr>
        <w:t>“</w:t>
      </w:r>
      <w:r>
        <w:rPr>
          <w:rFonts w:ascii="宋体" w:hAnsi="宋体"/>
          <w:color w:val="auto"/>
          <w:sz w:val="24"/>
          <w:szCs w:val="24"/>
          <w:highlight w:val="none"/>
        </w:rPr>
        <w:t>5.</w:t>
      </w:r>
      <w:r>
        <w:rPr>
          <w:rFonts w:hint="eastAsia" w:ascii="宋体"/>
          <w:color w:val="auto"/>
          <w:sz w:val="24"/>
          <w:szCs w:val="24"/>
          <w:highlight w:val="none"/>
        </w:rPr>
        <w:t>开标（响应文件的开启）</w:t>
      </w:r>
      <w:r>
        <w:rPr>
          <w:rFonts w:hint="eastAsia" w:ascii="宋体" w:hAnsi="宋体"/>
          <w:color w:val="auto"/>
          <w:sz w:val="24"/>
          <w:szCs w:val="24"/>
          <w:highlight w:val="none"/>
        </w:rPr>
        <w:t>”执行，</w:t>
      </w:r>
      <w:r>
        <w:rPr>
          <w:rFonts w:hint="eastAsia" w:ascii="黑体" w:hAnsi="黑体" w:eastAsia="黑体" w:cs="楷体_GB2312"/>
          <w:b/>
          <w:color w:val="auto"/>
          <w:sz w:val="24"/>
          <w:highlight w:val="none"/>
          <w:lang w:val="zh-CN"/>
        </w:rPr>
        <w:t>否则其投标将不能被接受。</w:t>
      </w:r>
    </w:p>
    <w:p>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ascii="宋体" w:hAnsi="宋体"/>
          <w:color w:val="auto"/>
          <w:sz w:val="24"/>
          <w:szCs w:val="24"/>
          <w:highlight w:val="none"/>
        </w:rPr>
        <w:t>10.</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谈判：</w:t>
      </w:r>
      <w:r>
        <w:rPr>
          <w:rFonts w:hint="eastAsia" w:ascii="宋体" w:hAnsi="宋体"/>
          <w:color w:val="auto"/>
          <w:sz w:val="24"/>
          <w:highlight w:val="none"/>
        </w:rPr>
        <w:t>时刻关注电子开标室并及时澄清，有效投标人在规定时间进行最后报价，</w:t>
      </w:r>
      <w:r>
        <w:rPr>
          <w:rFonts w:hint="eastAsia" w:ascii="宋体" w:hAnsi="宋体"/>
          <w:color w:val="auto"/>
          <w:sz w:val="24"/>
          <w:szCs w:val="24"/>
          <w:highlight w:val="none"/>
        </w:rPr>
        <w:t>按《单一来源采购文件》第四章“评审办法”执行，</w:t>
      </w:r>
      <w:r>
        <w:rPr>
          <w:rFonts w:hint="eastAsia" w:ascii="黑体" w:hAnsi="黑体" w:eastAsia="黑体" w:cs="楷体_GB2312"/>
          <w:b/>
          <w:color w:val="auto"/>
          <w:sz w:val="24"/>
          <w:highlight w:val="none"/>
          <w:lang w:val="zh-CN"/>
        </w:rPr>
        <w:t>否则将会评定为无效投标。</w:t>
      </w:r>
    </w:p>
    <w:p>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olor w:val="auto"/>
          <w:sz w:val="24"/>
          <w:szCs w:val="24"/>
          <w:highlight w:val="none"/>
        </w:rPr>
        <w:t>10.8</w:t>
      </w:r>
      <w:r>
        <w:rPr>
          <w:rFonts w:hint="eastAsia" w:ascii="宋体" w:hAnsi="宋体" w:cs="楷体_GB2312"/>
          <w:color w:val="auto"/>
          <w:sz w:val="24"/>
          <w:highlight w:val="none"/>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10.9政府采购电子交易中，投标人网上电子交易的系统操作规则应以安阳市公共资源交易平台即时发布的相关规则为准。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10.10 望投标人充分熟悉网上电子交易操作流程、以便有效投标。</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10.11</w:t>
      </w:r>
      <w:r>
        <w:rPr>
          <w:rFonts w:hint="eastAsia"/>
          <w:bCs/>
          <w:color w:val="auto"/>
          <w:sz w:val="24"/>
          <w:szCs w:val="24"/>
          <w:highlight w:val="none"/>
        </w:rPr>
        <w:t>如遇到网上系统操作等技术问题请咨询</w:t>
      </w:r>
      <w:r>
        <w:rPr>
          <w:rFonts w:hint="eastAsia" w:ascii="宋体" w:hAnsi="宋体"/>
          <w:color w:val="auto"/>
          <w:sz w:val="24"/>
          <w:szCs w:val="24"/>
          <w:highlight w:val="none"/>
        </w:rPr>
        <w:t>400-998-0000、0372-3387739。</w:t>
      </w:r>
    </w:p>
    <w:p>
      <w:pPr>
        <w:widowControl w:val="0"/>
        <w:adjustRightInd w:val="0"/>
        <w:snapToGrid w:val="0"/>
        <w:spacing w:line="360" w:lineRule="auto"/>
        <w:ind w:firstLine="540" w:firstLineChars="225"/>
        <w:jc w:val="right"/>
        <w:rPr>
          <w:rFonts w:ascii="宋体" w:hAnsi="宋体"/>
          <w:color w:val="auto"/>
          <w:sz w:val="24"/>
          <w:szCs w:val="24"/>
          <w:highlight w:val="none"/>
        </w:rPr>
      </w:pPr>
    </w:p>
    <w:p>
      <w:pPr>
        <w:widowControl w:val="0"/>
        <w:adjustRightInd w:val="0"/>
        <w:snapToGrid w:val="0"/>
        <w:spacing w:line="360" w:lineRule="auto"/>
        <w:ind w:firstLine="540" w:firstLineChars="225"/>
        <w:jc w:val="right"/>
        <w:rPr>
          <w:rFonts w:ascii="宋体" w:hAnsi="宋体"/>
          <w:color w:val="auto"/>
          <w:sz w:val="24"/>
          <w:szCs w:val="24"/>
          <w:highlight w:val="none"/>
        </w:rPr>
      </w:pPr>
    </w:p>
    <w:p>
      <w:pPr>
        <w:widowControl w:val="0"/>
        <w:adjustRightInd w:val="0"/>
        <w:snapToGrid w:val="0"/>
        <w:spacing w:line="360" w:lineRule="auto"/>
        <w:ind w:firstLine="540" w:firstLineChars="225"/>
        <w:jc w:val="right"/>
        <w:rPr>
          <w:rFonts w:ascii="宋体" w:hAnsi="宋体"/>
          <w:color w:val="auto"/>
          <w:sz w:val="24"/>
          <w:szCs w:val="24"/>
          <w:highlight w:val="none"/>
        </w:rPr>
      </w:pPr>
    </w:p>
    <w:p>
      <w:pPr>
        <w:widowControl w:val="0"/>
        <w:adjustRightInd w:val="0"/>
        <w:snapToGrid w:val="0"/>
        <w:spacing w:line="360" w:lineRule="auto"/>
        <w:ind w:firstLine="540" w:firstLineChars="225"/>
        <w:jc w:val="right"/>
        <w:rPr>
          <w:rFonts w:ascii="宋体" w:hAnsi="宋体"/>
          <w:color w:val="auto"/>
          <w:sz w:val="24"/>
          <w:szCs w:val="24"/>
          <w:highlight w:val="none"/>
        </w:rPr>
      </w:pPr>
      <w:r>
        <w:rPr>
          <w:rFonts w:hint="eastAsia" w:ascii="宋体" w:hAnsi="宋体"/>
          <w:color w:val="auto"/>
          <w:sz w:val="24"/>
          <w:szCs w:val="24"/>
          <w:highlight w:val="none"/>
        </w:rPr>
        <w:t>安阳市方正招标采购服务有限责任公司</w:t>
      </w:r>
    </w:p>
    <w:p>
      <w:pPr>
        <w:widowControl w:val="0"/>
        <w:wordWrap w:val="0"/>
        <w:adjustRightInd w:val="0"/>
        <w:snapToGrid w:val="0"/>
        <w:spacing w:line="360" w:lineRule="auto"/>
        <w:ind w:firstLine="540" w:firstLineChars="225"/>
        <w:jc w:val="right"/>
        <w:rPr>
          <w:rFonts w:ascii="宋体" w:hAnsi="宋体"/>
          <w:color w:val="auto"/>
          <w:sz w:val="24"/>
          <w:szCs w:val="24"/>
          <w:highlight w:val="none"/>
        </w:rPr>
      </w:pPr>
      <w:r>
        <w:rPr>
          <w:rFonts w:hint="eastAsia" w:ascii="宋体" w:hAnsi="宋体"/>
          <w:color w:val="auto"/>
          <w:sz w:val="24"/>
          <w:szCs w:val="24"/>
          <w:highlight w:val="none"/>
        </w:rPr>
        <w:t>二〇二五年</w:t>
      </w:r>
      <w:r>
        <w:rPr>
          <w:rFonts w:hint="eastAsia" w:ascii="宋体" w:hAnsi="宋体"/>
          <w:color w:val="auto"/>
          <w:sz w:val="24"/>
          <w:szCs w:val="24"/>
          <w:highlight w:val="none"/>
          <w:lang w:val="en-US" w:eastAsia="zh-CN"/>
        </w:rPr>
        <w:t>十二</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三十一</w:t>
      </w:r>
      <w:r>
        <w:rPr>
          <w:rFonts w:hint="eastAsia" w:ascii="宋体" w:hAnsi="宋体"/>
          <w:color w:val="auto"/>
          <w:sz w:val="24"/>
          <w:szCs w:val="24"/>
          <w:highlight w:val="none"/>
        </w:rPr>
        <w:t>日</w:t>
      </w:r>
    </w:p>
    <w:p>
      <w:pPr>
        <w:widowControl w:val="0"/>
        <w:tabs>
          <w:tab w:val="left" w:pos="39"/>
          <w:tab w:val="left" w:pos="96"/>
        </w:tabs>
        <w:snapToGrid w:val="0"/>
        <w:spacing w:line="276" w:lineRule="auto"/>
        <w:rPr>
          <w:rFonts w:eastAsia="方正黑体简体"/>
          <w:color w:val="auto"/>
          <w:sz w:val="24"/>
          <w:szCs w:val="24"/>
          <w:highlight w:val="none"/>
        </w:rPr>
      </w:pPr>
      <w:r>
        <w:rPr>
          <w:rFonts w:eastAsia="方正黑体简体"/>
          <w:color w:val="auto"/>
          <w:sz w:val="24"/>
          <w:szCs w:val="24"/>
          <w:highlight w:val="none"/>
        </w:rPr>
        <w:br w:type="page"/>
      </w:r>
    </w:p>
    <w:p>
      <w:pPr>
        <w:widowControl w:val="0"/>
        <w:tabs>
          <w:tab w:val="left" w:pos="39"/>
          <w:tab w:val="left" w:pos="96"/>
        </w:tabs>
        <w:snapToGrid w:val="0"/>
        <w:spacing w:line="276" w:lineRule="auto"/>
        <w:rPr>
          <w:rFonts w:eastAsia="方正黑体简体"/>
          <w:color w:val="auto"/>
          <w:sz w:val="24"/>
          <w:szCs w:val="24"/>
          <w:highlight w:val="none"/>
        </w:rPr>
      </w:pPr>
    </w:p>
    <w:p>
      <w:pPr>
        <w:widowControl w:val="0"/>
        <w:snapToGrid w:val="0"/>
        <w:spacing w:line="560" w:lineRule="exact"/>
        <w:jc w:val="center"/>
        <w:outlineLvl w:val="0"/>
        <w:rPr>
          <w:rFonts w:eastAsia="黑体"/>
          <w:b/>
          <w:color w:val="auto"/>
          <w:sz w:val="36"/>
          <w:szCs w:val="36"/>
          <w:highlight w:val="none"/>
        </w:rPr>
      </w:pPr>
      <w:bookmarkStart w:id="1" w:name="_Toc11756"/>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 xml:space="preserve"> 采购项目及技术要求</w:t>
      </w:r>
      <w:bookmarkEnd w:id="1"/>
    </w:p>
    <w:p>
      <w:pPr>
        <w:widowControl w:val="0"/>
        <w:snapToGrid w:val="0"/>
        <w:spacing w:line="276" w:lineRule="auto"/>
        <w:jc w:val="center"/>
        <w:rPr>
          <w:b/>
          <w:color w:val="auto"/>
          <w:sz w:val="24"/>
          <w:szCs w:val="24"/>
          <w:highlight w:val="none"/>
        </w:rPr>
      </w:pPr>
    </w:p>
    <w:p>
      <w:pPr>
        <w:widowControl w:val="0"/>
        <w:snapToGrid w:val="0"/>
        <w:spacing w:line="360" w:lineRule="auto"/>
        <w:ind w:firstLine="422" w:firstLineChars="150"/>
        <w:jc w:val="left"/>
        <w:outlineLvl w:val="1"/>
        <w:rPr>
          <w:rFonts w:ascii="黑体" w:hAnsi="黑体" w:eastAsia="黑体"/>
          <w:b/>
          <w:color w:val="auto"/>
          <w:sz w:val="28"/>
          <w:highlight w:val="none"/>
        </w:rPr>
      </w:pPr>
      <w:bookmarkStart w:id="2" w:name="_Toc10569"/>
      <w:r>
        <w:rPr>
          <w:rFonts w:ascii="黑体" w:hAnsi="黑体" w:eastAsia="黑体"/>
          <w:b/>
          <w:color w:val="auto"/>
          <w:sz w:val="28"/>
          <w:highlight w:val="none"/>
        </w:rPr>
        <w:t>1.</w:t>
      </w:r>
      <w:r>
        <w:rPr>
          <w:rFonts w:hint="eastAsia" w:ascii="黑体" w:hAnsi="黑体" w:eastAsia="黑体"/>
          <w:b/>
          <w:color w:val="auto"/>
          <w:sz w:val="28"/>
          <w:highlight w:val="none"/>
        </w:rPr>
        <w:t xml:space="preserve"> 采购项目、标段（包）划分、投标报价</w:t>
      </w:r>
      <w:bookmarkEnd w:id="2"/>
    </w:p>
    <w:p>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：安阳市体育运动学校射击馆改造项目</w:t>
      </w:r>
    </w:p>
    <w:p>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标段（包）划分及其交验期交验地点</w:t>
      </w:r>
      <w:r>
        <w:rPr>
          <w:rFonts w:hint="eastAsia"/>
          <w:color w:val="auto"/>
          <w:sz w:val="24"/>
          <w:szCs w:val="24"/>
          <w:highlight w:val="none"/>
        </w:rPr>
        <w:t>：本次采购项目划分为</w:t>
      </w:r>
      <w:r>
        <w:rPr>
          <w:color w:val="auto"/>
          <w:sz w:val="24"/>
          <w:szCs w:val="24"/>
          <w:highlight w:val="none"/>
        </w:rPr>
        <w:t>1</w:t>
      </w:r>
      <w:r>
        <w:rPr>
          <w:rFonts w:hint="eastAsia"/>
          <w:color w:val="auto"/>
          <w:sz w:val="24"/>
          <w:szCs w:val="24"/>
          <w:highlight w:val="none"/>
        </w:rPr>
        <w:t>个标段（包）。</w:t>
      </w:r>
    </w:p>
    <w:tbl>
      <w:tblPr>
        <w:tblStyle w:val="2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2694"/>
        <w:gridCol w:w="137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3" w:type="dxa"/>
            <w:gridSpan w:val="5"/>
            <w:vAlign w:val="center"/>
          </w:tcPr>
          <w:p>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42" w:type="dxa"/>
            <w:vAlign w:val="center"/>
          </w:tcPr>
          <w:p>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694" w:type="dxa"/>
            <w:vAlign w:val="center"/>
          </w:tcPr>
          <w:p>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370" w:type="dxa"/>
            <w:vAlign w:val="center"/>
          </w:tcPr>
          <w:p>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交验期</w:t>
            </w:r>
          </w:p>
        </w:tc>
        <w:tc>
          <w:tcPr>
            <w:tcW w:w="1559" w:type="dxa"/>
            <w:vAlign w:val="center"/>
          </w:tcPr>
          <w:p>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widowControl w:val="0"/>
              <w:adjustRightInd w:val="0"/>
              <w:snapToGrid w:val="0"/>
              <w:spacing w:line="240" w:lineRule="auto"/>
              <w:rPr>
                <w:color w:val="auto"/>
                <w:sz w:val="24"/>
                <w:szCs w:val="24"/>
                <w:highlight w:val="none"/>
              </w:rPr>
            </w:pPr>
            <w:r>
              <w:rPr>
                <w:rFonts w:hint="eastAsia"/>
                <w:color w:val="auto"/>
                <w:sz w:val="24"/>
                <w:szCs w:val="24"/>
                <w:highlight w:val="none"/>
              </w:rPr>
              <w:t>安阳市体育运动学校射击馆改造项目</w:t>
            </w:r>
          </w:p>
        </w:tc>
        <w:tc>
          <w:tcPr>
            <w:tcW w:w="1842" w:type="dxa"/>
            <w:vAlign w:val="center"/>
          </w:tcPr>
          <w:p>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694" w:type="dxa"/>
            <w:vAlign w:val="center"/>
          </w:tcPr>
          <w:p>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条：标段（包）内容（范围）及基本技术要求”</w:t>
            </w:r>
          </w:p>
        </w:tc>
        <w:tc>
          <w:tcPr>
            <w:tcW w:w="1370" w:type="dxa"/>
            <w:vAlign w:val="center"/>
          </w:tcPr>
          <w:p>
            <w:pPr>
              <w:widowControl w:val="0"/>
              <w:adjustRightInd w:val="0"/>
              <w:snapToGrid w:val="0"/>
              <w:spacing w:line="240" w:lineRule="auto"/>
              <w:rPr>
                <w:color w:val="auto"/>
                <w:sz w:val="24"/>
                <w:szCs w:val="24"/>
                <w:highlight w:val="none"/>
              </w:rPr>
            </w:pPr>
            <w:r>
              <w:rPr>
                <w:rFonts w:hint="eastAsia" w:ascii="宋体" w:hAnsi="宋体"/>
                <w:color w:val="auto"/>
                <w:sz w:val="24"/>
                <w:szCs w:val="24"/>
                <w:highlight w:val="none"/>
              </w:rPr>
              <w:t>合同签订</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个月内</w:t>
            </w:r>
            <w:r>
              <w:rPr>
                <w:rFonts w:ascii="宋体" w:hAnsi="宋体"/>
                <w:color w:val="auto"/>
                <w:sz w:val="24"/>
                <w:szCs w:val="24"/>
                <w:highlight w:val="none"/>
              </w:rPr>
              <w:tab/>
            </w:r>
          </w:p>
        </w:tc>
        <w:tc>
          <w:tcPr>
            <w:tcW w:w="1559" w:type="dxa"/>
            <w:vAlign w:val="center"/>
          </w:tcPr>
          <w:p>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pPr>
        <w:widowControl w:val="0"/>
        <w:snapToGrid w:val="0"/>
        <w:spacing w:line="360" w:lineRule="auto"/>
        <w:ind w:firstLine="480" w:firstLineChars="200"/>
        <w:jc w:val="left"/>
        <w:rPr>
          <w:rFonts w:ascii="宋体" w:hAnsi="宋体"/>
          <w:color w:val="auto"/>
          <w:sz w:val="24"/>
          <w:szCs w:val="24"/>
          <w:highlight w:val="none"/>
        </w:rPr>
      </w:pPr>
      <w:r>
        <w:rPr>
          <w:color w:val="auto"/>
          <w:sz w:val="24"/>
          <w:szCs w:val="24"/>
          <w:highlight w:val="none"/>
        </w:rPr>
        <w:t>1.3.1</w:t>
      </w:r>
      <w:r>
        <w:rPr>
          <w:rFonts w:hint="eastAsia" w:ascii="宋体" w:hAnsi="宋体"/>
          <w:color w:val="auto"/>
          <w:sz w:val="24"/>
          <w:szCs w:val="24"/>
          <w:highlight w:val="none"/>
        </w:rPr>
        <w:t>投标人的投标报价应为达到正常使用条件下的目的地交验价，包括产品价款、相关税款、备品备件价、易损件价、专用工具价、售后及技术服务费、知识产权（如有）、保险（如需）、货物包装、施工安装调试费、培训费及运送到安阳地区指定地点的运杂费、装卸费等与采购项目相关的、必须的款项及费用（包括未列明而完成交验所必须的所有产品、材料、工具、费用）。成交价格在成交合同范围内固定不变。</w:t>
      </w:r>
    </w:p>
    <w:p>
      <w:pPr>
        <w:widowControl w:val="0"/>
        <w:snapToGrid w:val="0"/>
        <w:spacing w:line="360" w:lineRule="auto"/>
        <w:ind w:firstLine="480" w:firstLineChars="200"/>
        <w:jc w:val="left"/>
        <w:rPr>
          <w:rFonts w:ascii="宋体" w:hAnsi="宋体"/>
          <w:color w:val="auto"/>
          <w:sz w:val="24"/>
          <w:szCs w:val="24"/>
          <w:highlight w:val="none"/>
        </w:rPr>
      </w:pPr>
      <w:r>
        <w:rPr>
          <w:color w:val="auto"/>
          <w:sz w:val="24"/>
          <w:szCs w:val="24"/>
          <w:highlight w:val="none"/>
        </w:rPr>
        <w:t>1.3.2</w:t>
      </w:r>
      <w:r>
        <w:rPr>
          <w:rFonts w:hint="eastAsia"/>
          <w:color w:val="auto"/>
          <w:sz w:val="24"/>
          <w:szCs w:val="24"/>
          <w:highlight w:val="none"/>
        </w:rPr>
        <w:t>本次单一来源采购共二次报价</w:t>
      </w:r>
      <w:r>
        <w:rPr>
          <w:rFonts w:hint="eastAsia" w:ascii="宋体" w:hAnsi="宋体"/>
          <w:color w:val="auto"/>
          <w:sz w:val="24"/>
          <w:szCs w:val="24"/>
          <w:highlight w:val="none"/>
        </w:rPr>
        <w:t>（含系统中开标一览表报价共二次价格谈判）</w:t>
      </w:r>
      <w:r>
        <w:rPr>
          <w:rFonts w:hint="eastAsia"/>
          <w:color w:val="auto"/>
          <w:sz w:val="24"/>
          <w:szCs w:val="24"/>
          <w:highlight w:val="none"/>
        </w:rPr>
        <w:t>。谈判小组未对单一来源采购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w:t>
      </w:r>
      <w:r>
        <w:rPr>
          <w:rFonts w:hint="eastAsia" w:ascii="宋体" w:hAnsi="宋体"/>
          <w:color w:val="auto"/>
          <w:sz w:val="24"/>
          <w:szCs w:val="24"/>
          <w:highlight w:val="none"/>
        </w:rPr>
        <w:t>依据单一来源采购文件“第三章 3.5.5 违背承诺的责任追究措施”，投标人承担相应法律责任及违约责任。</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如投标人的投标报价超过预算金额（见谈判邀请函</w:t>
      </w:r>
      <w:r>
        <w:rPr>
          <w:color w:val="auto"/>
          <w:sz w:val="24"/>
          <w:szCs w:val="24"/>
          <w:highlight w:val="none"/>
        </w:rPr>
        <w:t>1.5</w:t>
      </w:r>
      <w:r>
        <w:rPr>
          <w:rFonts w:hint="eastAsia"/>
          <w:color w:val="auto"/>
          <w:sz w:val="24"/>
          <w:szCs w:val="24"/>
          <w:highlight w:val="none"/>
        </w:rPr>
        <w:t>），该标段（包）做废标处理。</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3.7.4</w:t>
      </w:r>
      <w:r>
        <w:rPr>
          <w:rFonts w:hint="eastAsia"/>
          <w:color w:val="auto"/>
          <w:sz w:val="24"/>
          <w:szCs w:val="24"/>
          <w:highlight w:val="none"/>
        </w:rPr>
        <w:t>项规定。</w:t>
      </w:r>
    </w:p>
    <w:p>
      <w:pPr>
        <w:spacing w:line="560" w:lineRule="exact"/>
        <w:rPr>
          <w:rFonts w:ascii="黑体" w:hAnsi="黑体" w:eastAsia="黑体"/>
          <w:b/>
          <w:color w:val="auto"/>
          <w:sz w:val="28"/>
          <w:highlight w:val="none"/>
        </w:rPr>
      </w:pPr>
    </w:p>
    <w:p>
      <w:pPr>
        <w:widowControl w:val="0"/>
        <w:snapToGrid w:val="0"/>
        <w:spacing w:line="360" w:lineRule="auto"/>
        <w:ind w:firstLine="422" w:firstLineChars="150"/>
        <w:jc w:val="left"/>
        <w:outlineLvl w:val="1"/>
        <w:rPr>
          <w:rFonts w:ascii="黑体" w:hAnsi="黑体" w:eastAsia="黑体"/>
          <w:b/>
          <w:color w:val="auto"/>
          <w:sz w:val="28"/>
          <w:highlight w:val="none"/>
        </w:rPr>
      </w:pPr>
      <w:bookmarkStart w:id="3" w:name="_Toc498520228"/>
      <w:bookmarkStart w:id="4" w:name="_Toc18131"/>
      <w:r>
        <w:rPr>
          <w:rFonts w:ascii="黑体" w:hAnsi="黑体" w:eastAsia="黑体"/>
          <w:b/>
          <w:color w:val="auto"/>
          <w:sz w:val="28"/>
          <w:highlight w:val="none"/>
        </w:rPr>
        <w:t>2.</w:t>
      </w:r>
      <w:r>
        <w:rPr>
          <w:rFonts w:hint="eastAsia" w:ascii="黑体" w:hAnsi="黑体" w:eastAsia="黑体"/>
          <w:b/>
          <w:color w:val="auto"/>
          <w:sz w:val="28"/>
          <w:highlight w:val="none"/>
        </w:rPr>
        <w:t xml:space="preserve"> 标段（包）内容（范围）及</w:t>
      </w:r>
      <w:bookmarkEnd w:id="3"/>
      <w:r>
        <w:rPr>
          <w:rFonts w:hint="eastAsia" w:ascii="黑体" w:hAnsi="黑体" w:eastAsia="黑体"/>
          <w:b/>
          <w:color w:val="auto"/>
          <w:sz w:val="28"/>
          <w:highlight w:val="none"/>
        </w:rPr>
        <w:t>基本技术要求</w:t>
      </w:r>
      <w:bookmarkEnd w:id="4"/>
    </w:p>
    <w:p>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总体技术（方案）要求及标段（包）内容（范围）：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2.2项目落实的政府采购政策（法规标准条款）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 政府采购节能产品、环境标志产品实施品目清单管理后，对本次采购产品属于“节能产品政府采购品目清单”中强制采购品目的</w:t>
      </w:r>
      <w:r>
        <w:rPr>
          <w:rFonts w:hint="eastAsia" w:ascii="宋体" w:hAnsi="宋体" w:cs="宋体"/>
          <w:color w:val="auto"/>
          <w:sz w:val="24"/>
          <w:szCs w:val="24"/>
          <w:highlight w:val="none"/>
        </w:rPr>
        <w:t>，投标产品应当具有相应的认证证书（认证证书应当为国家确定的认证机构出具、且应处于有效期之内），投标文件中应当提供相应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2.2.2 同等条件下，</w:t>
      </w:r>
      <w:r>
        <w:rPr>
          <w:rFonts w:hint="eastAsia" w:ascii="宋体" w:hAnsi="宋体" w:cs="宋体"/>
          <w:color w:val="auto"/>
          <w:sz w:val="24"/>
          <w:szCs w:val="24"/>
          <w:highlight w:val="none"/>
        </w:rPr>
        <w:t>获得节能产品认证证书或环境标志产品认证证书的产品优先采购。(认证证书应当为国家确定的认证机构出具、且应处于有效期之内。)</w:t>
      </w:r>
    </w:p>
    <w:p>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本次采购允许进口产品参加。</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2.2.7 促进中小企业发展扶持政策。</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2.2.8促进残疾人就业、支持监狱企业发展。</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2.2.9 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单一来源采购文件未列明事项为由，来降低投标产品的质量。</w:t>
      </w:r>
    </w:p>
    <w:p>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4具体技术要求及标段（包）内容（范围）</w:t>
      </w:r>
    </w:p>
    <w:p>
      <w:pPr>
        <w:spacing w:line="560" w:lineRule="exact"/>
        <w:ind w:firstLine="482" w:firstLineChars="200"/>
        <w:rPr>
          <w:rFonts w:ascii="黑体" w:hAnsi="黑体" w:eastAsia="黑体"/>
          <w:b/>
          <w:color w:val="auto"/>
          <w:sz w:val="24"/>
          <w:szCs w:val="24"/>
          <w:highlight w:val="none"/>
        </w:rPr>
      </w:pPr>
    </w:p>
    <w:tbl>
      <w:tblPr>
        <w:tblStyle w:val="25"/>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1277"/>
        <w:gridCol w:w="5766"/>
        <w:gridCol w:w="701"/>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314" w:type="pct"/>
            <w:vAlign w:val="center"/>
          </w:tcPr>
          <w:p>
            <w:pPr>
              <w:snapToGrid w:val="0"/>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712" w:type="pct"/>
            <w:tcMar>
              <w:top w:w="15" w:type="dxa"/>
              <w:left w:w="15" w:type="dxa"/>
              <w:bottom w:w="0" w:type="dxa"/>
              <w:right w:w="15" w:type="dxa"/>
            </w:tcMar>
            <w:vAlign w:val="center"/>
          </w:tcPr>
          <w:p>
            <w:pPr>
              <w:snapToGrid w:val="0"/>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标段（包）内容</w:t>
            </w:r>
          </w:p>
        </w:tc>
        <w:tc>
          <w:tcPr>
            <w:tcW w:w="3215" w:type="pct"/>
            <w:vAlign w:val="center"/>
          </w:tcPr>
          <w:p>
            <w:pPr>
              <w:snapToGrid w:val="0"/>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基本技术要求</w:t>
            </w:r>
          </w:p>
        </w:tc>
        <w:tc>
          <w:tcPr>
            <w:tcW w:w="391" w:type="pct"/>
            <w:vAlign w:val="center"/>
          </w:tcPr>
          <w:p>
            <w:pPr>
              <w:snapToGrid w:val="0"/>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366" w:type="pct"/>
            <w:vAlign w:val="center"/>
          </w:tcPr>
          <w:p>
            <w:pPr>
              <w:snapToGrid w:val="0"/>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000" w:type="pct"/>
            <w:gridSpan w:val="5"/>
            <w:vAlign w:val="center"/>
          </w:tcPr>
          <w:p>
            <w:pPr>
              <w:snapToGrid w:val="0"/>
              <w:spacing w:line="276" w:lineRule="auto"/>
              <w:jc w:val="center"/>
              <w:rPr>
                <w:rFonts w:ascii="宋体" w:hAnsi="宋体"/>
                <w:b/>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0</w:t>
            </w:r>
            <w:r>
              <w:rPr>
                <w:rFonts w:hint="eastAsia" w:ascii="宋体" w:hAnsi="宋体" w:cs="宋体"/>
                <w:b/>
                <w:bCs/>
                <w:color w:val="auto"/>
                <w:sz w:val="24"/>
                <w:szCs w:val="24"/>
                <w:highlight w:val="none"/>
              </w:rPr>
              <w:t>米激光报靶系统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一、10米靶端套装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1</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10米激光靶靶标</w:t>
            </w:r>
          </w:p>
        </w:tc>
        <w:tc>
          <w:tcPr>
            <w:tcW w:w="3215" w:type="pct"/>
            <w:vAlign w:val="center"/>
          </w:tcPr>
          <w:p>
            <w:pPr>
              <w:spacing w:line="240" w:lineRule="atLeast"/>
              <w:jc w:val="left"/>
              <w:textAlignment w:val="center"/>
              <w:rPr>
                <w:rStyle w:val="83"/>
                <w:rFonts w:hint="default"/>
                <w:color w:val="auto"/>
                <w:highlight w:val="none"/>
                <w:u w:val="none"/>
                <w:lang w:bidi="ar"/>
              </w:rPr>
            </w:pPr>
            <w:r>
              <w:rPr>
                <w:rStyle w:val="83"/>
                <w:rFonts w:hint="default"/>
                <w:color w:val="auto"/>
                <w:highlight w:val="none"/>
                <w:u w:val="none"/>
                <w:lang w:bidi="ar"/>
              </w:rPr>
              <w:t>1.通过国际射联三级认证和中国射击协会认证，满足10米气枪项目的所有训练及比赛要求。投标文件中提供所投产品国际射联三级认证证书和中国射击协会认证认证证书（审定证书）。</w:t>
            </w:r>
          </w:p>
          <w:p>
            <w:pPr>
              <w:spacing w:line="240" w:lineRule="atLeast"/>
              <w:jc w:val="left"/>
              <w:textAlignment w:val="center"/>
              <w:rPr>
                <w:rStyle w:val="83"/>
                <w:rFonts w:hint="default"/>
                <w:color w:val="auto"/>
                <w:highlight w:val="none"/>
                <w:u w:val="none"/>
                <w:lang w:bidi="ar"/>
              </w:rPr>
            </w:pPr>
            <w:r>
              <w:rPr>
                <w:rStyle w:val="83"/>
                <w:rFonts w:hint="default"/>
                <w:color w:val="auto"/>
                <w:highlight w:val="none"/>
                <w:u w:val="none"/>
                <w:lang w:bidi="ar"/>
              </w:rPr>
              <w:t>2.采用光学报靶技术，内置三个无害红外发射探头，对应三条红外接收带，覆盖整个靶框区域，精准定位子弹弹着点，环值误差0.01环。</w:t>
            </w:r>
          </w:p>
          <w:p>
            <w:pPr>
              <w:spacing w:line="240" w:lineRule="atLeast"/>
              <w:jc w:val="left"/>
              <w:textAlignment w:val="center"/>
              <w:rPr>
                <w:rStyle w:val="83"/>
                <w:rFonts w:hint="default"/>
                <w:color w:val="auto"/>
                <w:highlight w:val="none"/>
                <w:u w:val="none"/>
                <w:lang w:bidi="ar"/>
              </w:rPr>
            </w:pPr>
            <w:r>
              <w:rPr>
                <w:rStyle w:val="83"/>
                <w:rFonts w:hint="default"/>
                <w:color w:val="auto"/>
                <w:highlight w:val="none"/>
                <w:u w:val="none"/>
                <w:lang w:bidi="ar"/>
              </w:rPr>
              <w:t>3.内嵌可调节亮度的LED照明系统，出厂灯光设置满足国际射联规则对靶面的亮度要求，也可在可在射手端控制单元上，根据实际情况来调整LED灯的亮度，或关闭照明。</w:t>
            </w:r>
          </w:p>
          <w:p>
            <w:pPr>
              <w:spacing w:line="240" w:lineRule="atLeast"/>
              <w:jc w:val="left"/>
              <w:textAlignment w:val="center"/>
              <w:rPr>
                <w:rStyle w:val="83"/>
                <w:rFonts w:hint="default"/>
                <w:color w:val="auto"/>
                <w:highlight w:val="none"/>
                <w:u w:val="none"/>
                <w:lang w:bidi="ar"/>
              </w:rPr>
            </w:pPr>
            <w:r>
              <w:rPr>
                <w:rStyle w:val="83"/>
                <w:rFonts w:hint="default"/>
                <w:color w:val="auto"/>
                <w:highlight w:val="none"/>
                <w:u w:val="none"/>
                <w:lang w:bidi="ar"/>
              </w:rPr>
              <w:t>4.平时训练无需耗材。</w:t>
            </w:r>
          </w:p>
          <w:p>
            <w:pPr>
              <w:spacing w:line="240" w:lineRule="atLeast"/>
              <w:jc w:val="left"/>
              <w:textAlignment w:val="center"/>
              <w:rPr>
                <w:rFonts w:ascii="宋体" w:hAnsi="宋体" w:cs="宋体"/>
                <w:color w:val="auto"/>
                <w:sz w:val="24"/>
                <w:szCs w:val="24"/>
                <w:highlight w:val="none"/>
              </w:rPr>
            </w:pPr>
            <w:r>
              <w:rPr>
                <w:rStyle w:val="83"/>
                <w:rFonts w:hint="default"/>
                <w:color w:val="auto"/>
                <w:highlight w:val="none"/>
                <w:u w:val="none"/>
                <w:lang w:bidi="ar"/>
              </w:rPr>
              <w:t>5.设备预装速射功能。</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2</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10米气步枪靶面</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30.5 mm</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3</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10米气手枪靶面</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59.5 mm</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4</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10米靶标支架，含收弹器</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金属材质，连接靶标与收弹器</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5</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10米激光靶取证套装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比赛需要时安装进行取证</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6</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靶端设备配套电源套装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满足10米激光靶设备正常运行需要的所有辅助配件。</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24</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7</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线缆等满足10米激光靶设备正常运行需要的所有辅助线材。</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二、射手端套装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8</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射手端一体式显示器</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w:t>
            </w:r>
            <w:r>
              <w:rPr>
                <w:rFonts w:hint="eastAsia" w:ascii="宋体" w:hAnsi="宋体"/>
                <w:color w:val="auto"/>
                <w:sz w:val="24"/>
                <w:szCs w:val="24"/>
                <w:highlight w:val="none"/>
              </w:rPr>
              <w:t>0</w:t>
            </w:r>
            <w:r>
              <w:rPr>
                <w:rFonts w:hint="eastAsia" w:ascii="宋体" w:hAnsi="宋体" w:cs="宋体"/>
                <w:color w:val="auto"/>
                <w:sz w:val="24"/>
                <w:szCs w:val="24"/>
                <w:highlight w:val="none"/>
                <w:lang w:bidi="ar"/>
              </w:rPr>
              <w:t>英寸液晶彩色触屏多功能（含中文）显示器，可一键操作，用于显示不同项目所得的环值及运动员信息；包含步手枪全项目。根据不同的比赛项目，计算环值。多语言操作系统，含中文操作系统，包含所有最新射击项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9</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射手端配套电源线缆套装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满足设备正常运行需要的所有辅助配件。</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14</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三、中控台套装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10</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中央控制台</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中控台设备箱用于路由器以及与成绩处理系统相连接的外设数据采集，用于软件与外设之间的通信。</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11</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中控台成绩处理系统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采集数据信息，接收和传输成绩，用于观众显屏的数据传输；</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12</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中控台数据转换系统</w:t>
            </w:r>
          </w:p>
        </w:tc>
        <w:tc>
          <w:tcPr>
            <w:tcW w:w="3215" w:type="pct"/>
            <w:shd w:val="clear" w:color="auto" w:fill="auto"/>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STE01适配器 STYX 转RJ45</w:t>
            </w:r>
          </w:p>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该适配器可以将STYX信号，连接至打印 机，台式机，笔记本电脑或者网络路由器。</w:t>
            </w:r>
          </w:p>
        </w:tc>
        <w:tc>
          <w:tcPr>
            <w:tcW w:w="391" w:type="pct"/>
            <w:shd w:val="clear" w:color="auto" w:fill="auto"/>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13</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综合数据转换盒</w:t>
            </w:r>
          </w:p>
        </w:tc>
        <w:tc>
          <w:tcPr>
            <w:tcW w:w="3215" w:type="pct"/>
            <w:shd w:val="clear" w:color="auto" w:fill="auto"/>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STL01 数据转换盒STYX信号转 LON信号 该转换盒包含一个STYX和1个LON接</w:t>
            </w:r>
          </w:p>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口，通过该转换盒可以将STYX外设与一 组（10个）LON设备进行连接。</w:t>
            </w:r>
          </w:p>
        </w:tc>
        <w:tc>
          <w:tcPr>
            <w:tcW w:w="391" w:type="pct"/>
            <w:shd w:val="clear" w:color="auto" w:fill="auto"/>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14</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数据转换操作台</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外部设备放置装置，实现数据操作台面。</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15</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1000*1000dpi，实时呈现训练和比赛数据。</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成绩显示系统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Style w:val="84"/>
                <w:rFonts w:hint="eastAsia"/>
                <w:color w:val="auto"/>
                <w:highlight w:val="none"/>
                <w:lang w:eastAsia="zh-CN" w:bidi="ar"/>
              </w:rPr>
              <w:t>≥</w:t>
            </w:r>
            <w:r>
              <w:rPr>
                <w:rStyle w:val="84"/>
                <w:rFonts w:hint="default"/>
                <w:color w:val="auto"/>
                <w:highlight w:val="none"/>
                <w:lang w:bidi="ar"/>
              </w:rPr>
              <w:t>6</w:t>
            </w:r>
            <w:r>
              <w:rPr>
                <w:rStyle w:val="84"/>
                <w:rFonts w:hint="default"/>
                <w:color w:val="auto"/>
                <w:highlight w:val="none"/>
              </w:rPr>
              <w:t>0英寸</w:t>
            </w:r>
            <w:r>
              <w:rPr>
                <w:rStyle w:val="84"/>
                <w:rFonts w:hint="default"/>
                <w:color w:val="auto"/>
                <w:highlight w:val="none"/>
                <w:lang w:bidi="ar"/>
              </w:rPr>
              <w:t>高清显示屏供教练员、裁判员实时查看成绩，可移动支架便于移动。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中控台配套线缆套装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用于连接中控台的相关数据线及连接器等，满足设备正常运行。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8</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中控台配套电源套装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用于连接中控台的相关设备，满足正常运行。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四、中控室设备套装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9</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自动排名系统套装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软件系统包含比赛需要的名单录入、抽签分组、比赛信息发送、成绩接收统计排名等功能；包含需要的数据处理及备份，可与媒体通讯的数据端口，赛事期间方便与电视转播团队对接，也可对接公众号，比赛期间用于成绩实时发布。软件带有FTP功能可与国际射联官网联通。</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20</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中控室网络服务器设备套装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通过软件连接外部设备，实现不同控制器、靶机和观众显屏的连接，实时显示运动员射击成绩。</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21</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1000*1000dpi，实时呈现训练和比赛数据。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2</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中控室配套线缆套装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可满足设备正常运行及比赛需求所有辅助线材等。</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五、观众显示套装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314" w:type="pct"/>
            <w:tcBorders>
              <w:bottom w:val="single" w:color="auto" w:sz="4" w:space="0"/>
            </w:tcBorders>
            <w:vAlign w:val="center"/>
          </w:tcPr>
          <w:p>
            <w:pPr>
              <w:spacing w:line="276" w:lineRule="auto"/>
              <w:jc w:val="center"/>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3</w:t>
            </w:r>
          </w:p>
        </w:tc>
        <w:tc>
          <w:tcPr>
            <w:tcW w:w="712" w:type="pct"/>
            <w:tcBorders>
              <w:bottom w:val="single" w:color="auto" w:sz="4" w:space="0"/>
            </w:tcBorders>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成绩数据转换显示系统</w:t>
            </w:r>
          </w:p>
        </w:tc>
        <w:tc>
          <w:tcPr>
            <w:tcW w:w="3215" w:type="pct"/>
            <w:tcBorders>
              <w:bottom w:val="single" w:color="auto" w:sz="4" w:space="0"/>
            </w:tcBorders>
            <w:vAlign w:val="center"/>
          </w:tcPr>
          <w:p>
            <w:pPr>
              <w:spacing w:line="240" w:lineRule="atLeast"/>
              <w:jc w:val="left"/>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COB1.53室内全彩LED电子显示屏，</w:t>
            </w:r>
            <w:r>
              <w:rPr>
                <w:rFonts w:hint="eastAsia" w:ascii="宋体" w:hAnsi="宋体"/>
                <w:color w:val="auto"/>
                <w:sz w:val="24"/>
                <w:szCs w:val="24"/>
                <w:highlight w:val="none"/>
                <w:lang w:val="en-US" w:eastAsia="zh-CN"/>
              </w:rPr>
              <w:t>面积约</w:t>
            </w:r>
            <w:r>
              <w:rPr>
                <w:rFonts w:hint="eastAsia" w:ascii="宋体" w:hAnsi="宋体"/>
                <w:color w:val="auto"/>
                <w:sz w:val="24"/>
                <w:szCs w:val="24"/>
                <w:highlight w:val="none"/>
              </w:rPr>
              <w:t>32.805平方米</w:t>
            </w:r>
            <w:r>
              <w:rPr>
                <w:rFonts w:hint="eastAsia" w:ascii="宋体" w:hAnsi="宋体"/>
                <w:color w:val="auto"/>
                <w:sz w:val="24"/>
                <w:szCs w:val="24"/>
                <w:highlight w:val="none"/>
                <w:lang w:eastAsia="zh-CN"/>
              </w:rPr>
              <w:t>，</w:t>
            </w:r>
            <w:r>
              <w:rPr>
                <w:rFonts w:hint="eastAsia" w:ascii="宋体" w:hAnsi="宋体"/>
                <w:color w:val="auto"/>
                <w:sz w:val="24"/>
                <w:szCs w:val="24"/>
                <w:highlight w:val="none"/>
              </w:rPr>
              <w:t>尺</w:t>
            </w:r>
            <w:r>
              <w:rPr>
                <w:rFonts w:hint="eastAsia" w:ascii="宋体" w:hAnsi="宋体"/>
                <w:color w:val="auto"/>
                <w:sz w:val="24"/>
                <w:szCs w:val="24"/>
                <w:highlight w:val="none"/>
                <w:lang w:val="en-US" w:eastAsia="zh-CN"/>
              </w:rPr>
              <w:t>寸：</w:t>
            </w:r>
            <w:r>
              <w:rPr>
                <w:rFonts w:hint="eastAsia" w:ascii="宋体" w:hAnsi="宋体"/>
                <w:color w:val="auto"/>
                <w:sz w:val="24"/>
                <w:szCs w:val="24"/>
                <w:highlight w:val="none"/>
              </w:rPr>
              <w:t>5.4m</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3.0375m*2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驱动方式：恒流驱动，数据转换成绩输出，安装于场地内两端位置，显示排名成绩，供教练员、观众观看；实际尺寸参考场地情况</w:t>
            </w:r>
            <w:r>
              <w:rPr>
                <w:rFonts w:hint="eastAsia" w:ascii="宋体" w:hAnsi="宋体"/>
                <w:color w:val="auto"/>
                <w:sz w:val="24"/>
                <w:szCs w:val="24"/>
                <w:highlight w:val="none"/>
                <w:lang w:eastAsia="zh-CN"/>
              </w:rPr>
              <w:t>。</w:t>
            </w:r>
          </w:p>
        </w:tc>
        <w:tc>
          <w:tcPr>
            <w:tcW w:w="391" w:type="pct"/>
            <w:tcBorders>
              <w:bottom w:val="single" w:color="auto" w:sz="4" w:space="0"/>
            </w:tcBorders>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1</w:t>
            </w:r>
          </w:p>
        </w:tc>
        <w:tc>
          <w:tcPr>
            <w:tcW w:w="366" w:type="pct"/>
            <w:tcBorders>
              <w:bottom w:val="single" w:color="auto" w:sz="4" w:space="0"/>
            </w:tcBorders>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314" w:type="pct"/>
            <w:tcBorders>
              <w:bottom w:val="single" w:color="auto" w:sz="4" w:space="0"/>
            </w:tcBorders>
            <w:vAlign w:val="center"/>
          </w:tcPr>
          <w:p>
            <w:pPr>
              <w:spacing w:line="276"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24</w:t>
            </w:r>
          </w:p>
        </w:tc>
        <w:tc>
          <w:tcPr>
            <w:tcW w:w="712" w:type="pct"/>
            <w:tcBorders>
              <w:bottom w:val="single" w:color="auto" w:sz="4" w:space="0"/>
            </w:tcBorders>
            <w:tcMar>
              <w:top w:w="15" w:type="dxa"/>
              <w:left w:w="15" w:type="dxa"/>
              <w:bottom w:w="0" w:type="dxa"/>
              <w:right w:w="15" w:type="dxa"/>
            </w:tcMar>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观众显示成绩转换设备</w:t>
            </w:r>
          </w:p>
        </w:tc>
        <w:tc>
          <w:tcPr>
            <w:tcW w:w="3215" w:type="pct"/>
            <w:tcBorders>
              <w:bottom w:val="single" w:color="auto" w:sz="4" w:space="0"/>
            </w:tcBorders>
            <w:vAlign w:val="center"/>
          </w:tcPr>
          <w:p>
            <w:pPr>
              <w:spacing w:line="240" w:lineRule="atLeast"/>
              <w:jc w:val="left"/>
              <w:textAlignment w:val="center"/>
              <w:rPr>
                <w:rFonts w:hint="default" w:ascii="宋体" w:hAnsi="宋体" w:cs="宋体"/>
                <w:color w:val="auto"/>
                <w:sz w:val="24"/>
                <w:szCs w:val="24"/>
                <w:highlight w:val="none"/>
                <w:lang w:bidi="ar"/>
              </w:rPr>
            </w:pPr>
            <w:r>
              <w:rPr>
                <w:rFonts w:hint="default" w:ascii="宋体" w:hAnsi="宋体" w:cs="宋体"/>
                <w:color w:val="auto"/>
                <w:sz w:val="24"/>
                <w:szCs w:val="24"/>
                <w:highlight w:val="none"/>
                <w:lang w:bidi="ar"/>
              </w:rPr>
              <w:t>配套的设备相关转换器，提供赛时成绩转换至观众端显示屏。</w:t>
            </w:r>
          </w:p>
        </w:tc>
        <w:tc>
          <w:tcPr>
            <w:tcW w:w="391" w:type="pct"/>
            <w:tcBorders>
              <w:bottom w:val="single" w:color="auto" w:sz="4" w:space="0"/>
            </w:tcBorders>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p>
        </w:tc>
        <w:tc>
          <w:tcPr>
            <w:tcW w:w="366" w:type="pct"/>
            <w:tcBorders>
              <w:bottom w:val="single" w:color="auto" w:sz="4" w:space="0"/>
            </w:tcBorders>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25米激光报靶系统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s="宋体"/>
                <w:b/>
                <w:bCs/>
                <w:color w:val="auto"/>
                <w:sz w:val="24"/>
                <w:szCs w:val="24"/>
                <w:highlight w:val="none"/>
                <w:lang w:bidi="ar"/>
              </w:rPr>
              <w:t>25米靶端套装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1</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25米激光靶靶标</w:t>
            </w:r>
          </w:p>
        </w:tc>
        <w:tc>
          <w:tcPr>
            <w:tcW w:w="3215" w:type="pct"/>
            <w:shd w:val="clear" w:color="auto" w:fill="auto"/>
            <w:vAlign w:val="center"/>
          </w:tcPr>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1.通过国际射联三级认证和中国射击协会认证，满足25米手枪项目的所有训练及比赛要求。</w:t>
            </w:r>
            <w:r>
              <w:rPr>
                <w:rStyle w:val="83"/>
                <w:rFonts w:hint="default"/>
                <w:color w:val="auto"/>
                <w:highlight w:val="none"/>
                <w:u w:val="none"/>
                <w:lang w:bidi="ar"/>
              </w:rPr>
              <w:t>投标文件中提供所投产品国际射联三级认证证书和中国射击协会认证认证证书（审定证书）。</w:t>
            </w:r>
            <w:r>
              <w:rPr>
                <w:rStyle w:val="84"/>
                <w:rFonts w:hint="default"/>
                <w:color w:val="auto"/>
                <w:highlight w:val="none"/>
                <w:lang w:bidi="ar"/>
              </w:rPr>
              <w:t xml:space="preserve"> </w:t>
            </w:r>
          </w:p>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 xml:space="preserve">2.光学探测原理，通过5个无害红外发射器和对应的5条红外接收器，对弹着位置进行判定，覆盖整个靶机区域。                       </w:t>
            </w:r>
          </w:p>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3.适合枪弹口径为22,32,38（钢制的抛射弹除外）。                                 4.25米靶机上安装信号灯。                         5.平时训练无需耗材。</w:t>
            </w:r>
          </w:p>
          <w:p>
            <w:pPr>
              <w:spacing w:line="240" w:lineRule="atLeast"/>
              <w:jc w:val="left"/>
              <w:textAlignment w:val="center"/>
              <w:rPr>
                <w:rFonts w:ascii="宋体" w:hAnsi="宋体" w:cs="宋体"/>
                <w:color w:val="auto"/>
                <w:sz w:val="24"/>
                <w:szCs w:val="24"/>
                <w:highlight w:val="none"/>
              </w:rPr>
            </w:pPr>
            <w:r>
              <w:rPr>
                <w:rStyle w:val="84"/>
                <w:rFonts w:hint="default"/>
                <w:color w:val="auto"/>
                <w:highlight w:val="none"/>
                <w:lang w:bidi="ar"/>
              </w:rPr>
              <w:t>6.可提供中文操作系统。</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2</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标准手枪靶面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200 mm</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430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3</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速射手枪靶面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500 mm</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430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4</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橡胶靶面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橡胶材质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120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5</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信号灯</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红绿信号灯，提示运动员射击</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6</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25米靶标支架</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每5个靶标用1个单体支架，材质钢材</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8</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7</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靶端设备配套电源套装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满足25米激光靶设备正常运行需要的所有辅助配件。</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8</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靶端设备配套线缆套装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线缆等满足25米激光靶设备正常运行需要的所有辅助线材。</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二、射手端套装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9</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射手端一体式显示器</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英寸液晶彩色触屏多功能（含中文）显示器，可一键操作，用于显示不同项目所得的环值及运动员信息；包含步手枪全项目。根据不同的比赛项目，计算环值。多语言操作系统，含中文操作系统，包含所有最新射击项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射手端配套电源线缆套装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满足设备正常运行需要的所有辅助线材配件。</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三、中控台套装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1</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中控台成绩处理系统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采集数据信息，接收和传输成绩，用于观众显屏的数据传输；</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2</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数据转换操作台</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外部设备放置装置，实现数据操作台面。</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3</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1000*1000dpi，实时呈现训练和比赛数据。</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4</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成绩显示系统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Style w:val="84"/>
                <w:rFonts w:hint="eastAsia"/>
                <w:color w:val="auto"/>
                <w:highlight w:val="none"/>
                <w:lang w:eastAsia="zh-CN" w:bidi="ar"/>
              </w:rPr>
              <w:t>≥</w:t>
            </w:r>
            <w:r>
              <w:rPr>
                <w:rStyle w:val="84"/>
                <w:rFonts w:hint="default"/>
                <w:color w:val="auto"/>
                <w:highlight w:val="none"/>
                <w:lang w:bidi="ar"/>
              </w:rPr>
              <w:t>6</w:t>
            </w:r>
            <w:r>
              <w:rPr>
                <w:rStyle w:val="84"/>
                <w:rFonts w:hint="eastAsia"/>
                <w:color w:val="auto"/>
                <w:highlight w:val="none"/>
                <w:lang w:val="en-US" w:eastAsia="zh-CN"/>
              </w:rPr>
              <w:t>0</w:t>
            </w:r>
            <w:r>
              <w:rPr>
                <w:rStyle w:val="84"/>
                <w:rFonts w:hint="default"/>
                <w:color w:val="auto"/>
                <w:highlight w:val="none"/>
              </w:rPr>
              <w:t>英寸</w:t>
            </w:r>
            <w:r>
              <w:rPr>
                <w:rStyle w:val="84"/>
                <w:rFonts w:hint="default"/>
                <w:color w:val="auto"/>
                <w:highlight w:val="none"/>
                <w:lang w:bidi="ar"/>
              </w:rPr>
              <w:t>高清显示屏供教练员、裁判员实时查看成绩，可移动支架便于移动。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15</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25米时间控制单元</w:t>
            </w:r>
          </w:p>
        </w:tc>
        <w:tc>
          <w:tcPr>
            <w:tcW w:w="3215" w:type="pct"/>
            <w:shd w:val="clear" w:color="auto" w:fill="auto"/>
            <w:vAlign w:val="center"/>
          </w:tcPr>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内含25米项下射击比赛程序，25米手枪项目的开始、暂停时间的设定。</w:t>
            </w:r>
          </w:p>
        </w:tc>
        <w:tc>
          <w:tcPr>
            <w:tcW w:w="391" w:type="pct"/>
            <w:shd w:val="clear" w:color="auto" w:fill="auto"/>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6</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中控台配套线缆套装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用于连接中控台的相关数据线及连接器等，满足设备正常运行。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17</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中控台配套电源套装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用于连接中控台的相关设备，满足正常运行。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四、中控室设备套装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自动排名系统套装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软件系统包含比赛需要的名单录入、抽签分组、比赛信息发送、成绩接收统计排名等功能；包含需要的数据处理及备份，可与媒体通讯的数据端口，赛事期间方便与电视转播团队对接，也可对接公众号，比赛期间用于成绩实时发布。软件带有FTP功能可与国际射联官网联通。</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6" w:type="pct"/>
            <w:vAlign w:val="center"/>
          </w:tcPr>
          <w:p>
            <w:pPr>
              <w:spacing w:line="24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9</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中控室网络服务器设备套装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通过软件连接外部设备，实现不同控制器、靶机和观众显屏的连接，实时显示运动员射击成绩。</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20</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1000*1000dpi，实时呈现训练和比赛数据。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1</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可满足设备正常运行及比赛需求所有辅助线材等。</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五、观众显示套装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2</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成绩数据转换显示系统</w:t>
            </w:r>
          </w:p>
        </w:tc>
        <w:tc>
          <w:tcPr>
            <w:tcW w:w="3215" w:type="pct"/>
            <w:vAlign w:val="center"/>
          </w:tcPr>
          <w:p>
            <w:pPr>
              <w:spacing w:line="240" w:lineRule="atLeast"/>
              <w:jc w:val="left"/>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COB1.53室内全彩LED电子显示屏</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面积为</w:t>
            </w:r>
            <w:r>
              <w:rPr>
                <w:rFonts w:hint="eastAsia" w:ascii="宋体" w:hAnsi="宋体"/>
                <w:color w:val="auto"/>
                <w:sz w:val="24"/>
                <w:szCs w:val="24"/>
                <w:highlight w:val="none"/>
              </w:rPr>
              <w:t>19.845平方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尺</w:t>
            </w:r>
            <w:r>
              <w:rPr>
                <w:rFonts w:hint="eastAsia" w:ascii="宋体" w:hAnsi="宋体"/>
                <w:color w:val="auto"/>
                <w:sz w:val="24"/>
                <w:szCs w:val="24"/>
                <w:highlight w:val="none"/>
                <w:lang w:val="en-US" w:eastAsia="zh-CN"/>
              </w:rPr>
              <w:t>寸：</w:t>
            </w:r>
            <w:r>
              <w:rPr>
                <w:rFonts w:hint="eastAsia" w:ascii="宋体" w:hAnsi="宋体"/>
                <w:color w:val="auto"/>
                <w:sz w:val="24"/>
                <w:szCs w:val="24"/>
                <w:highlight w:val="none"/>
              </w:rPr>
              <w:t>4.2m*2.3625m*2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驱动方式：恒流驱动，数据转换成绩输出，安装于场地内两端位置，显示排名成绩，供教练员、观众观看；实际尺寸参考场地情况</w:t>
            </w:r>
            <w:r>
              <w:rPr>
                <w:rFonts w:hint="eastAsia" w:ascii="宋体" w:hAnsi="宋体"/>
                <w:color w:val="auto"/>
                <w:sz w:val="24"/>
                <w:szCs w:val="24"/>
                <w:highlight w:val="none"/>
                <w:lang w:eastAsia="zh-CN"/>
              </w:rPr>
              <w:t>。</w:t>
            </w:r>
          </w:p>
        </w:tc>
        <w:tc>
          <w:tcPr>
            <w:tcW w:w="391"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23</w:t>
            </w:r>
          </w:p>
        </w:tc>
        <w:tc>
          <w:tcPr>
            <w:tcW w:w="712" w:type="pct"/>
            <w:tcMar>
              <w:top w:w="15" w:type="dxa"/>
              <w:left w:w="15" w:type="dxa"/>
              <w:bottom w:w="0" w:type="dxa"/>
              <w:right w:w="15" w:type="dxa"/>
            </w:tcMa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观众显示成绩转换设备</w:t>
            </w:r>
          </w:p>
        </w:tc>
        <w:tc>
          <w:tcPr>
            <w:tcW w:w="3215" w:type="pct"/>
            <w:vAlign w:val="center"/>
          </w:tcPr>
          <w:p>
            <w:pPr>
              <w:spacing w:line="240" w:lineRule="atLeast"/>
              <w:jc w:val="left"/>
              <w:textAlignment w:val="center"/>
              <w:rPr>
                <w:rFonts w:ascii="宋体" w:hAnsi="宋体"/>
                <w:color w:val="auto"/>
                <w:sz w:val="24"/>
                <w:szCs w:val="24"/>
                <w:highlight w:val="none"/>
              </w:rPr>
            </w:pPr>
            <w:r>
              <w:rPr>
                <w:rFonts w:hint="eastAsia" w:ascii="宋体" w:hAnsi="宋体"/>
                <w:color w:val="auto"/>
                <w:sz w:val="24"/>
                <w:szCs w:val="24"/>
                <w:highlight w:val="none"/>
              </w:rPr>
              <w:t>配套的设备相关转换器，提供赛时成绩转换至观众端显示屏。</w:t>
            </w:r>
          </w:p>
        </w:tc>
        <w:tc>
          <w:tcPr>
            <w:tcW w:w="391" w:type="pct"/>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p>
        </w:tc>
        <w:tc>
          <w:tcPr>
            <w:tcW w:w="366" w:type="pct"/>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50米激光报靶系统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一、50米靶端套装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1</w:t>
            </w:r>
          </w:p>
        </w:tc>
        <w:tc>
          <w:tcPr>
            <w:tcW w:w="712" w:type="pct"/>
            <w:shd w:val="clear" w:color="auto" w:fill="auto"/>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50米激光靶靶标</w:t>
            </w:r>
          </w:p>
        </w:tc>
        <w:tc>
          <w:tcPr>
            <w:tcW w:w="3215" w:type="pct"/>
            <w:shd w:val="clear" w:color="auto" w:fill="auto"/>
            <w:vAlign w:val="center"/>
          </w:tcPr>
          <w:p>
            <w:pPr>
              <w:numPr>
                <w:ilvl w:val="0"/>
                <w:numId w:val="1"/>
              </w:numPr>
              <w:spacing w:line="240" w:lineRule="atLeast"/>
              <w:jc w:val="left"/>
              <w:textAlignment w:val="center"/>
              <w:rPr>
                <w:rStyle w:val="84"/>
                <w:rFonts w:hint="default"/>
                <w:color w:val="auto"/>
                <w:highlight w:val="none"/>
                <w:lang w:bidi="ar"/>
              </w:rPr>
            </w:pPr>
            <w:r>
              <w:rPr>
                <w:rStyle w:val="84"/>
                <w:rFonts w:hint="default"/>
                <w:color w:val="auto"/>
                <w:highlight w:val="none"/>
                <w:lang w:bidi="ar"/>
              </w:rPr>
              <w:t>通过国际射联三级认证和中国射击协会认证，满足50米手枪步枪项目的所有训练及比赛要求。</w:t>
            </w:r>
            <w:r>
              <w:rPr>
                <w:rStyle w:val="83"/>
                <w:rFonts w:hint="default"/>
                <w:color w:val="auto"/>
                <w:highlight w:val="none"/>
                <w:u w:val="none"/>
                <w:lang w:bidi="ar"/>
              </w:rPr>
              <w:t>投标文件中提供所投产品国际射联三级认证证书和中国射击协会认证认证证书（审定证书）。</w:t>
            </w:r>
          </w:p>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 xml:space="preserve">2.光学探测原理，通过5个无害红外发射器和对应的5条红外接收器，对弹着位置进行判定，覆盖整个靶机区域。                         </w:t>
            </w:r>
          </w:p>
          <w:p>
            <w:pPr>
              <w:spacing w:line="240" w:lineRule="atLeast"/>
              <w:jc w:val="left"/>
              <w:textAlignment w:val="center"/>
              <w:rPr>
                <w:rFonts w:ascii="宋体" w:hAnsi="宋体" w:cs="宋体"/>
                <w:color w:val="auto"/>
                <w:sz w:val="24"/>
                <w:szCs w:val="24"/>
                <w:highlight w:val="none"/>
              </w:rPr>
            </w:pPr>
            <w:r>
              <w:rPr>
                <w:rStyle w:val="84"/>
                <w:rFonts w:hint="default"/>
                <w:color w:val="auto"/>
                <w:highlight w:val="none"/>
                <w:lang w:bidi="ar"/>
              </w:rPr>
              <w:t xml:space="preserve">3.适合枪弹口径为22,32,38（钢制的抛射弹除外）。                                   4.平时训练无需耗材。                     </w:t>
            </w:r>
          </w:p>
          <w:p>
            <w:pPr>
              <w:spacing w:line="240" w:lineRule="atLeast"/>
              <w:jc w:val="left"/>
              <w:textAlignment w:val="center"/>
              <w:rPr>
                <w:rFonts w:ascii="宋体" w:hAnsi="宋体" w:cs="宋体"/>
                <w:color w:val="auto"/>
                <w:sz w:val="24"/>
                <w:szCs w:val="24"/>
                <w:highlight w:val="none"/>
              </w:rPr>
            </w:pPr>
            <w:r>
              <w:rPr>
                <w:rStyle w:val="84"/>
                <w:rFonts w:hint="default"/>
                <w:color w:val="auto"/>
                <w:highlight w:val="none"/>
                <w:lang w:bidi="ar"/>
              </w:rPr>
              <w:t>5.可提供中文操作系统。</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2</w:t>
            </w:r>
          </w:p>
        </w:tc>
        <w:tc>
          <w:tcPr>
            <w:tcW w:w="712" w:type="pct"/>
            <w:shd w:val="clear" w:color="auto" w:fill="auto"/>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慢射手枪靶面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200 mm</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430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3</w:t>
            </w:r>
          </w:p>
        </w:tc>
        <w:tc>
          <w:tcPr>
            <w:tcW w:w="712" w:type="pct"/>
            <w:shd w:val="clear" w:color="auto" w:fill="auto"/>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小口径步枪靶面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国际射联标准，靶心直径 112.4 mm</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430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4</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橡胶靶面</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橡胶材质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5</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50米标靶复合支架</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连接50米靶单体支架，材质铝型材，支撑稳定</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6</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靶端设备配套电源套装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满足50米激光靶设备正常运行需要的所有辅助配件。</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76" w:lineRule="auto"/>
              <w:jc w:val="center"/>
              <w:rPr>
                <w:rFonts w:ascii="宋体" w:hAnsi="宋体" w:cs="宋体"/>
                <w:color w:val="auto"/>
                <w:sz w:val="24"/>
                <w:szCs w:val="24"/>
                <w:highlight w:val="none"/>
              </w:rPr>
            </w:pPr>
            <w:r>
              <w:rPr>
                <w:rFonts w:hint="eastAsia" w:ascii="宋体" w:hAnsi="宋体"/>
                <w:color w:val="auto"/>
                <w:sz w:val="24"/>
                <w:szCs w:val="24"/>
                <w:highlight w:val="none"/>
              </w:rPr>
              <w:t>7</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靶端设备配套线缆套装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线缆等满足50米激光靶设备正常运行需要的所有辅助线材。</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二、射手端套装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8</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射手端一体式显示器</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英寸液晶彩色触屏多功能（含中文）显示器，可一键操作，用于显示不同项目所得的环值及运动员信息；包含步手枪全项目。根据不同的比赛项目，计算环值。多语言操作系统，含中文操作系统，包含所有最新射击项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9</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运动员操作手柄</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便于射手自行转换试射及计分射，并调节靶型图状态。</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w:t>
            </w:r>
          </w:p>
        </w:tc>
        <w:tc>
          <w:tcPr>
            <w:tcW w:w="712" w:type="pct"/>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射手端配套电源线缆套装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满足设备正常运行需要的所有辅助线材配件。</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40</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三、中控台套装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11</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中央控制台</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中控台设备箱用于路由器以及与成绩处理系统相连接的外设数据采集，用于软件与外设之间的通信。</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12</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中控台成绩处理系统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采集数据信息，接收和传输成绩，用于观众显屏的数据传输；</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13</w:t>
            </w:r>
          </w:p>
        </w:tc>
        <w:tc>
          <w:tcPr>
            <w:tcW w:w="712" w:type="pct"/>
            <w:shd w:val="clear" w:color="auto" w:fill="auto"/>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中控台数据转换系统</w:t>
            </w:r>
          </w:p>
        </w:tc>
        <w:tc>
          <w:tcPr>
            <w:tcW w:w="3215" w:type="pct"/>
            <w:shd w:val="clear" w:color="auto" w:fill="auto"/>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STE01适配器 STYX 转RJ45</w:t>
            </w:r>
          </w:p>
          <w:p>
            <w:pPr>
              <w:spacing w:line="240" w:lineRule="atLeast"/>
              <w:jc w:val="left"/>
              <w:textAlignment w:val="center"/>
              <w:rPr>
                <w:rFonts w:hint="eastAsia" w:ascii="宋体" w:hAnsi="宋体" w:eastAsia="宋体" w:cs="宋体"/>
                <w:color w:val="auto"/>
                <w:sz w:val="24"/>
                <w:szCs w:val="24"/>
                <w:highlight w:val="none"/>
                <w:u w:color="000000"/>
                <w:lang w:val="en-US" w:eastAsia="zh-CN" w:bidi="ar"/>
              </w:rPr>
            </w:pPr>
            <w:r>
              <w:rPr>
                <w:rFonts w:hint="eastAsia" w:ascii="宋体" w:hAnsi="宋体" w:cs="宋体"/>
                <w:color w:val="auto"/>
                <w:sz w:val="24"/>
                <w:szCs w:val="24"/>
                <w:highlight w:val="none"/>
                <w:lang w:bidi="ar"/>
              </w:rPr>
              <w:t>该适配器可以将STYX信号，连接至打印 机，台式机，笔记本电脑或者网络路由器。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366"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14</w:t>
            </w:r>
          </w:p>
        </w:tc>
        <w:tc>
          <w:tcPr>
            <w:tcW w:w="712" w:type="pct"/>
            <w:shd w:val="clear" w:color="auto" w:fill="auto"/>
            <w:tcMar>
              <w:top w:w="15" w:type="dxa"/>
              <w:left w:w="15" w:type="dxa"/>
              <w:bottom w:w="0" w:type="dxa"/>
              <w:right w:w="15" w:type="dxa"/>
            </w:tcMar>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综合数据转换盒</w:t>
            </w:r>
          </w:p>
        </w:tc>
        <w:tc>
          <w:tcPr>
            <w:tcW w:w="3215" w:type="pct"/>
            <w:shd w:val="clear" w:color="auto" w:fill="auto"/>
            <w:vAlign w:val="center"/>
          </w:tcPr>
          <w:p>
            <w:pPr>
              <w:spacing w:line="240" w:lineRule="atLeast"/>
              <w:jc w:val="left"/>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STL01 数据转换盒STYX信号转 LON信号 该转换盒包含一个STYX和1个LON接</w:t>
            </w:r>
          </w:p>
          <w:p>
            <w:pPr>
              <w:spacing w:line="240" w:lineRule="atLeast"/>
              <w:jc w:val="left"/>
              <w:textAlignment w:val="center"/>
              <w:rPr>
                <w:rFonts w:hint="eastAsia" w:ascii="宋体" w:hAnsi="宋体" w:eastAsia="宋体" w:cs="宋体"/>
                <w:color w:val="auto"/>
                <w:sz w:val="24"/>
                <w:szCs w:val="24"/>
                <w:highlight w:val="none"/>
                <w:u w:color="000000"/>
                <w:lang w:val="en-US" w:eastAsia="zh-CN" w:bidi="ar"/>
              </w:rPr>
            </w:pPr>
            <w:r>
              <w:rPr>
                <w:rFonts w:hint="eastAsia" w:ascii="宋体" w:hAnsi="宋体" w:cs="宋体"/>
                <w:color w:val="auto"/>
                <w:sz w:val="24"/>
                <w:szCs w:val="24"/>
                <w:highlight w:val="none"/>
                <w:lang w:bidi="ar"/>
              </w:rPr>
              <w:t>口，通过该转换盒可以将STYX外设与一 组（10个）LON设备进行连接。</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366"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5</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数据转换操作台</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外部设备放置装置，实现数据操作台面。</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6</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1000*1000dpi，实时呈现训练和比赛数据。</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7</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成绩显示系统</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Style w:val="84"/>
                <w:rFonts w:hint="eastAsia"/>
                <w:color w:val="auto"/>
                <w:highlight w:val="none"/>
                <w:lang w:eastAsia="zh-CN" w:bidi="ar"/>
              </w:rPr>
              <w:t>≥</w:t>
            </w:r>
            <w:r>
              <w:rPr>
                <w:rStyle w:val="84"/>
                <w:rFonts w:hint="default"/>
                <w:color w:val="auto"/>
                <w:highlight w:val="none"/>
                <w:lang w:bidi="ar"/>
              </w:rPr>
              <w:t>6</w:t>
            </w:r>
            <w:r>
              <w:rPr>
                <w:rStyle w:val="84"/>
                <w:rFonts w:hint="default"/>
                <w:color w:val="auto"/>
                <w:highlight w:val="none"/>
              </w:rPr>
              <w:t>0英寸</w:t>
            </w:r>
            <w:r>
              <w:rPr>
                <w:rStyle w:val="84"/>
                <w:rFonts w:hint="default"/>
                <w:color w:val="auto"/>
                <w:highlight w:val="none"/>
                <w:lang w:bidi="ar"/>
              </w:rPr>
              <w:t>高清显示屏供教练员、裁判员实时查看成绩，可移动支架便于移动。</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8</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中控台配套线缆套装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用于连接中控台的相关数据线及连接器等，满足设备正常运行。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shd w:val="clear" w:color="auto" w:fill="auto"/>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9</w:t>
            </w:r>
          </w:p>
        </w:tc>
        <w:tc>
          <w:tcPr>
            <w:tcW w:w="712" w:type="pct"/>
            <w:shd w:val="clear" w:color="auto" w:fill="auto"/>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中控台配套电源套装</w:t>
            </w:r>
          </w:p>
        </w:tc>
        <w:tc>
          <w:tcPr>
            <w:tcW w:w="3215" w:type="pct"/>
            <w:shd w:val="clear" w:color="auto" w:fill="auto"/>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用于连接中控台的相关设备，满足正常运行。</w:t>
            </w:r>
          </w:p>
        </w:tc>
        <w:tc>
          <w:tcPr>
            <w:tcW w:w="391"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366" w:type="pct"/>
            <w:shd w:val="clear" w:color="auto" w:fill="auto"/>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四、中控室设备套装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自动排名系统套装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软件系统包含比赛需要的名单录入、抽签分组、比赛信息发送、成绩接收统计排名等功能；包含需要的数据处理及备份，可与媒体通讯的数据端口，赛事期间方便与电视转播团队对接，也可对接公众号，比赛期间用于成绩实时发布。软件带有FTP功能可与国际射联官网联通。</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6" w:type="pct"/>
            <w:vAlign w:val="center"/>
          </w:tcPr>
          <w:p>
            <w:pPr>
              <w:spacing w:line="24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21</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中控室网络服务器设备套装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通过软件连接外部设备，实现不同控制器、靶机和观众显屏的连接，实时显示运动员射击成绩。</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22</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终端成绩输出处理装置</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激光配合实现成绩打印输出，分辨率</w:t>
            </w: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bidi="ar"/>
              </w:rPr>
              <w:t>1000*1000dpi，实时呈现训练和比赛数据。</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
              </w:rPr>
              <w:t>23</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中控室配套线缆套装</w:t>
            </w:r>
          </w:p>
        </w:tc>
        <w:tc>
          <w:tcPr>
            <w:tcW w:w="3215" w:type="pct"/>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olor w:val="auto"/>
                <w:sz w:val="24"/>
                <w:szCs w:val="24"/>
                <w:highlight w:val="none"/>
              </w:rPr>
              <w:t>可满足设备正常运行及比赛需求所有辅助线材等。</w:t>
            </w:r>
          </w:p>
        </w:tc>
        <w:tc>
          <w:tcPr>
            <w:tcW w:w="391"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00" w:type="pct"/>
            <w:gridSpan w:val="5"/>
            <w:vAlign w:val="center"/>
          </w:tcPr>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五、观众显示套装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4</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成绩数据转换显示系统</w:t>
            </w:r>
          </w:p>
        </w:tc>
        <w:tc>
          <w:tcPr>
            <w:tcW w:w="3215" w:type="pct"/>
            <w:vAlign w:val="center"/>
          </w:tcPr>
          <w:p>
            <w:pPr>
              <w:spacing w:line="240" w:lineRule="atLeast"/>
              <w:jc w:val="left"/>
              <w:textAlignment w:val="center"/>
              <w:rPr>
                <w:rFonts w:ascii="宋体" w:hAnsi="宋体"/>
                <w:color w:val="auto"/>
                <w:sz w:val="24"/>
                <w:szCs w:val="24"/>
                <w:highlight w:val="none"/>
              </w:rPr>
            </w:pPr>
            <w:r>
              <w:rPr>
                <w:rFonts w:hint="eastAsia" w:ascii="宋体" w:hAnsi="宋体"/>
                <w:color w:val="auto"/>
                <w:sz w:val="24"/>
                <w:szCs w:val="24"/>
                <w:highlight w:val="none"/>
              </w:rPr>
              <w:t>COB1.53室内全彩LED电子显示屏，</w:t>
            </w:r>
            <w:r>
              <w:rPr>
                <w:rFonts w:hint="eastAsia" w:ascii="宋体" w:hAnsi="宋体"/>
                <w:color w:val="auto"/>
                <w:sz w:val="24"/>
                <w:szCs w:val="24"/>
                <w:highlight w:val="none"/>
                <w:lang w:val="en-US" w:eastAsia="zh-CN"/>
              </w:rPr>
              <w:t>面积约</w:t>
            </w:r>
            <w:r>
              <w:rPr>
                <w:rFonts w:hint="eastAsia" w:ascii="宋体" w:hAnsi="宋体"/>
                <w:color w:val="auto"/>
                <w:sz w:val="24"/>
                <w:szCs w:val="24"/>
                <w:highlight w:val="none"/>
              </w:rPr>
              <w:t>30.7475平方</w:t>
            </w:r>
            <w:r>
              <w:rPr>
                <w:rFonts w:hint="eastAsia" w:ascii="宋体" w:hAnsi="宋体"/>
                <w:color w:val="auto"/>
                <w:sz w:val="24"/>
                <w:szCs w:val="24"/>
                <w:highlight w:val="none"/>
                <w:lang w:val="en-US" w:eastAsia="zh-CN"/>
              </w:rPr>
              <w:t>米，</w:t>
            </w:r>
            <w:r>
              <w:rPr>
                <w:rFonts w:hint="eastAsia" w:ascii="宋体" w:hAnsi="宋体"/>
                <w:color w:val="auto"/>
                <w:sz w:val="24"/>
                <w:szCs w:val="24"/>
                <w:highlight w:val="none"/>
              </w:rPr>
              <w:t>尺</w:t>
            </w:r>
            <w:r>
              <w:rPr>
                <w:rFonts w:hint="eastAsia" w:ascii="宋体" w:hAnsi="宋体"/>
                <w:color w:val="auto"/>
                <w:sz w:val="24"/>
                <w:szCs w:val="24"/>
                <w:highlight w:val="none"/>
                <w:lang w:eastAsia="zh-CN"/>
              </w:rPr>
              <w:t>寸</w:t>
            </w:r>
            <w:r>
              <w:rPr>
                <w:rFonts w:hint="eastAsia" w:ascii="宋体" w:hAnsi="宋体"/>
                <w:color w:val="auto"/>
                <w:sz w:val="24"/>
                <w:szCs w:val="24"/>
                <w:highlight w:val="none"/>
              </w:rPr>
              <w:t>4.9m*3.1375m*2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驱动方式：恒流驱动，数据转换成绩输出，安装于场地内两端位置，显示排名成绩，供教练员、观众观看；实际尺寸参考场地情况</w:t>
            </w:r>
          </w:p>
        </w:tc>
        <w:tc>
          <w:tcPr>
            <w:tcW w:w="391" w:type="pct"/>
            <w:vAlign w:val="center"/>
          </w:tcPr>
          <w:p>
            <w:pPr>
              <w:spacing w:line="240" w:lineRule="atLeas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1</w:t>
            </w:r>
          </w:p>
        </w:tc>
        <w:tc>
          <w:tcPr>
            <w:tcW w:w="366" w:type="pct"/>
            <w:vAlign w:val="center"/>
          </w:tcPr>
          <w:p>
            <w:pPr>
              <w:spacing w:line="240" w:lineRule="atLeas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314" w:type="pct"/>
            <w:vAlign w:val="center"/>
          </w:tcPr>
          <w:p>
            <w:pPr>
              <w:spacing w:line="240" w:lineRule="atLeast"/>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25</w:t>
            </w:r>
          </w:p>
        </w:tc>
        <w:tc>
          <w:tcPr>
            <w:tcW w:w="712" w:type="pct"/>
            <w:tcMar>
              <w:top w:w="15" w:type="dxa"/>
              <w:left w:w="15" w:type="dxa"/>
              <w:bottom w:w="0" w:type="dxa"/>
              <w:right w:w="15" w:type="dxa"/>
            </w:tcMar>
            <w:vAlign w:val="center"/>
          </w:tcPr>
          <w:p>
            <w:pPr>
              <w:spacing w:line="240" w:lineRule="atLeast"/>
              <w:jc w:val="left"/>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观众显示成绩转换设备</w:t>
            </w:r>
          </w:p>
        </w:tc>
        <w:tc>
          <w:tcPr>
            <w:tcW w:w="3215" w:type="pct"/>
            <w:vAlign w:val="center"/>
          </w:tcPr>
          <w:p>
            <w:pPr>
              <w:spacing w:line="240" w:lineRule="atLeast"/>
              <w:jc w:val="left"/>
              <w:textAlignment w:val="center"/>
              <w:rPr>
                <w:rStyle w:val="84"/>
                <w:rFonts w:hint="default"/>
                <w:color w:val="auto"/>
                <w:highlight w:val="none"/>
                <w:lang w:bidi="ar"/>
              </w:rPr>
            </w:pPr>
            <w:r>
              <w:rPr>
                <w:rStyle w:val="84"/>
                <w:rFonts w:hint="default"/>
                <w:color w:val="auto"/>
                <w:highlight w:val="none"/>
                <w:lang w:bidi="ar"/>
              </w:rPr>
              <w:t>配套的设备相关转换器，提供赛时成绩转换至观众端显示屏。</w:t>
            </w:r>
          </w:p>
        </w:tc>
        <w:tc>
          <w:tcPr>
            <w:tcW w:w="391" w:type="pct"/>
            <w:vAlign w:val="center"/>
          </w:tcPr>
          <w:p>
            <w:pPr>
              <w:spacing w:line="240" w:lineRule="atLeast"/>
              <w:jc w:val="center"/>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p>
        </w:tc>
        <w:tc>
          <w:tcPr>
            <w:tcW w:w="366" w:type="pct"/>
            <w:vAlign w:val="center"/>
          </w:tcPr>
          <w:p>
            <w:pPr>
              <w:spacing w:line="240" w:lineRule="atLeas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台</w:t>
            </w:r>
          </w:p>
        </w:tc>
      </w:tr>
    </w:tbl>
    <w:p>
      <w:pPr>
        <w:pStyle w:val="67"/>
        <w:rPr>
          <w:color w:val="auto"/>
          <w:szCs w:val="24"/>
          <w:highlight w:val="none"/>
        </w:rPr>
      </w:pPr>
    </w:p>
    <w:p>
      <w:pPr>
        <w:pStyle w:val="67"/>
        <w:rPr>
          <w:b/>
          <w:color w:val="auto"/>
          <w:szCs w:val="24"/>
          <w:highlight w:val="none"/>
        </w:rPr>
      </w:pPr>
      <w:r>
        <w:rPr>
          <w:rFonts w:hint="eastAsia"/>
          <w:b/>
          <w:color w:val="auto"/>
          <w:spacing w:val="-3"/>
          <w:szCs w:val="24"/>
          <w:highlight w:val="none"/>
          <w:lang w:val="en-US" w:eastAsia="zh-CN"/>
        </w:rPr>
        <w:t>完成电子靶安装所配套的</w:t>
      </w:r>
      <w:r>
        <w:rPr>
          <w:b/>
          <w:color w:val="auto"/>
          <w:spacing w:val="-3"/>
          <w:szCs w:val="24"/>
          <w:highlight w:val="none"/>
        </w:rPr>
        <w:t>场地改造</w:t>
      </w:r>
    </w:p>
    <w:tbl>
      <w:tblPr>
        <w:tblStyle w:val="25"/>
        <w:tblW w:w="8939" w:type="dxa"/>
        <w:jc w:val="center"/>
        <w:tblLayout w:type="fixed"/>
        <w:tblCellMar>
          <w:top w:w="0" w:type="dxa"/>
          <w:left w:w="108" w:type="dxa"/>
          <w:bottom w:w="0" w:type="dxa"/>
          <w:right w:w="108" w:type="dxa"/>
        </w:tblCellMar>
      </w:tblPr>
      <w:tblGrid>
        <w:gridCol w:w="808"/>
        <w:gridCol w:w="1656"/>
        <w:gridCol w:w="1449"/>
        <w:gridCol w:w="3190"/>
        <w:gridCol w:w="709"/>
        <w:gridCol w:w="1127"/>
      </w:tblGrid>
      <w:tr>
        <w:tblPrEx>
          <w:tblCellMar>
            <w:top w:w="0" w:type="dxa"/>
            <w:left w:w="108" w:type="dxa"/>
            <w:bottom w:w="0" w:type="dxa"/>
            <w:right w:w="108" w:type="dxa"/>
          </w:tblCellMar>
        </w:tblPrEx>
        <w:trPr>
          <w:trHeight w:val="467" w:hRule="atLeast"/>
          <w:jc w:val="center"/>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项目编码</w:t>
            </w:r>
          </w:p>
        </w:tc>
        <w:tc>
          <w:tcPr>
            <w:tcW w:w="144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276" w:lineRule="auto"/>
              <w:ind w:firstLine="241" w:firstLineChars="100"/>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项目名称</w:t>
            </w:r>
          </w:p>
        </w:tc>
        <w:tc>
          <w:tcPr>
            <w:tcW w:w="31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项目特征描述</w:t>
            </w:r>
          </w:p>
        </w:tc>
        <w:tc>
          <w:tcPr>
            <w:tcW w:w="7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计量</w:t>
            </w:r>
            <w:r>
              <w:rPr>
                <w:rFonts w:hint="eastAsia" w:cs="Arial" w:asciiTheme="minorEastAsia" w:hAnsiTheme="minorEastAsia" w:eastAsiaTheme="minorEastAsia"/>
                <w:b/>
                <w:color w:val="auto"/>
                <w:sz w:val="24"/>
                <w:szCs w:val="24"/>
                <w:highlight w:val="none"/>
              </w:rPr>
              <w:br w:type="textWrapping"/>
            </w:r>
            <w:r>
              <w:rPr>
                <w:rFonts w:hint="eastAsia" w:cs="Arial" w:asciiTheme="minorEastAsia" w:hAnsiTheme="minorEastAsia" w:eastAsiaTheme="minorEastAsia"/>
                <w:b/>
                <w:color w:val="auto"/>
                <w:sz w:val="24"/>
                <w:szCs w:val="24"/>
                <w:highlight w:val="none"/>
              </w:rPr>
              <w:t>单位</w:t>
            </w:r>
          </w:p>
        </w:tc>
        <w:tc>
          <w:tcPr>
            <w:tcW w:w="112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工程量</w:t>
            </w:r>
          </w:p>
        </w:tc>
      </w:tr>
      <w:tr>
        <w:tblPrEx>
          <w:tblCellMar>
            <w:top w:w="0" w:type="dxa"/>
            <w:left w:w="108" w:type="dxa"/>
            <w:bottom w:w="0" w:type="dxa"/>
            <w:right w:w="108" w:type="dxa"/>
          </w:tblCellMar>
        </w:tblPrEx>
        <w:trPr>
          <w:trHeight w:val="467" w:hRule="atLeast"/>
          <w:jc w:val="center"/>
        </w:trPr>
        <w:tc>
          <w:tcPr>
            <w:tcW w:w="808" w:type="dxa"/>
            <w:vMerge w:val="continue"/>
            <w:tcBorders>
              <w:top w:val="single" w:color="000000" w:sz="8" w:space="0"/>
              <w:left w:val="single" w:color="000000" w:sz="8" w:space="0"/>
              <w:bottom w:val="single" w:color="000000" w:sz="4" w:space="0"/>
              <w:right w:val="single" w:color="000000" w:sz="4" w:space="0"/>
            </w:tcBorders>
            <w:vAlign w:val="center"/>
          </w:tcPr>
          <w:p>
            <w:pPr>
              <w:spacing w:line="276" w:lineRule="auto"/>
              <w:jc w:val="center"/>
              <w:textAlignment w:val="auto"/>
              <w:rPr>
                <w:rFonts w:cs="Arial" w:asciiTheme="minorEastAsia" w:hAnsiTheme="minorEastAsia" w:eastAsiaTheme="minorEastAsia"/>
                <w:color w:val="auto"/>
                <w:sz w:val="24"/>
                <w:szCs w:val="24"/>
                <w:highlight w:val="none"/>
              </w:rPr>
            </w:pPr>
          </w:p>
        </w:tc>
        <w:tc>
          <w:tcPr>
            <w:tcW w:w="16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cs="Arial" w:asciiTheme="minorEastAsia" w:hAnsiTheme="minorEastAsia" w:eastAsiaTheme="minorEastAsia"/>
                <w:color w:val="auto"/>
                <w:sz w:val="24"/>
                <w:szCs w:val="24"/>
                <w:highlight w:val="none"/>
              </w:rPr>
            </w:pPr>
          </w:p>
        </w:tc>
        <w:tc>
          <w:tcPr>
            <w:tcW w:w="1449"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cs="Arial" w:asciiTheme="minorEastAsia" w:hAnsiTheme="minorEastAsia" w:eastAsiaTheme="minorEastAsia"/>
                <w:color w:val="auto"/>
                <w:sz w:val="24"/>
                <w:szCs w:val="24"/>
                <w:highlight w:val="none"/>
              </w:rPr>
            </w:pPr>
          </w:p>
        </w:tc>
        <w:tc>
          <w:tcPr>
            <w:tcW w:w="3190" w:type="dxa"/>
            <w:vMerge w:val="continue"/>
            <w:tcBorders>
              <w:top w:val="single" w:color="000000" w:sz="8" w:space="0"/>
              <w:left w:val="single" w:color="000000" w:sz="4" w:space="0"/>
              <w:bottom w:val="single" w:color="000000" w:sz="4" w:space="0"/>
              <w:right w:val="single" w:color="000000" w:sz="4" w:space="0"/>
            </w:tcBorders>
          </w:tcPr>
          <w:p>
            <w:pPr>
              <w:spacing w:line="276" w:lineRule="auto"/>
              <w:textAlignment w:val="auto"/>
              <w:rPr>
                <w:rFonts w:cs="Arial" w:asciiTheme="minorEastAsia" w:hAnsiTheme="minorEastAsia" w:eastAsiaTheme="minorEastAsia"/>
                <w:color w:val="auto"/>
                <w:sz w:val="24"/>
                <w:szCs w:val="24"/>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cs="Arial" w:asciiTheme="minorEastAsia" w:hAnsiTheme="minorEastAsia" w:eastAsiaTheme="minorEastAsia"/>
                <w:color w:val="auto"/>
                <w:sz w:val="24"/>
                <w:szCs w:val="24"/>
                <w:highlight w:val="none"/>
              </w:rPr>
            </w:pPr>
          </w:p>
        </w:tc>
        <w:tc>
          <w:tcPr>
            <w:tcW w:w="1127"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cs="Arial" w:asciiTheme="minorEastAsia" w:hAnsiTheme="minorEastAsia" w:eastAsiaTheme="minorEastAsia"/>
                <w:color w:val="auto"/>
                <w:sz w:val="24"/>
                <w:szCs w:val="24"/>
                <w:highlight w:val="none"/>
              </w:rPr>
            </w:pPr>
          </w:p>
        </w:tc>
      </w:tr>
      <w:tr>
        <w:tblPrEx>
          <w:tblCellMar>
            <w:top w:w="0" w:type="dxa"/>
            <w:left w:w="108" w:type="dxa"/>
            <w:bottom w:w="0" w:type="dxa"/>
            <w:right w:w="108" w:type="dxa"/>
          </w:tblCellMar>
        </w:tblPrEx>
        <w:trPr>
          <w:trHeight w:val="372" w:hRule="atLeast"/>
          <w:jc w:val="center"/>
        </w:trPr>
        <w:tc>
          <w:tcPr>
            <w:tcW w:w="89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10米靶场</w:t>
            </w:r>
          </w:p>
        </w:tc>
      </w:tr>
      <w:tr>
        <w:tblPrEx>
          <w:tblCellMar>
            <w:top w:w="0" w:type="dxa"/>
            <w:left w:w="108" w:type="dxa"/>
            <w:bottom w:w="0" w:type="dxa"/>
            <w:right w:w="108" w:type="dxa"/>
          </w:tblCellMar>
        </w:tblPrEx>
        <w:trPr>
          <w:trHeight w:val="609"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030413002001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凿（压)槽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1.名称:凿（压)槽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2.规格:100*140mm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449"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011102003001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地面恢复</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100X140mm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r>
      <w:tr>
        <w:tblPrEx>
          <w:tblCellMar>
            <w:top w:w="0" w:type="dxa"/>
            <w:left w:w="108" w:type="dxa"/>
            <w:bottom w:w="0" w:type="dxa"/>
            <w:right w:w="108" w:type="dxa"/>
          </w:tblCellMar>
        </w:tblPrEx>
        <w:trPr>
          <w:trHeight w:val="52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1.名称:过路线槽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2.规格:100*140mm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120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2.配线形式:动力线路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3.型号:BVV-3*4mm2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765</w:t>
            </w:r>
          </w:p>
        </w:tc>
      </w:tr>
      <w:tr>
        <w:tblPrEx>
          <w:tblCellMar>
            <w:top w:w="0" w:type="dxa"/>
            <w:left w:w="108" w:type="dxa"/>
            <w:bottom w:w="0" w:type="dxa"/>
            <w:right w:w="108" w:type="dxa"/>
          </w:tblCellMar>
        </w:tblPrEx>
        <w:trPr>
          <w:trHeight w:val="52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030404035002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插座</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1.名称:单相插座</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2.规格:250V  10A</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48</w:t>
            </w:r>
          </w:p>
        </w:tc>
      </w:tr>
      <w:tr>
        <w:tblPrEx>
          <w:tblCellMar>
            <w:top w:w="0" w:type="dxa"/>
            <w:left w:w="108" w:type="dxa"/>
            <w:bottom w:w="0" w:type="dxa"/>
            <w:right w:w="108" w:type="dxa"/>
          </w:tblCellMar>
        </w:tblPrEx>
        <w:trPr>
          <w:trHeight w:val="1875"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030404017002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配电箱</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1.名称:总控室配电箱</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2.型号:带所有空开设备+电子大屏</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3.规格:600*400*200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4.安装方式:悬挂式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120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030411002008</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1.名称:射手端到靶标端预埋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2.材质:线管或过路线槽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3.规格:50</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70</w:t>
            </w:r>
          </w:p>
        </w:tc>
      </w:tr>
      <w:tr>
        <w:tblPrEx>
          <w:tblCellMar>
            <w:top w:w="0" w:type="dxa"/>
            <w:left w:w="108" w:type="dxa"/>
            <w:bottom w:w="0" w:type="dxa"/>
            <w:right w:w="108" w:type="dxa"/>
          </w:tblCellMar>
        </w:tblPrEx>
        <w:trPr>
          <w:trHeight w:val="951"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1.名称:控制室内线槽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2.材质:金属（铁质）</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3.规格:100*100</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r>
      <w:tr>
        <w:tblPrEx>
          <w:tblCellMar>
            <w:top w:w="0" w:type="dxa"/>
            <w:left w:w="108" w:type="dxa"/>
            <w:bottom w:w="0" w:type="dxa"/>
            <w:right w:w="108" w:type="dxa"/>
          </w:tblCellMar>
        </w:tblPrEx>
        <w:trPr>
          <w:trHeight w:val="170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2.型号:YJV-5*4mm2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95</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030412004009</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3.规格:300*1200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55</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030412004008</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3.规格:600*600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35</w:t>
            </w:r>
          </w:p>
        </w:tc>
      </w:tr>
      <w:tr>
        <w:tblPrEx>
          <w:tblCellMar>
            <w:top w:w="0" w:type="dxa"/>
            <w:left w:w="108" w:type="dxa"/>
            <w:bottom w:w="0" w:type="dxa"/>
            <w:right w:w="108" w:type="dxa"/>
          </w:tblCellMar>
        </w:tblPrEx>
        <w:trPr>
          <w:trHeight w:val="120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030412004007</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投光灯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1.名称:投光灯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3.安装形式:墙上式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65</w:t>
            </w:r>
          </w:p>
        </w:tc>
      </w:tr>
      <w:tr>
        <w:tblPrEx>
          <w:tblCellMar>
            <w:top w:w="0" w:type="dxa"/>
            <w:left w:w="108" w:type="dxa"/>
            <w:bottom w:w="0" w:type="dxa"/>
            <w:right w:w="108" w:type="dxa"/>
          </w:tblCellMar>
        </w:tblPrEx>
        <w:trPr>
          <w:trHeight w:val="97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030411001002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配管</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1.名称:塑料管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2.材质:PVC</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3.规格:DN15mm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4.配置形式:明配</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891.6</w:t>
            </w:r>
          </w:p>
        </w:tc>
      </w:tr>
      <w:tr>
        <w:tblPrEx>
          <w:tblCellMar>
            <w:top w:w="0" w:type="dxa"/>
            <w:left w:w="108" w:type="dxa"/>
            <w:bottom w:w="0" w:type="dxa"/>
            <w:right w:w="108" w:type="dxa"/>
          </w:tblCellMar>
        </w:tblPrEx>
        <w:trPr>
          <w:trHeight w:val="808"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2.配线形式:照明线路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3.型号:BV-2.5mm2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1783</w:t>
            </w:r>
          </w:p>
        </w:tc>
      </w:tr>
      <w:tr>
        <w:tblPrEx>
          <w:tblCellMar>
            <w:top w:w="0" w:type="dxa"/>
            <w:left w:w="108" w:type="dxa"/>
            <w:bottom w:w="0" w:type="dxa"/>
            <w:right w:w="108" w:type="dxa"/>
          </w:tblCellMar>
        </w:tblPrEx>
        <w:trPr>
          <w:trHeight w:val="711"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030404034001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照明开关</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1.名称:三联单控开关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2.安装方式:暗装</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30</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2.型号:YJV-3*35mm2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3.规格:35mm2以下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w:t>
            </w:r>
          </w:p>
        </w:tc>
      </w:tr>
      <w:tr>
        <w:tblPrEx>
          <w:tblCellMar>
            <w:top w:w="0" w:type="dxa"/>
            <w:left w:w="108" w:type="dxa"/>
            <w:bottom w:w="0" w:type="dxa"/>
            <w:right w:w="108" w:type="dxa"/>
          </w:tblCellMar>
        </w:tblPrEx>
        <w:trPr>
          <w:trHeight w:val="87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011210003003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控制室</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1.玻璃品种、规格、颜色:80高的墙,2.1米高玻璃向外折叠的玻璃门，9平方的控制室</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9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倒计时钟</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1.各项目倒计时显示（单面）</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r>
      <w:tr>
        <w:tblPrEx>
          <w:tblCellMar>
            <w:top w:w="0" w:type="dxa"/>
            <w:left w:w="108" w:type="dxa"/>
            <w:bottom w:w="0" w:type="dxa"/>
            <w:right w:w="108" w:type="dxa"/>
          </w:tblCellMar>
        </w:tblPrEx>
        <w:trPr>
          <w:trHeight w:val="429"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19</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03B017</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倒计时钟</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1.各项目倒计时显示（双面）</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16" w:hRule="atLeast"/>
          <w:jc w:val="center"/>
        </w:trPr>
        <w:tc>
          <w:tcPr>
            <w:tcW w:w="89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25米靶场</w:t>
            </w:r>
          </w:p>
        </w:tc>
      </w:tr>
      <w:tr>
        <w:tblPrEx>
          <w:tblCellMar>
            <w:top w:w="0" w:type="dxa"/>
            <w:left w:w="108" w:type="dxa"/>
            <w:bottom w:w="0" w:type="dxa"/>
            <w:right w:w="108" w:type="dxa"/>
          </w:tblCellMar>
        </w:tblPrEx>
        <w:trPr>
          <w:trHeight w:val="557"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030413002003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凿（压)槽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1.名称:凿（压)槽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2.规格:100*140mm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557"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030411002007</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1.名称:过路线槽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2.规格:100*140mm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695"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030404035003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插座</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1.名称:单相插座</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2.规格:250V  10A</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48</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030404017003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配电箱</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1.名称:总控室配电箱</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2.型号:带所有空开设备+电子大屏</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3.规格:600*400*200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4.安装方式:悬挂式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030408001006</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2.型号:YJV-5*4mm2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95</w:t>
            </w:r>
          </w:p>
        </w:tc>
      </w:tr>
      <w:tr>
        <w:tblPrEx>
          <w:tblCellMar>
            <w:top w:w="0" w:type="dxa"/>
            <w:left w:w="108" w:type="dxa"/>
            <w:bottom w:w="0" w:type="dxa"/>
            <w:right w:w="108" w:type="dxa"/>
          </w:tblCellMar>
        </w:tblPrEx>
        <w:trPr>
          <w:trHeight w:val="74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1.名称:控制室内线槽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2.材质:金属（铁质）</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3.规格:100*100</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r>
      <w:tr>
        <w:tblPrEx>
          <w:tblCellMar>
            <w:top w:w="0" w:type="dxa"/>
            <w:left w:w="108" w:type="dxa"/>
            <w:bottom w:w="0" w:type="dxa"/>
            <w:right w:w="108" w:type="dxa"/>
          </w:tblCellMar>
        </w:tblPrEx>
        <w:trPr>
          <w:trHeight w:val="94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030411004006</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2.配线形式:动力线路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3.型号:BVV-3*4mm2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765</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2.型号:YJV-3*35mm2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3.规格:35mm2以下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030412004006</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3.规格:300*1200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55</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030412004010</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3.规格:600*600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35</w:t>
            </w:r>
          </w:p>
        </w:tc>
      </w:tr>
      <w:tr>
        <w:tblPrEx>
          <w:tblCellMar>
            <w:top w:w="0" w:type="dxa"/>
            <w:left w:w="108" w:type="dxa"/>
            <w:bottom w:w="0" w:type="dxa"/>
            <w:right w:w="108" w:type="dxa"/>
          </w:tblCellMar>
        </w:tblPrEx>
        <w:trPr>
          <w:trHeight w:val="27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030411001003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配管</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1.名称:塑料管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2.材质:PVC</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3.规格:DN15mm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4.配置形式:明配</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440.4</w:t>
            </w:r>
          </w:p>
        </w:tc>
      </w:tr>
      <w:tr>
        <w:tblPrEx>
          <w:tblCellMar>
            <w:top w:w="0" w:type="dxa"/>
            <w:left w:w="108" w:type="dxa"/>
            <w:bottom w:w="0" w:type="dxa"/>
            <w:right w:w="108" w:type="dxa"/>
          </w:tblCellMar>
        </w:tblPrEx>
        <w:trPr>
          <w:trHeight w:val="90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2.配线形式:照明线路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3.型号:BV-2.5mm2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880.77</w:t>
            </w:r>
          </w:p>
        </w:tc>
      </w:tr>
      <w:tr>
        <w:tblPrEx>
          <w:tblCellMar>
            <w:top w:w="0" w:type="dxa"/>
            <w:left w:w="108" w:type="dxa"/>
            <w:bottom w:w="0" w:type="dxa"/>
            <w:right w:w="108" w:type="dxa"/>
          </w:tblCellMar>
        </w:tblPrEx>
        <w:trPr>
          <w:trHeight w:val="66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030404034002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照明开关</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1.名称:三联单控</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开关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2.安装方式:暗装</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r>
      <w:tr>
        <w:tblPrEx>
          <w:tblCellMar>
            <w:top w:w="0" w:type="dxa"/>
            <w:left w:w="108" w:type="dxa"/>
            <w:bottom w:w="0" w:type="dxa"/>
            <w:right w:w="108" w:type="dxa"/>
          </w:tblCellMar>
        </w:tblPrEx>
        <w:trPr>
          <w:trHeight w:val="847"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011210003002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控制室</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1.玻璃品种、规格、颜色:80高的墙,2.1米高玻璃向外折叠的玻璃门，9平方的控制室</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8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倒计时钟</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1.各项目倒计时显示（单面）</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r>
      <w:tr>
        <w:tblPrEx>
          <w:tblCellMar>
            <w:top w:w="0" w:type="dxa"/>
            <w:left w:w="108" w:type="dxa"/>
            <w:bottom w:w="0" w:type="dxa"/>
            <w:right w:w="108" w:type="dxa"/>
          </w:tblCellMar>
        </w:tblPrEx>
        <w:trPr>
          <w:trHeight w:val="416" w:hRule="atLeast"/>
          <w:jc w:val="center"/>
        </w:trPr>
        <w:tc>
          <w:tcPr>
            <w:tcW w:w="89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50米靶场</w:t>
            </w:r>
          </w:p>
        </w:tc>
      </w:tr>
      <w:tr>
        <w:tblPrEx>
          <w:tblCellMar>
            <w:top w:w="0" w:type="dxa"/>
            <w:left w:w="108" w:type="dxa"/>
            <w:bottom w:w="0" w:type="dxa"/>
            <w:right w:w="108" w:type="dxa"/>
          </w:tblCellMar>
        </w:tblPrEx>
        <w:trPr>
          <w:trHeight w:val="409"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030404035001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插座</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1.名称:单相插座</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2.规格:250V  10A</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48</w:t>
            </w:r>
          </w:p>
        </w:tc>
      </w:tr>
      <w:tr>
        <w:tblPrEx>
          <w:tblCellMar>
            <w:top w:w="0" w:type="dxa"/>
            <w:left w:w="108" w:type="dxa"/>
            <w:bottom w:w="0" w:type="dxa"/>
            <w:right w:w="108" w:type="dxa"/>
          </w:tblCellMar>
        </w:tblPrEx>
        <w:trPr>
          <w:trHeight w:val="54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030413002002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凿（压)槽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1.名称:凿（压)槽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2.规格:100*140mm</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150</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030404017001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配电箱</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1.名称:总控室配电箱</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2.型号:带所有空开设备+电子大屏</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3.规格:600*400*200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4.安装方式:悬挂式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99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030411002002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线槽</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1.名称:控制室内线槽</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2.材质:金属（铁质）</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3.规格:100*100</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2.型号:YJV-5*4mm2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3.规格:10mm2以下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95</w:t>
            </w:r>
          </w:p>
        </w:tc>
      </w:tr>
      <w:tr>
        <w:tblPrEx>
          <w:tblCellMar>
            <w:top w:w="0" w:type="dxa"/>
            <w:left w:w="108" w:type="dxa"/>
            <w:bottom w:w="0" w:type="dxa"/>
            <w:right w:w="108" w:type="dxa"/>
          </w:tblCellMar>
        </w:tblPrEx>
        <w:trPr>
          <w:trHeight w:val="9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2.配线形式:动力线路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3.型号:BVV-3*4mm2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995</w:t>
            </w:r>
          </w:p>
        </w:tc>
      </w:tr>
      <w:tr>
        <w:tblPrEx>
          <w:tblCellMar>
            <w:top w:w="0" w:type="dxa"/>
            <w:left w:w="108" w:type="dxa"/>
            <w:bottom w:w="0" w:type="dxa"/>
            <w:right w:w="108" w:type="dxa"/>
          </w:tblCellMar>
        </w:tblPrEx>
        <w:trPr>
          <w:trHeight w:val="1277"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011207001001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墙面装饰板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1.龙骨材料种类、规格、中距:钢架</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2.面层材料品种、规格、颜色:木板（挡弹板）</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557"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011606002001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墙柱面龙骨及饰面拆除</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1.龙骨及饰面种类:钢架+木板</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60</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030408001001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电力电缆</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1.名称:电力电缆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2.型号:YJV-3*35mm2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3.规格:35mm2以下</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4.材质:铜芯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5.敷设方式、部位:管道敷设</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030412004011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3.规格:300*1200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55</w:t>
            </w:r>
          </w:p>
        </w:tc>
      </w:tr>
      <w:tr>
        <w:tblPrEx>
          <w:tblCellMar>
            <w:top w:w="0" w:type="dxa"/>
            <w:left w:w="108" w:type="dxa"/>
            <w:bottom w:w="0" w:type="dxa"/>
            <w:right w:w="108" w:type="dxa"/>
          </w:tblCellMar>
        </w:tblPrEx>
        <w:trPr>
          <w:trHeight w:val="338"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装饰灯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1.名称:平板灯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3.规格:600*600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4.安装形式:嵌入式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35</w:t>
            </w:r>
          </w:p>
        </w:tc>
      </w:tr>
      <w:tr>
        <w:tblPrEx>
          <w:tblCellMar>
            <w:top w:w="0" w:type="dxa"/>
            <w:left w:w="108" w:type="dxa"/>
            <w:bottom w:w="0" w:type="dxa"/>
            <w:right w:w="108" w:type="dxa"/>
          </w:tblCellMar>
        </w:tblPrEx>
        <w:trPr>
          <w:trHeight w:val="69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030411001001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配管</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1.名称:塑料管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2.材质:PVC</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3.规格:DN15mm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4.配置形式:明配</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831.4</w:t>
            </w:r>
          </w:p>
        </w:tc>
      </w:tr>
      <w:tr>
        <w:tblPrEx>
          <w:tblCellMar>
            <w:top w:w="0" w:type="dxa"/>
            <w:left w:w="108" w:type="dxa"/>
            <w:bottom w:w="0" w:type="dxa"/>
            <w:right w:w="108" w:type="dxa"/>
          </w:tblCellMar>
        </w:tblPrEx>
        <w:trPr>
          <w:trHeight w:val="79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030411004001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配线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1.名称:管内穿线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2.配线形式:照明线路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3.型号:BV-2.5mm2</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1662.77</w:t>
            </w:r>
          </w:p>
        </w:tc>
      </w:tr>
      <w:tr>
        <w:tblPrEx>
          <w:tblCellMar>
            <w:top w:w="0" w:type="dxa"/>
            <w:left w:w="108" w:type="dxa"/>
            <w:bottom w:w="0" w:type="dxa"/>
            <w:right w:w="108" w:type="dxa"/>
          </w:tblCellMar>
        </w:tblPrEx>
        <w:trPr>
          <w:trHeight w:val="71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030404034003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照明开关</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1.名称:三联单控开关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2.安装方式:暗装</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18</w:t>
            </w:r>
          </w:p>
        </w:tc>
      </w:tr>
      <w:tr>
        <w:tblPrEx>
          <w:tblCellMar>
            <w:top w:w="0" w:type="dxa"/>
            <w:left w:w="108" w:type="dxa"/>
            <w:bottom w:w="0" w:type="dxa"/>
            <w:right w:w="108" w:type="dxa"/>
          </w:tblCellMar>
        </w:tblPrEx>
        <w:trPr>
          <w:trHeight w:val="1261"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030412004005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投光灯</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1.名称:投光灯</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2.型号:符合射击要求且靶面不小于1500LUX</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3.安装形式:墙上式</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套</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40</w:t>
            </w:r>
          </w:p>
        </w:tc>
      </w:tr>
      <w:tr>
        <w:tblPrEx>
          <w:tblCellMar>
            <w:top w:w="0" w:type="dxa"/>
            <w:left w:w="108" w:type="dxa"/>
            <w:bottom w:w="0" w:type="dxa"/>
            <w:right w:w="108" w:type="dxa"/>
          </w:tblCellMar>
        </w:tblPrEx>
        <w:trPr>
          <w:trHeight w:val="95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011210003001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控制室</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1.玻璃品种、规格、颜色:80高的墙, 2.1米高玻璃向外折叠的玻璃门，9平方的控制室</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3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倒计时钟</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1.各项目倒计时显示（单面）</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r>
      <w:tr>
        <w:tblPrEx>
          <w:tblCellMar>
            <w:top w:w="0" w:type="dxa"/>
            <w:left w:w="108" w:type="dxa"/>
            <w:bottom w:w="0" w:type="dxa"/>
            <w:right w:w="108" w:type="dxa"/>
          </w:tblCellMar>
        </w:tblPrEx>
        <w:trPr>
          <w:trHeight w:val="42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03B016</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倒计时钟</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1.各项目倒计时显示(双面)</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1</w:t>
            </w:r>
          </w:p>
        </w:tc>
      </w:tr>
      <w:tr>
        <w:tblPrEx>
          <w:tblCellMar>
            <w:top w:w="0" w:type="dxa"/>
            <w:left w:w="108" w:type="dxa"/>
            <w:bottom w:w="0" w:type="dxa"/>
            <w:right w:w="108" w:type="dxa"/>
          </w:tblCellMar>
        </w:tblPrEx>
        <w:trPr>
          <w:trHeight w:val="416" w:hRule="atLeast"/>
          <w:jc w:val="center"/>
        </w:trPr>
        <w:tc>
          <w:tcPr>
            <w:tcW w:w="89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比赛专用器材购置</w:t>
            </w:r>
          </w:p>
        </w:tc>
      </w:tr>
      <w:tr>
        <w:tblPrEx>
          <w:tblCellMar>
            <w:top w:w="0" w:type="dxa"/>
            <w:left w:w="108" w:type="dxa"/>
            <w:bottom w:w="0" w:type="dxa"/>
            <w:right w:w="108" w:type="dxa"/>
          </w:tblCellMar>
        </w:tblPrEx>
        <w:trPr>
          <w:trHeight w:val="41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空气压缩气瓶及工具</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1.气瓶</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r>
      <w:tr>
        <w:tblPrEx>
          <w:tblCellMar>
            <w:top w:w="0" w:type="dxa"/>
            <w:left w:w="108" w:type="dxa"/>
            <w:bottom w:w="0" w:type="dxa"/>
            <w:right w:w="108" w:type="dxa"/>
          </w:tblCellMar>
        </w:tblPrEx>
        <w:trPr>
          <w:trHeight w:val="41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充气压缩机</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1.充气压缩机</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1</w:t>
            </w:r>
          </w:p>
        </w:tc>
      </w:tr>
      <w:tr>
        <w:tblPrEx>
          <w:tblCellMar>
            <w:top w:w="0" w:type="dxa"/>
            <w:left w:w="108" w:type="dxa"/>
            <w:bottom w:w="0" w:type="dxa"/>
            <w:right w:w="108" w:type="dxa"/>
          </w:tblCellMar>
        </w:tblPrEx>
        <w:trPr>
          <w:trHeight w:val="416"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03B003</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扳机引力秤锤</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1.扳机引力秤锤</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r>
      <w:tr>
        <w:tblPrEx>
          <w:tblCellMar>
            <w:top w:w="0" w:type="dxa"/>
            <w:left w:w="108" w:type="dxa"/>
            <w:bottom w:w="0" w:type="dxa"/>
            <w:right w:w="108" w:type="dxa"/>
          </w:tblCellMar>
        </w:tblPrEx>
        <w:trPr>
          <w:trHeight w:val="411"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03B004</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沙袋测量器</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1.沙袋测量器</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r>
      <w:tr>
        <w:tblPrEx>
          <w:tblCellMar>
            <w:top w:w="0" w:type="dxa"/>
            <w:left w:w="108" w:type="dxa"/>
            <w:bottom w:w="0" w:type="dxa"/>
            <w:right w:w="108" w:type="dxa"/>
          </w:tblCellMar>
        </w:tblPrEx>
        <w:trPr>
          <w:trHeight w:val="404"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03B005</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气步枪尺寸检查模板</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1.气步枪尺寸检查模板</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r>
      <w:tr>
        <w:tblPrEx>
          <w:tblCellMar>
            <w:top w:w="0" w:type="dxa"/>
            <w:left w:w="108" w:type="dxa"/>
            <w:bottom w:w="0" w:type="dxa"/>
            <w:right w:w="108" w:type="dxa"/>
          </w:tblCellMar>
        </w:tblPrEx>
        <w:trPr>
          <w:trHeight w:val="385"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03B006</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游标卡尺</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1.游标卡尺</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19"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03B007</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深度尺</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1.深度尺</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11"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03B008</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量枪盒</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1.量枪盒</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402"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03B009</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装备合格证</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1.装备合格证</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350</w:t>
            </w:r>
          </w:p>
        </w:tc>
      </w:tr>
      <w:tr>
        <w:tblPrEx>
          <w:tblCellMar>
            <w:top w:w="0" w:type="dxa"/>
            <w:left w:w="108" w:type="dxa"/>
            <w:bottom w:w="0" w:type="dxa"/>
            <w:right w:w="108" w:type="dxa"/>
          </w:tblCellMar>
        </w:tblPrEx>
        <w:trPr>
          <w:trHeight w:val="423"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03B010</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处罚牌</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1.处罚牌</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张</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r>
      <w:tr>
        <w:tblPrEx>
          <w:tblCellMar>
            <w:top w:w="0" w:type="dxa"/>
            <w:left w:w="108" w:type="dxa"/>
            <w:bottom w:w="0" w:type="dxa"/>
            <w:right w:w="108" w:type="dxa"/>
          </w:tblCellMar>
        </w:tblPrEx>
        <w:trPr>
          <w:trHeight w:val="415"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03B011</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水平仪</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1.水平仪</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tblPrEx>
          <w:tblCellMar>
            <w:top w:w="0" w:type="dxa"/>
            <w:left w:w="108" w:type="dxa"/>
            <w:bottom w:w="0" w:type="dxa"/>
            <w:right w:w="108" w:type="dxa"/>
          </w:tblCellMar>
        </w:tblPrEx>
        <w:trPr>
          <w:trHeight w:val="1650" w:hRule="atLeast"/>
          <w:jc w:val="center"/>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03B012</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电子大屏</w:t>
            </w:r>
          </w:p>
        </w:tc>
        <w:tc>
          <w:tcPr>
            <w:tcW w:w="3190" w:type="dxa"/>
            <w:tcBorders>
              <w:top w:val="single" w:color="000000" w:sz="4" w:space="0"/>
              <w:left w:val="nil"/>
              <w:bottom w:val="single" w:color="000000" w:sz="4" w:space="0"/>
              <w:right w:val="single" w:color="000000" w:sz="4" w:space="0"/>
            </w:tcBorders>
            <w:shd w:val="clear" w:color="auto" w:fill="auto"/>
          </w:tcPr>
          <w:p>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1.PM2.0  200寸</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160英寸LED电子显示屏，驱动方式:恒流驱动，数</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据转换成绩输出，安装于场地大厅位置，显示共四个排</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名成绩，其中三个资格赛一个决赛；实际尺寸参考场地</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情况。刷新率最低3840赫兹，色温2500-12000K，像素间距2.0，像素点数根据场地实际情况而定。</w:t>
            </w:r>
          </w:p>
        </w:tc>
        <w:tc>
          <w:tcPr>
            <w:tcW w:w="709" w:type="dxa"/>
            <w:tcBorders>
              <w:top w:val="nil"/>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个</w:t>
            </w:r>
          </w:p>
        </w:tc>
        <w:tc>
          <w:tcPr>
            <w:tcW w:w="1127" w:type="dxa"/>
            <w:tcBorders>
              <w:top w:val="single" w:color="000000" w:sz="4" w:space="0"/>
              <w:left w:val="nil"/>
              <w:bottom w:val="single" w:color="000000" w:sz="4" w:space="0"/>
              <w:right w:val="single" w:color="000000" w:sz="4" w:space="0"/>
            </w:tcBorders>
            <w:shd w:val="clear" w:color="auto" w:fill="auto"/>
            <w:vAlign w:val="center"/>
          </w:tcPr>
          <w:p>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bl>
    <w:p>
      <w:pPr>
        <w:widowControl w:val="0"/>
        <w:adjustRightInd w:val="0"/>
        <w:snapToGrid w:val="0"/>
        <w:spacing w:before="156" w:beforeLines="50" w:line="300" w:lineRule="auto"/>
        <w:ind w:firstLine="460" w:firstLineChars="19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.1 </w:t>
      </w:r>
      <w:r>
        <w:rPr>
          <w:rFonts w:hint="eastAsia" w:ascii="宋体" w:hAnsi="宋体"/>
          <w:color w:val="auto"/>
          <w:sz w:val="24"/>
          <w:szCs w:val="24"/>
          <w:highlight w:val="none"/>
        </w:rPr>
        <w:t>应遵循第三章投标人须知</w:t>
      </w:r>
      <w:r>
        <w:rPr>
          <w:rFonts w:ascii="宋体" w:hAnsi="宋体"/>
          <w:color w:val="auto"/>
          <w:sz w:val="24"/>
          <w:szCs w:val="24"/>
          <w:highlight w:val="none"/>
        </w:rPr>
        <w:t>3.7.4</w:t>
      </w:r>
      <w:r>
        <w:rPr>
          <w:rFonts w:hint="eastAsia" w:ascii="宋体" w:hAnsi="宋体"/>
          <w:color w:val="auto"/>
          <w:sz w:val="24"/>
          <w:szCs w:val="24"/>
          <w:highlight w:val="none"/>
        </w:rPr>
        <w:t>项规定。</w:t>
      </w:r>
    </w:p>
    <w:p>
      <w:pPr>
        <w:widowControl w:val="0"/>
        <w:adjustRightInd w:val="0"/>
        <w:snapToGrid w:val="0"/>
        <w:spacing w:before="156" w:beforeLines="50" w:line="300" w:lineRule="auto"/>
        <w:ind w:firstLine="460" w:firstLineChars="192"/>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.2 </w:t>
      </w:r>
      <w:r>
        <w:rPr>
          <w:rFonts w:hint="eastAsia" w:ascii="宋体" w:hAnsi="宋体"/>
          <w:color w:val="auto"/>
          <w:sz w:val="24"/>
          <w:szCs w:val="24"/>
          <w:highlight w:val="none"/>
        </w:rPr>
        <w:t>成交供应商负责产品的安装、调试，并</w:t>
      </w:r>
      <w:r>
        <w:rPr>
          <w:rFonts w:hint="eastAsia"/>
          <w:color w:val="auto"/>
          <w:sz w:val="24"/>
          <w:szCs w:val="24"/>
          <w:highlight w:val="none"/>
        </w:rPr>
        <w:t>具备正常使用条件。</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pPr>
        <w:widowControl w:val="0"/>
        <w:adjustRightInd w:val="0"/>
        <w:snapToGrid w:val="0"/>
        <w:spacing w:before="156"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投标产品应符合国家、行业的各</w:t>
      </w:r>
      <w:r>
        <w:rPr>
          <w:rFonts w:ascii="宋体" w:hAnsi="宋体"/>
          <w:color w:val="auto"/>
          <w:sz w:val="24"/>
          <w:szCs w:val="24"/>
          <w:highlight w:val="none"/>
        </w:rPr>
        <w:t>项</w:t>
      </w:r>
      <w:r>
        <w:rPr>
          <w:rFonts w:hint="eastAsia" w:ascii="宋体" w:hAnsi="宋体"/>
          <w:color w:val="auto"/>
          <w:sz w:val="24"/>
          <w:szCs w:val="24"/>
          <w:highlight w:val="none"/>
        </w:rPr>
        <w:t>安全标准，投</w:t>
      </w:r>
      <w:r>
        <w:rPr>
          <w:rFonts w:ascii="宋体" w:hAnsi="宋体"/>
          <w:color w:val="auto"/>
          <w:sz w:val="24"/>
          <w:szCs w:val="24"/>
          <w:highlight w:val="none"/>
        </w:rPr>
        <w:t>标</w:t>
      </w:r>
      <w:r>
        <w:rPr>
          <w:rFonts w:hint="eastAsia" w:ascii="宋体" w:hAnsi="宋体"/>
          <w:color w:val="auto"/>
          <w:sz w:val="24"/>
          <w:szCs w:val="24"/>
          <w:highlight w:val="none"/>
        </w:rPr>
        <w:t>人</w:t>
      </w:r>
      <w:r>
        <w:rPr>
          <w:rFonts w:ascii="宋体" w:hAnsi="宋体"/>
          <w:color w:val="auto"/>
          <w:sz w:val="24"/>
          <w:szCs w:val="24"/>
          <w:highlight w:val="none"/>
        </w:rPr>
        <w:t>对</w:t>
      </w:r>
      <w:r>
        <w:rPr>
          <w:rFonts w:hint="eastAsia" w:ascii="宋体" w:hAnsi="宋体"/>
          <w:color w:val="auto"/>
          <w:sz w:val="24"/>
          <w:szCs w:val="24"/>
          <w:highlight w:val="none"/>
        </w:rPr>
        <w:t>投标产品的</w:t>
      </w:r>
      <w:r>
        <w:rPr>
          <w:rFonts w:ascii="宋体" w:hAnsi="宋体"/>
          <w:color w:val="auto"/>
          <w:sz w:val="24"/>
          <w:szCs w:val="24"/>
          <w:highlight w:val="none"/>
        </w:rPr>
        <w:t>安全性承担全部责任。</w:t>
      </w:r>
      <w:r>
        <w:rPr>
          <w:rFonts w:hint="eastAsia" w:ascii="宋体" w:hAnsi="宋体"/>
          <w:color w:val="auto"/>
          <w:sz w:val="24"/>
          <w:szCs w:val="24"/>
          <w:highlight w:val="none"/>
        </w:rPr>
        <w:t>生产或销售不符合保障人身、财产安全的国家标准、行业标准的产品，将</w:t>
      </w:r>
      <w:r>
        <w:rPr>
          <w:rFonts w:ascii="宋体" w:hAnsi="宋体"/>
          <w:color w:val="auto"/>
          <w:sz w:val="24"/>
          <w:szCs w:val="24"/>
          <w:highlight w:val="none"/>
        </w:rPr>
        <w:t>依法承担民事及相应刑事责任</w:t>
      </w:r>
      <w:r>
        <w:rPr>
          <w:rFonts w:hint="eastAsia" w:ascii="宋体" w:hAnsi="宋体"/>
          <w:color w:val="auto"/>
          <w:sz w:val="24"/>
          <w:szCs w:val="24"/>
          <w:highlight w:val="none"/>
        </w:rPr>
        <w:t>。合</w:t>
      </w:r>
      <w:r>
        <w:rPr>
          <w:rFonts w:ascii="宋体" w:hAnsi="宋体"/>
          <w:color w:val="auto"/>
          <w:sz w:val="24"/>
          <w:szCs w:val="24"/>
          <w:highlight w:val="none"/>
        </w:rPr>
        <w:t>同履行中的安全责任由</w:t>
      </w:r>
      <w:r>
        <w:rPr>
          <w:rFonts w:hint="eastAsia"/>
          <w:color w:val="auto"/>
          <w:sz w:val="24"/>
          <w:szCs w:val="24"/>
          <w:highlight w:val="none"/>
        </w:rPr>
        <w:t>成交供应商</w:t>
      </w:r>
      <w:r>
        <w:rPr>
          <w:rFonts w:ascii="宋体" w:hAnsi="宋体"/>
          <w:color w:val="auto"/>
          <w:sz w:val="24"/>
          <w:szCs w:val="24"/>
          <w:highlight w:val="none"/>
        </w:rPr>
        <w:t>承担全部责任。</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pPr>
        <w:widowControl w:val="0"/>
        <w:adjustRightInd w:val="0"/>
        <w:snapToGrid w:val="0"/>
        <w:spacing w:before="156"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“基本技术要求”为采购</w:t>
      </w:r>
      <w:r>
        <w:rPr>
          <w:rFonts w:ascii="宋体" w:hAnsi="宋体"/>
          <w:color w:val="auto"/>
          <w:sz w:val="24"/>
          <w:szCs w:val="24"/>
          <w:highlight w:val="none"/>
        </w:rPr>
        <w:t>需求的</w:t>
      </w:r>
      <w:r>
        <w:rPr>
          <w:rFonts w:hint="eastAsia" w:ascii="宋体" w:hAnsi="宋体"/>
          <w:color w:val="auto"/>
          <w:sz w:val="24"/>
          <w:szCs w:val="24"/>
          <w:highlight w:val="none"/>
        </w:rPr>
        <w:t>基础</w:t>
      </w:r>
      <w:r>
        <w:rPr>
          <w:rFonts w:ascii="宋体" w:hAnsi="宋体"/>
          <w:color w:val="auto"/>
          <w:sz w:val="24"/>
          <w:szCs w:val="24"/>
          <w:highlight w:val="none"/>
        </w:rPr>
        <w:t>性</w:t>
      </w:r>
      <w:r>
        <w:rPr>
          <w:rFonts w:hint="eastAsia" w:ascii="宋体" w:hAnsi="宋体"/>
          <w:color w:val="auto"/>
          <w:sz w:val="24"/>
          <w:szCs w:val="24"/>
          <w:highlight w:val="none"/>
        </w:rPr>
        <w:t>要求，投</w:t>
      </w:r>
      <w:r>
        <w:rPr>
          <w:rFonts w:ascii="宋体" w:hAnsi="宋体"/>
          <w:color w:val="auto"/>
          <w:sz w:val="24"/>
          <w:szCs w:val="24"/>
          <w:highlight w:val="none"/>
        </w:rPr>
        <w:t>标产品应当明确，</w:t>
      </w:r>
      <w:r>
        <w:rPr>
          <w:rFonts w:hint="eastAsia" w:ascii="宋体" w:hAnsi="宋体"/>
          <w:color w:val="auto"/>
          <w:sz w:val="24"/>
          <w:szCs w:val="24"/>
          <w:highlight w:val="none"/>
        </w:rPr>
        <w:t>投</w:t>
      </w:r>
      <w:r>
        <w:rPr>
          <w:rFonts w:ascii="宋体" w:hAnsi="宋体"/>
          <w:color w:val="auto"/>
          <w:sz w:val="24"/>
          <w:szCs w:val="24"/>
          <w:highlight w:val="none"/>
        </w:rPr>
        <w:t>标</w:t>
      </w:r>
      <w:r>
        <w:rPr>
          <w:rFonts w:hint="eastAsia" w:ascii="宋体" w:hAnsi="宋体"/>
          <w:color w:val="auto"/>
          <w:sz w:val="24"/>
          <w:szCs w:val="24"/>
          <w:highlight w:val="none"/>
        </w:rPr>
        <w:t>技术参数应最</w:t>
      </w:r>
      <w:r>
        <w:rPr>
          <w:rFonts w:ascii="宋体" w:hAnsi="宋体"/>
          <w:color w:val="auto"/>
          <w:sz w:val="24"/>
          <w:szCs w:val="24"/>
          <w:highlight w:val="none"/>
        </w:rPr>
        <w:t>终指向具体明确的产</w:t>
      </w:r>
      <w:r>
        <w:rPr>
          <w:rFonts w:hint="eastAsia" w:ascii="宋体" w:hAnsi="宋体"/>
          <w:color w:val="auto"/>
          <w:sz w:val="24"/>
          <w:szCs w:val="24"/>
          <w:highlight w:val="none"/>
        </w:rPr>
        <w:t>品。投</w:t>
      </w:r>
      <w:r>
        <w:rPr>
          <w:rFonts w:ascii="宋体" w:hAnsi="宋体"/>
          <w:color w:val="auto"/>
          <w:sz w:val="24"/>
          <w:szCs w:val="24"/>
          <w:highlight w:val="none"/>
        </w:rPr>
        <w:t>标</w:t>
      </w:r>
      <w:r>
        <w:rPr>
          <w:rFonts w:hint="eastAsia" w:ascii="宋体" w:hAnsi="宋体"/>
          <w:color w:val="auto"/>
          <w:sz w:val="24"/>
          <w:szCs w:val="24"/>
          <w:highlight w:val="none"/>
        </w:rPr>
        <w:t>文</w:t>
      </w:r>
      <w:r>
        <w:rPr>
          <w:rFonts w:ascii="宋体" w:hAnsi="宋体"/>
          <w:color w:val="auto"/>
          <w:sz w:val="24"/>
          <w:szCs w:val="24"/>
          <w:highlight w:val="none"/>
        </w:rPr>
        <w:t>件</w:t>
      </w:r>
      <w:r>
        <w:rPr>
          <w:rFonts w:hint="eastAsia" w:ascii="宋体" w:hAnsi="宋体"/>
          <w:color w:val="auto"/>
          <w:sz w:val="24"/>
          <w:szCs w:val="24"/>
          <w:highlight w:val="none"/>
        </w:rPr>
        <w:t>技术参数抄袭</w:t>
      </w:r>
      <w:r>
        <w:rPr>
          <w:rFonts w:hint="eastAsia"/>
          <w:color w:val="auto"/>
          <w:sz w:val="24"/>
          <w:szCs w:val="24"/>
          <w:highlight w:val="none"/>
        </w:rPr>
        <w:t>单一来源采购</w:t>
      </w:r>
      <w:r>
        <w:rPr>
          <w:rFonts w:hint="eastAsia" w:ascii="宋体" w:hAnsi="宋体"/>
          <w:color w:val="auto"/>
          <w:sz w:val="24"/>
          <w:szCs w:val="24"/>
          <w:highlight w:val="none"/>
        </w:rPr>
        <w:t>文件“基本技术要求”，投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明确</w:t>
      </w:r>
      <w:r>
        <w:rPr>
          <w:rFonts w:hint="eastAsia" w:ascii="宋体" w:hAnsi="宋体"/>
          <w:color w:val="auto"/>
          <w:sz w:val="24"/>
          <w:szCs w:val="24"/>
          <w:highlight w:val="none"/>
        </w:rPr>
        <w:t>的</w:t>
      </w:r>
      <w:r>
        <w:rPr>
          <w:rFonts w:ascii="宋体" w:hAnsi="宋体"/>
          <w:color w:val="auto"/>
          <w:sz w:val="24"/>
          <w:szCs w:val="24"/>
          <w:highlight w:val="none"/>
        </w:rPr>
        <w:t>、或</w:t>
      </w:r>
      <w:r>
        <w:rPr>
          <w:rFonts w:hint="eastAsia" w:ascii="宋体" w:hAnsi="宋体"/>
          <w:color w:val="auto"/>
          <w:sz w:val="24"/>
          <w:szCs w:val="24"/>
          <w:highlight w:val="none"/>
        </w:rPr>
        <w:t>与投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一致</w:t>
      </w:r>
      <w:r>
        <w:rPr>
          <w:rFonts w:hint="eastAsia" w:ascii="宋体" w:hAnsi="宋体"/>
          <w:color w:val="auto"/>
          <w:sz w:val="24"/>
          <w:szCs w:val="24"/>
          <w:highlight w:val="none"/>
        </w:rPr>
        <w:t>的</w:t>
      </w:r>
      <w:r>
        <w:rPr>
          <w:rFonts w:ascii="宋体" w:hAnsi="宋体"/>
          <w:color w:val="auto"/>
          <w:sz w:val="24"/>
          <w:szCs w:val="24"/>
          <w:highlight w:val="none"/>
        </w:rPr>
        <w:t>，</w:t>
      </w:r>
      <w:r>
        <w:rPr>
          <w:rFonts w:hint="eastAsia" w:ascii="宋体" w:hAnsi="宋体"/>
          <w:color w:val="auto"/>
          <w:sz w:val="24"/>
          <w:szCs w:val="24"/>
          <w:highlight w:val="none"/>
        </w:rPr>
        <w:t>谈判小组有权按照实质性判断原则评定其为无效投标。</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highlight w:val="none"/>
        </w:rPr>
      </w:pPr>
      <w:r>
        <w:rPr>
          <w:rFonts w:hint="eastAsia"/>
          <w:color w:val="auto"/>
          <w:sz w:val="24"/>
          <w:szCs w:val="24"/>
          <w:highlight w:val="none"/>
        </w:rPr>
        <w:t>2.7.2★</w:t>
      </w: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pPr>
        <w:widowControl w:val="0"/>
        <w:adjustRightInd w:val="0"/>
        <w:snapToGrid w:val="0"/>
        <w:spacing w:before="156" w:beforeLines="50" w:line="300" w:lineRule="auto"/>
        <w:ind w:left="22" w:firstLine="555"/>
        <w:jc w:val="left"/>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除</w:t>
      </w:r>
      <w:r>
        <w:rPr>
          <w:rFonts w:hint="eastAsia"/>
          <w:color w:val="auto"/>
          <w:sz w:val="24"/>
          <w:szCs w:val="24"/>
          <w:highlight w:val="none"/>
        </w:rPr>
        <w:t>单一来源采购</w:t>
      </w:r>
      <w:r>
        <w:rPr>
          <w:rFonts w:hint="eastAsia" w:ascii="宋体" w:hAnsi="宋体"/>
          <w:color w:val="auto"/>
          <w:sz w:val="24"/>
          <w:szCs w:val="24"/>
          <w:highlight w:val="none"/>
        </w:rPr>
        <w:t>文件“基本技术要求”有明确说明外，投标人所投标的各项产品均应为该产品的标准</w:t>
      </w:r>
      <w:r>
        <w:rPr>
          <w:rFonts w:hint="eastAsia"/>
          <w:color w:val="auto"/>
          <w:sz w:val="24"/>
          <w:szCs w:val="24"/>
          <w:highlight w:val="none"/>
        </w:rPr>
        <w:t>配置、不应改变或调换厂家的出厂标准配置；如确因市场因素无法按上述规格产品进行投标，应提供优于“基本技术要求”的同类产品进行投标，投标人应提供印刷品产品说明书或印刷品图册等予以佐证（电子档）。</w:t>
      </w:r>
    </w:p>
    <w:p>
      <w:pPr>
        <w:widowControl w:val="0"/>
        <w:adjustRightInd w:val="0"/>
        <w:snapToGrid w:val="0"/>
        <w:spacing w:before="156" w:beforeLines="50" w:line="300" w:lineRule="auto"/>
        <w:ind w:firstLine="54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 投标文件对技术偏差的描述要求：见第三章投标人须知</w:t>
      </w:r>
      <w:r>
        <w:rPr>
          <w:rFonts w:ascii="宋体" w:hAnsi="宋体"/>
          <w:color w:val="auto"/>
          <w:sz w:val="24"/>
          <w:szCs w:val="24"/>
          <w:highlight w:val="none"/>
        </w:rPr>
        <w:t>3.7.3</w:t>
      </w:r>
      <w:r>
        <w:rPr>
          <w:rFonts w:hint="eastAsia" w:ascii="宋体" w:hAnsi="宋体"/>
          <w:color w:val="auto"/>
          <w:sz w:val="24"/>
          <w:szCs w:val="24"/>
          <w:highlight w:val="none"/>
        </w:rPr>
        <w:t>项。</w:t>
      </w:r>
    </w:p>
    <w:p>
      <w:pPr>
        <w:widowControl w:val="0"/>
        <w:adjustRightInd w:val="0"/>
        <w:snapToGrid w:val="0"/>
        <w:spacing w:before="156" w:beforeLines="50" w:line="300" w:lineRule="auto"/>
        <w:ind w:firstLine="540"/>
        <w:rPr>
          <w:rFonts w:ascii="黑体" w:hAnsi="黑体" w:eastAsia="黑体"/>
          <w:b/>
          <w:color w:val="auto"/>
          <w:sz w:val="24"/>
          <w:szCs w:val="24"/>
          <w:highlight w:val="none"/>
        </w:rPr>
      </w:pPr>
      <w:bookmarkStart w:id="5" w:name="_Toc76224311"/>
      <w:r>
        <w:rPr>
          <w:rFonts w:hint="eastAsia" w:ascii="黑体" w:hAnsi="黑体" w:eastAsia="黑体"/>
          <w:b/>
          <w:color w:val="auto"/>
          <w:sz w:val="24"/>
          <w:szCs w:val="24"/>
          <w:highlight w:val="none"/>
        </w:rPr>
        <w:t xml:space="preserve">2.8 </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售后服务的基本条款（采购标的需满足的服务标准、期限、效率等要求）</w:t>
      </w:r>
      <w:bookmarkEnd w:id="5"/>
    </w:p>
    <w:p>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color w:val="auto"/>
          <w:sz w:val="24"/>
          <w:szCs w:val="24"/>
          <w:highlight w:val="none"/>
        </w:rPr>
        <w:t>货物的保修除按国家有关规定、各产品生产厂家规定及项目特殊要求处理外，还应满足下述条款：</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（1）产品质保期内</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①提供</w:t>
      </w:r>
      <w:r>
        <w:rPr>
          <w:rFonts w:hint="eastAsia" w:hAnsi="宋体"/>
          <w:color w:val="auto"/>
          <w:szCs w:val="24"/>
          <w:highlight w:val="none"/>
          <w:u w:color="000000"/>
          <w:lang w:val="en-US" w:eastAsia="zh-CN"/>
        </w:rPr>
        <w:t>2</w:t>
      </w:r>
      <w:r>
        <w:rPr>
          <w:rFonts w:hint="eastAsia" w:hAnsi="宋体"/>
          <w:color w:val="auto"/>
          <w:szCs w:val="24"/>
          <w:highlight w:val="none"/>
          <w:u w:color="000000"/>
        </w:rPr>
        <w:t>年免费保修，保修期自验收签字之日起计算。保修期满前1个月内卖方应负责一次免费全面检查，并写出正式报告，如发现潜在问题，应负责排除；</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②在质量保证期内货物本身质量出现问题或由于货物质量原因造成的任何损伤或损坏，及时给予维修或更换。被更换的零部件的质量保证期从更换后验收合格之日起计算。质量保证期满后，实行终身维修且可收取更换材料或零（配）件的成本费。提供货物正常使用下的维修及保养服务，并定期派工程师到现场巡查。</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③提供 7×24 小时在线后备技术支持。若在使用设备过程中出现问题，在接到采购人通知的半小时内提出解决方案；若遇疑难问题，技术人员须在收到采购人通知后24小时之内到现场进行修理，相关的维修必须连续进行，直至故障完全修复为止。若在48小时内仍未有效解决，应采取切实有效的补救措施（例如提供同档次的设备予临时使用）。</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④在质量保证期内任何由于产品设计、制作组装、配件以及由于货物因素等引起的损坏，均负责免费维修或更换；由于采购人人为和自然灾害因素造成的损坏，可收取更换材料或零（配）件的成本费用。</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⑤质保期内，提供所投软件</w:t>
      </w:r>
      <w:r>
        <w:rPr>
          <w:rFonts w:hint="eastAsia" w:hAnsi="宋体"/>
          <w:color w:val="auto"/>
          <w:szCs w:val="24"/>
          <w:highlight w:val="none"/>
          <w:u w:color="000000"/>
          <w:lang w:val="en-US" w:eastAsia="zh-CN"/>
        </w:rPr>
        <w:t>终身</w:t>
      </w:r>
      <w:r>
        <w:rPr>
          <w:rFonts w:hint="eastAsia" w:hAnsi="宋体"/>
          <w:color w:val="auto"/>
          <w:szCs w:val="24"/>
          <w:highlight w:val="none"/>
          <w:u w:color="000000"/>
        </w:rPr>
        <w:t>免费升级、维护服务。产品质保期外，因国际射击规则改变而更新软件系统时，负责升级软件系统。</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⑥质保期内，如遇举行重大赛事，提供三次赛事现场技术保障，每次技术人员2名以上；负责培训采购人操作维护人员。</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（2）产品质保期外</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①采购人在使用设备的过程中发生问题，投标人2 小时内予以回应。可通过电话解解决问题。若通过电话方式无法解决，根据实际需要在接到采购人通知后24小时内指派相关技术人员到场地查看并予以解决，采购人支付相关费用。</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②保证可以对设备提供终身、及时的售后维修服务，充足的备件供应，同时与甲方签订价格优惠的售后维保服务协议。</w:t>
      </w:r>
    </w:p>
    <w:p>
      <w:pPr>
        <w:pStyle w:val="67"/>
        <w:spacing w:line="360" w:lineRule="auto"/>
        <w:ind w:firstLine="240" w:firstLineChars="100"/>
        <w:rPr>
          <w:rFonts w:hAnsi="宋体"/>
          <w:color w:val="auto"/>
          <w:szCs w:val="24"/>
          <w:highlight w:val="none"/>
          <w:u w:color="000000"/>
        </w:rPr>
      </w:pPr>
      <w:r>
        <w:rPr>
          <w:rFonts w:hint="eastAsia" w:hAnsi="宋体"/>
          <w:color w:val="auto"/>
          <w:szCs w:val="24"/>
          <w:highlight w:val="none"/>
          <w:u w:color="000000"/>
        </w:rPr>
        <w:t>（3）培训</w:t>
      </w:r>
    </w:p>
    <w:p>
      <w:pPr>
        <w:pStyle w:val="67"/>
        <w:spacing w:line="360" w:lineRule="auto"/>
        <w:ind w:firstLine="480" w:firstLineChars="200"/>
        <w:rPr>
          <w:rFonts w:hAnsi="宋体"/>
          <w:color w:val="auto"/>
          <w:szCs w:val="24"/>
          <w:highlight w:val="none"/>
          <w:u w:color="000000"/>
        </w:rPr>
      </w:pPr>
      <w:r>
        <w:rPr>
          <w:rFonts w:hint="eastAsia" w:hAnsi="宋体"/>
          <w:color w:val="auto"/>
          <w:szCs w:val="24"/>
          <w:highlight w:val="none"/>
          <w:u w:color="000000"/>
        </w:rPr>
        <w:t>①每两年举行一次培训大会，邀请专业工程师为设备使用人员进行专业的设备讲解和软件操作指导及设备日常维护，食宿费用包含在报价中。</w:t>
      </w:r>
    </w:p>
    <w:p>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 xml:space="preserve">.2 </w:t>
      </w:r>
      <w:r>
        <w:rPr>
          <w:rFonts w:hint="eastAsia"/>
          <w:color w:val="auto"/>
          <w:sz w:val="24"/>
          <w:szCs w:val="24"/>
          <w:highlight w:val="none"/>
        </w:rPr>
        <w:t>在成交人未按照合同规定的地点交验前，货物毁坏或灭失，由成交人承担责任。</w:t>
      </w:r>
    </w:p>
    <w:p>
      <w:pPr>
        <w:widowControl w:val="0"/>
        <w:adjustRightInd w:val="0"/>
        <w:snapToGrid w:val="0"/>
        <w:spacing w:before="156"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在成交供应商未按照合同规定的地点交验前，货物毁坏或灭失，人身、安全责任，均由成交供应商承担责任。投标人可以按照最有利于项目风险控制的原则，为项目办理货物、人身及第三方公众责任险。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pPr>
        <w:adjustRightInd w:val="0"/>
        <w:snapToGrid w:val="0"/>
        <w:spacing w:before="156" w:beforeLines="50" w:line="300" w:lineRule="auto"/>
        <w:ind w:firstLine="480" w:firstLineChars="200"/>
        <w:rPr>
          <w:color w:val="auto"/>
          <w:sz w:val="24"/>
          <w:szCs w:val="24"/>
          <w:highlight w:val="none"/>
        </w:rPr>
      </w:pPr>
      <w:r>
        <w:rPr>
          <w:rFonts w:hint="eastAsia"/>
          <w:color w:val="auto"/>
          <w:sz w:val="24"/>
          <w:szCs w:val="24"/>
          <w:highlight w:val="none"/>
        </w:rPr>
        <w:t>无</w:t>
      </w:r>
    </w:p>
    <w:p>
      <w:pPr>
        <w:adjustRightInd w:val="0"/>
        <w:snapToGrid w:val="0"/>
        <w:spacing w:before="156" w:beforeLines="50" w:line="300" w:lineRule="auto"/>
        <w:ind w:firstLine="480" w:firstLineChars="200"/>
        <w:rPr>
          <w:color w:val="auto"/>
          <w:sz w:val="24"/>
          <w:szCs w:val="24"/>
          <w:highlight w:val="none"/>
        </w:rPr>
      </w:pPr>
    </w:p>
    <w:p>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6" w:name="_Toc76224312"/>
      <w:bookmarkStart w:id="7" w:name="_Toc65574702"/>
      <w:bookmarkStart w:id="8" w:name="_Toc30275"/>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6"/>
      <w:bookmarkEnd w:id="7"/>
      <w:bookmarkEnd w:id="8"/>
    </w:p>
    <w:p>
      <w:pPr>
        <w:adjustRightInd w:val="0"/>
        <w:snapToGrid w:val="0"/>
        <w:spacing w:before="156" w:beforeLines="50" w:line="300" w:lineRule="auto"/>
        <w:ind w:firstLine="480" w:firstLineChars="200"/>
        <w:rPr>
          <w:color w:val="auto"/>
          <w:sz w:val="24"/>
          <w:szCs w:val="24"/>
          <w:highlight w:val="none"/>
        </w:rPr>
      </w:pPr>
      <w:r>
        <w:rPr>
          <w:rFonts w:hint="eastAsia"/>
          <w:color w:val="auto"/>
          <w:sz w:val="24"/>
          <w:szCs w:val="24"/>
          <w:highlight w:val="none"/>
        </w:rPr>
        <w:t>无</w:t>
      </w:r>
    </w:p>
    <w:p>
      <w:pPr>
        <w:widowControl w:val="0"/>
        <w:snapToGrid w:val="0"/>
        <w:spacing w:line="276" w:lineRule="auto"/>
        <w:jc w:val="center"/>
        <w:outlineLvl w:val="0"/>
        <w:rPr>
          <w:rFonts w:eastAsia="黑体"/>
          <w:b/>
          <w:color w:val="auto"/>
          <w:sz w:val="24"/>
          <w:szCs w:val="24"/>
          <w:highlight w:val="none"/>
        </w:rPr>
      </w:pPr>
      <w:r>
        <w:rPr>
          <w:rFonts w:eastAsia="黑体"/>
          <w:b/>
          <w:color w:val="auto"/>
          <w:sz w:val="24"/>
          <w:szCs w:val="24"/>
          <w:highlight w:val="none"/>
        </w:rPr>
        <w:br w:type="page"/>
      </w:r>
    </w:p>
    <w:p>
      <w:pPr>
        <w:widowControl w:val="0"/>
        <w:snapToGrid w:val="0"/>
        <w:spacing w:line="276" w:lineRule="auto"/>
        <w:jc w:val="center"/>
        <w:outlineLvl w:val="0"/>
        <w:rPr>
          <w:rFonts w:eastAsia="黑体"/>
          <w:b/>
          <w:color w:val="auto"/>
          <w:sz w:val="24"/>
          <w:szCs w:val="24"/>
          <w:highlight w:val="none"/>
        </w:rPr>
      </w:pPr>
    </w:p>
    <w:p>
      <w:pPr>
        <w:widowControl w:val="0"/>
        <w:snapToGrid w:val="0"/>
        <w:spacing w:line="560" w:lineRule="exact"/>
        <w:jc w:val="center"/>
        <w:outlineLvl w:val="0"/>
        <w:rPr>
          <w:rFonts w:eastAsia="黑体"/>
          <w:b/>
          <w:color w:val="auto"/>
          <w:sz w:val="36"/>
          <w:szCs w:val="36"/>
          <w:highlight w:val="none"/>
        </w:rPr>
      </w:pPr>
      <w:bookmarkStart w:id="9" w:name="_Toc27388"/>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 xml:space="preserve"> 投标人须知</w:t>
      </w:r>
      <w:bookmarkEnd w:id="9"/>
    </w:p>
    <w:p>
      <w:pPr>
        <w:spacing w:line="276" w:lineRule="auto"/>
        <w:ind w:right="240"/>
        <w:jc w:val="center"/>
        <w:rPr>
          <w:rFonts w:eastAsia="黑体"/>
          <w:b/>
          <w:color w:val="auto"/>
          <w:spacing w:val="36"/>
          <w:sz w:val="24"/>
          <w:szCs w:val="24"/>
          <w:highlight w:val="none"/>
        </w:rPr>
      </w:pPr>
    </w:p>
    <w:p>
      <w:pPr>
        <w:spacing w:line="360" w:lineRule="auto"/>
        <w:ind w:right="238"/>
        <w:jc w:val="left"/>
        <w:outlineLvl w:val="1"/>
        <w:rPr>
          <w:rFonts w:eastAsia="黑体"/>
          <w:b/>
          <w:color w:val="auto"/>
          <w:sz w:val="28"/>
          <w:szCs w:val="28"/>
          <w:highlight w:val="none"/>
        </w:rPr>
      </w:pPr>
      <w:bookmarkStart w:id="10" w:name="_Toc29223"/>
      <w:r>
        <w:rPr>
          <w:rFonts w:hint="eastAsia" w:eastAsia="黑体"/>
          <w:b/>
          <w:color w:val="auto"/>
          <w:sz w:val="28"/>
          <w:szCs w:val="28"/>
          <w:highlight w:val="none"/>
        </w:rPr>
        <w:t>投标人须知前附表</w:t>
      </w:r>
      <w:bookmarkEnd w:id="10"/>
    </w:p>
    <w:tbl>
      <w:tblPr>
        <w:tblStyle w:val="25"/>
        <w:tblW w:w="9753" w:type="dxa"/>
        <w:jc w:val="center"/>
        <w:tblLayout w:type="fixed"/>
        <w:tblCellMar>
          <w:top w:w="0" w:type="dxa"/>
          <w:left w:w="108" w:type="dxa"/>
          <w:bottom w:w="0" w:type="dxa"/>
          <w:right w:w="108" w:type="dxa"/>
        </w:tblCellMar>
      </w:tblPr>
      <w:tblGrid>
        <w:gridCol w:w="498"/>
        <w:gridCol w:w="699"/>
        <w:gridCol w:w="1895"/>
        <w:gridCol w:w="6661"/>
      </w:tblGrid>
      <w:tr>
        <w:tblPrEx>
          <w:tblCellMar>
            <w:top w:w="0" w:type="dxa"/>
            <w:left w:w="108" w:type="dxa"/>
            <w:bottom w:w="0" w:type="dxa"/>
            <w:right w:w="108" w:type="dxa"/>
          </w:tblCellMar>
        </w:tblPrEx>
        <w:trPr>
          <w:trHeight w:val="571" w:hRule="atLeast"/>
          <w:jc w:val="center"/>
        </w:trPr>
        <w:tc>
          <w:tcPr>
            <w:tcW w:w="49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9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661"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tblPrEx>
          <w:tblCellMar>
            <w:top w:w="0" w:type="dxa"/>
            <w:left w:w="108" w:type="dxa"/>
            <w:bottom w:w="0" w:type="dxa"/>
            <w:right w:w="108" w:type="dxa"/>
          </w:tblCellMar>
        </w:tblPrEx>
        <w:trPr>
          <w:trHeight w:val="422" w:hRule="atLeast"/>
          <w:jc w:val="center"/>
        </w:trPr>
        <w:tc>
          <w:tcPr>
            <w:tcW w:w="49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 谈判邀请函”相应条款</w:t>
            </w:r>
          </w:p>
        </w:tc>
      </w:tr>
      <w:tr>
        <w:tblPrEx>
          <w:tblCellMar>
            <w:top w:w="0" w:type="dxa"/>
            <w:left w:w="108" w:type="dxa"/>
            <w:bottom w:w="0" w:type="dxa"/>
            <w:right w:w="108" w:type="dxa"/>
          </w:tblCellMar>
        </w:tblPrEx>
        <w:trPr>
          <w:trHeight w:val="422" w:hRule="atLeast"/>
          <w:jc w:val="center"/>
        </w:trPr>
        <w:tc>
          <w:tcPr>
            <w:tcW w:w="49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谈判邀请函”相应条款</w:t>
            </w:r>
          </w:p>
        </w:tc>
      </w:tr>
      <w:tr>
        <w:tblPrEx>
          <w:tblCellMar>
            <w:top w:w="0" w:type="dxa"/>
            <w:left w:w="108" w:type="dxa"/>
            <w:bottom w:w="0" w:type="dxa"/>
            <w:right w:w="108" w:type="dxa"/>
          </w:tblCellMar>
        </w:tblPrEx>
        <w:trPr>
          <w:trHeight w:val="422" w:hRule="atLeast"/>
          <w:jc w:val="center"/>
        </w:trPr>
        <w:tc>
          <w:tcPr>
            <w:tcW w:w="49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olor w:val="auto"/>
                <w:sz w:val="24"/>
                <w:szCs w:val="24"/>
                <w:highlight w:val="none"/>
              </w:rPr>
              <w:t>单一来源</w:t>
            </w:r>
          </w:p>
        </w:tc>
      </w:tr>
      <w:tr>
        <w:tblPrEx>
          <w:tblCellMar>
            <w:top w:w="0" w:type="dxa"/>
            <w:left w:w="108" w:type="dxa"/>
            <w:bottom w:w="0" w:type="dxa"/>
            <w:right w:w="108" w:type="dxa"/>
          </w:tblCellMar>
        </w:tblPrEx>
        <w:trPr>
          <w:trHeight w:val="37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1.5</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 谈判邀请函”相应条款。</w:t>
            </w:r>
            <w:r>
              <w:rPr>
                <w:rFonts w:hint="eastAsia" w:ascii="宋体" w:hAnsi="宋体" w:cs="楷体_GB2312"/>
                <w:b/>
                <w:color w:val="auto"/>
                <w:sz w:val="24"/>
                <w:highlight w:val="none"/>
                <w:lang w:val="zh-CN"/>
              </w:rPr>
              <w:t>注：投标人的投标报价超过预算金额时，该项目（标段&lt;包&gt;）终止。</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投标人资格要求及相关证明材料要求</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谈判邀请函”相应条款</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9</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谈判邀请函”相应条款</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9</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 谈判邀请函”相应条款</w:t>
            </w:r>
          </w:p>
        </w:tc>
      </w:tr>
      <w:tr>
        <w:tblPrEx>
          <w:tblCellMar>
            <w:top w:w="0" w:type="dxa"/>
            <w:left w:w="108" w:type="dxa"/>
            <w:bottom w:w="0" w:type="dxa"/>
            <w:right w:w="108" w:type="dxa"/>
          </w:tblCellMar>
        </w:tblPrEx>
        <w:trPr>
          <w:trHeight w:val="90" w:hRule="atLeast"/>
          <w:jc w:val="center"/>
        </w:trPr>
        <w:tc>
          <w:tcPr>
            <w:tcW w:w="49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 采购项目及技术要求”相应条款</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交验期</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w:t>
            </w:r>
            <w:r>
              <w:rPr>
                <w:rFonts w:hint="eastAsia"/>
                <w:color w:val="auto"/>
                <w:sz w:val="24"/>
                <w:szCs w:val="24"/>
                <w:highlight w:val="none"/>
              </w:rPr>
              <w:t>第二章 采购项目及技术要求</w:t>
            </w:r>
            <w:r>
              <w:rPr>
                <w:rFonts w:hint="eastAsia" w:ascii="宋体" w:hAnsi="宋体"/>
                <w:color w:val="auto"/>
                <w:sz w:val="24"/>
                <w:highlight w:val="none"/>
              </w:rPr>
              <w:t>”</w:t>
            </w:r>
            <w:r>
              <w:rPr>
                <w:rFonts w:hint="eastAsia"/>
                <w:color w:val="auto"/>
                <w:sz w:val="24"/>
                <w:szCs w:val="24"/>
                <w:highlight w:val="none"/>
              </w:rPr>
              <w:t>相应条款</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交验地点</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 xml:space="preserve">章 </w:t>
            </w:r>
            <w:r>
              <w:rPr>
                <w:rFonts w:hint="eastAsia" w:ascii="宋体" w:hAnsi="宋体" w:cs="楷体_GB2312"/>
                <w:color w:val="auto"/>
                <w:sz w:val="24"/>
                <w:highlight w:val="none"/>
                <w:lang w:val="zh-CN"/>
              </w:rPr>
              <w:t>采购项目及技术要求”</w:t>
            </w:r>
            <w:r>
              <w:rPr>
                <w:rFonts w:hint="eastAsia"/>
                <w:color w:val="auto"/>
                <w:sz w:val="24"/>
                <w:szCs w:val="24"/>
                <w:highlight w:val="none"/>
              </w:rPr>
              <w:t>相应条款</w:t>
            </w:r>
          </w:p>
        </w:tc>
      </w:tr>
      <w:tr>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 采购项目及技术要求”相应条款</w:t>
            </w:r>
          </w:p>
        </w:tc>
      </w:tr>
      <w:tr>
        <w:tblPrEx>
          <w:tblCellMar>
            <w:top w:w="0" w:type="dxa"/>
            <w:left w:w="108" w:type="dxa"/>
            <w:bottom w:w="0" w:type="dxa"/>
            <w:right w:w="108" w:type="dxa"/>
          </w:tblCellMar>
        </w:tblPrEx>
        <w:trPr>
          <w:trHeight w:val="321"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标段（包）内容（范围）及基本技术要求</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 xml:space="preserve">章 </w:t>
            </w:r>
            <w:r>
              <w:rPr>
                <w:rFonts w:hint="eastAsia" w:ascii="宋体" w:hAnsi="宋体" w:cs="楷体_GB2312"/>
                <w:color w:val="auto"/>
                <w:sz w:val="24"/>
                <w:highlight w:val="none"/>
                <w:lang w:val="zh-CN"/>
              </w:rPr>
              <w:t>采购项目及技术要求”</w:t>
            </w:r>
            <w:r>
              <w:rPr>
                <w:rFonts w:hint="eastAsia"/>
                <w:color w:val="auto"/>
                <w:sz w:val="24"/>
                <w:szCs w:val="24"/>
                <w:highlight w:val="none"/>
              </w:rPr>
              <w:t>相应条款</w:t>
            </w:r>
          </w:p>
        </w:tc>
      </w:tr>
      <w:tr>
        <w:tblPrEx>
          <w:tblCellMar>
            <w:top w:w="0" w:type="dxa"/>
            <w:left w:w="108" w:type="dxa"/>
            <w:bottom w:w="0" w:type="dxa"/>
            <w:right w:w="108" w:type="dxa"/>
          </w:tblCellMar>
        </w:tblPrEx>
        <w:trPr>
          <w:trHeight w:val="321" w:hRule="atLeast"/>
          <w:jc w:val="center"/>
        </w:trPr>
        <w:tc>
          <w:tcPr>
            <w:tcW w:w="498" w:type="dxa"/>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CellMar>
            <w:top w:w="0" w:type="dxa"/>
            <w:left w:w="108" w:type="dxa"/>
            <w:bottom w:w="0" w:type="dxa"/>
            <w:right w:w="108" w:type="dxa"/>
          </w:tblCellMar>
        </w:tblPrEx>
        <w:trPr>
          <w:trHeight w:val="321" w:hRule="atLeast"/>
          <w:jc w:val="center"/>
        </w:trPr>
        <w:tc>
          <w:tcPr>
            <w:tcW w:w="498" w:type="dxa"/>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2.8</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CellMar>
            <w:top w:w="0" w:type="dxa"/>
            <w:left w:w="108" w:type="dxa"/>
            <w:bottom w:w="0" w:type="dxa"/>
            <w:right w:w="108" w:type="dxa"/>
          </w:tblCellMar>
        </w:tblPrEx>
        <w:trPr>
          <w:trHeight w:val="366" w:hRule="atLeast"/>
          <w:jc w:val="center"/>
        </w:trPr>
        <w:tc>
          <w:tcPr>
            <w:tcW w:w="49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不接受</w:t>
            </w:r>
          </w:p>
        </w:tc>
      </w:tr>
      <w:tr>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1.10</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不允许</w:t>
            </w:r>
          </w:p>
        </w:tc>
      </w:tr>
      <w:tr>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构成单一来源采购文件的其他材料</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604"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tblPrEx>
          <w:tblCellMar>
            <w:top w:w="0" w:type="dxa"/>
            <w:left w:w="108" w:type="dxa"/>
            <w:bottom w:w="0" w:type="dxa"/>
            <w:right w:w="108" w:type="dxa"/>
          </w:tblCellMar>
        </w:tblPrEx>
        <w:trPr>
          <w:trHeight w:val="30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 xml:space="preserve">2.3 </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单一来源采购文件澄清修改补充时间</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3</w:t>
            </w:r>
            <w:r>
              <w:rPr>
                <w:rFonts w:hint="eastAsia" w:ascii="宋体" w:hAnsi="宋体" w:cs="楷体_GB2312"/>
                <w:color w:val="auto"/>
                <w:sz w:val="24"/>
                <w:highlight w:val="none"/>
              </w:rPr>
              <w:t>个工作</w:t>
            </w:r>
            <w:r>
              <w:rPr>
                <w:rFonts w:hint="eastAsia" w:ascii="宋体" w:hAnsi="宋体" w:cs="楷体_GB2312"/>
                <w:color w:val="auto"/>
                <w:sz w:val="24"/>
                <w:highlight w:val="none"/>
                <w:lang w:val="zh-CN"/>
              </w:rPr>
              <w:t>日前。</w:t>
            </w:r>
          </w:p>
        </w:tc>
      </w:tr>
      <w:tr>
        <w:tblPrEx>
          <w:tblCellMar>
            <w:top w:w="0" w:type="dxa"/>
            <w:left w:w="108" w:type="dxa"/>
            <w:bottom w:w="0" w:type="dxa"/>
            <w:right w:w="108" w:type="dxa"/>
          </w:tblCellMar>
        </w:tblPrEx>
        <w:trPr>
          <w:trHeight w:val="300"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2.4</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hAnsi="宋体" w:cs="楷体_GB2312"/>
                <w:b/>
                <w:bCs/>
                <w:color w:val="auto"/>
                <w:sz w:val="24"/>
                <w:highlight w:val="none"/>
                <w:lang w:val="zh-CN"/>
              </w:rPr>
            </w:pPr>
            <w:r>
              <w:rPr>
                <w:rFonts w:hint="eastAsia" w:ascii="宋体" w:hAnsi="宋体" w:cs="楷体_GB2312"/>
                <w:b/>
                <w:bCs/>
                <w:color w:val="auto"/>
                <w:szCs w:val="21"/>
                <w:highlight w:val="none"/>
                <w:lang w:val="zh-CN"/>
              </w:rPr>
              <w:t>单一来源采购文件的澄清修改补充告知方式</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535" w:hRule="atLeast"/>
          <w:jc w:val="center"/>
        </w:trPr>
        <w:tc>
          <w:tcPr>
            <w:tcW w:w="49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投标文件的组成</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535" w:hRule="atLeast"/>
          <w:jc w:val="center"/>
        </w:trPr>
        <w:tc>
          <w:tcPr>
            <w:tcW w:w="49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tblPrEx>
          <w:tblCellMar>
            <w:top w:w="0" w:type="dxa"/>
            <w:left w:w="108" w:type="dxa"/>
            <w:bottom w:w="0" w:type="dxa"/>
            <w:right w:w="108" w:type="dxa"/>
          </w:tblCellMar>
        </w:tblPrEx>
        <w:trPr>
          <w:trHeight w:val="694" w:hRule="atLeast"/>
          <w:jc w:val="center"/>
        </w:trPr>
        <w:tc>
          <w:tcPr>
            <w:tcW w:w="498" w:type="dxa"/>
            <w:vMerge w:val="continue"/>
            <w:tcBorders>
              <w:left w:val="single" w:color="auto" w:sz="12" w:space="0"/>
              <w:bottom w:val="single" w:color="auto" w:sz="4"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661" w:type="dxa"/>
            <w:tcBorders>
              <w:top w:val="single" w:color="auto" w:sz="6" w:space="0"/>
              <w:left w:val="single" w:color="auto" w:sz="6" w:space="0"/>
              <w:bottom w:val="single" w:color="auto" w:sz="4" w:space="0"/>
              <w:right w:val="single" w:color="auto" w:sz="12" w:space="0"/>
            </w:tcBorders>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pPr>
              <w:widowControl w:val="0"/>
              <w:snapToGrid w:val="0"/>
              <w:spacing w:before="156" w:beforeLines="50" w:line="240" w:lineRule="auto"/>
              <w:rPr>
                <w:color w:val="auto"/>
                <w:sz w:val="24"/>
                <w:szCs w:val="24"/>
                <w:highlight w:val="none"/>
              </w:rPr>
            </w:pPr>
            <w:r>
              <w:rPr>
                <w:rFonts w:hint="eastAsia"/>
                <w:color w:val="auto"/>
                <w:sz w:val="24"/>
                <w:szCs w:val="24"/>
                <w:highlight w:val="none"/>
              </w:rPr>
              <w:t>投标人应按附件格式进行投标承诺、违背承诺的责任追究。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61"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65"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3.7.4</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343"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tblPrEx>
          <w:tblCellMar>
            <w:top w:w="0" w:type="dxa"/>
            <w:left w:w="108" w:type="dxa"/>
            <w:bottom w:w="0" w:type="dxa"/>
            <w:right w:w="108" w:type="dxa"/>
          </w:tblCellMar>
        </w:tblPrEx>
        <w:trPr>
          <w:trHeight w:val="507" w:hRule="atLeast"/>
          <w:jc w:val="center"/>
        </w:trPr>
        <w:tc>
          <w:tcPr>
            <w:tcW w:w="49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6.1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谈判小组的组建</w:t>
            </w:r>
          </w:p>
        </w:tc>
        <w:tc>
          <w:tcPr>
            <w:tcW w:w="6661"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 投标人须知”相应条款</w:t>
            </w:r>
          </w:p>
        </w:tc>
      </w:tr>
      <w:tr>
        <w:tblPrEx>
          <w:tblCellMar>
            <w:top w:w="0" w:type="dxa"/>
            <w:left w:w="108" w:type="dxa"/>
            <w:bottom w:w="0" w:type="dxa"/>
            <w:right w:w="108" w:type="dxa"/>
          </w:tblCellMar>
        </w:tblPrEx>
        <w:trPr>
          <w:trHeight w:val="543" w:hRule="atLeast"/>
          <w:jc w:val="center"/>
        </w:trPr>
        <w:tc>
          <w:tcPr>
            <w:tcW w:w="49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是否授权谈判小组确定成交供应商</w:t>
            </w:r>
          </w:p>
        </w:tc>
        <w:tc>
          <w:tcPr>
            <w:tcW w:w="666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w:t>
            </w:r>
          </w:p>
        </w:tc>
      </w:tr>
      <w:tr>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7.2</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66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本次单一来源采购的成交结果将在成交供应商确定当天在谈判邀请函所述媒介公告</w:t>
            </w:r>
            <w:r>
              <w:rPr>
                <w:rFonts w:ascii="宋体" w:hAnsi="宋体"/>
                <w:color w:val="auto"/>
                <w:sz w:val="24"/>
                <w:highlight w:val="none"/>
              </w:rPr>
              <w:t>1</w:t>
            </w:r>
            <w:r>
              <w:rPr>
                <w:rFonts w:hint="eastAsia" w:ascii="宋体" w:hAnsi="宋体"/>
                <w:color w:val="auto"/>
                <w:sz w:val="24"/>
                <w:highlight w:val="none"/>
              </w:rPr>
              <w:t>个工作日。</w:t>
            </w:r>
          </w:p>
        </w:tc>
      </w:tr>
      <w:tr>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7.3</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w:t>
            </w:r>
          </w:p>
        </w:tc>
        <w:tc>
          <w:tcPr>
            <w:tcW w:w="666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7.4</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66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采购代理机构在成交供应商确定当天向成交供应商发出成交通知书。成交供应商应凭缴费凭证及时领取成交通知书。</w:t>
            </w:r>
          </w:p>
        </w:tc>
      </w:tr>
      <w:tr>
        <w:tblPrEx>
          <w:tblCellMar>
            <w:top w:w="0" w:type="dxa"/>
            <w:left w:w="108" w:type="dxa"/>
            <w:bottom w:w="0" w:type="dxa"/>
            <w:right w:w="108" w:type="dxa"/>
          </w:tblCellMar>
        </w:tblPrEx>
        <w:trPr>
          <w:trHeight w:val="453" w:hRule="atLeast"/>
          <w:jc w:val="center"/>
        </w:trPr>
        <w:tc>
          <w:tcPr>
            <w:tcW w:w="49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7.5</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661"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661"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 投标人须知”相应条款</w:t>
            </w:r>
          </w:p>
        </w:tc>
      </w:tr>
      <w:tr>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9</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61" w:type="dxa"/>
            <w:tcBorders>
              <w:top w:val="single" w:color="auto" w:sz="6" w:space="0"/>
              <w:left w:val="single" w:color="auto" w:sz="6" w:space="0"/>
              <w:bottom w:val="single" w:color="auto" w:sz="6" w:space="0"/>
              <w:right w:val="single" w:color="auto" w:sz="12" w:space="0"/>
            </w:tcBorders>
            <w:vAlign w:val="center"/>
          </w:tcPr>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为优化政府采购营商环境，根据安财购﹝2019﹞8号文件落实政府采购预付款的规定，采购人可在政府采购合同履约前向成交供应商预付</w:t>
            </w:r>
            <w:r>
              <w:rPr>
                <w:color w:val="auto"/>
                <w:sz w:val="24"/>
                <w:szCs w:val="24"/>
                <w:highlight w:val="none"/>
                <w:u w:val="single"/>
              </w:rPr>
              <w:t>30%</w:t>
            </w:r>
            <w:r>
              <w:rPr>
                <w:rFonts w:hint="eastAsia"/>
                <w:color w:val="auto"/>
                <w:sz w:val="24"/>
                <w:szCs w:val="24"/>
                <w:highlight w:val="none"/>
              </w:rPr>
              <w:t>的合同资金，成交供应商应向采购人提交预付款保函，未提供保函的，视同其放弃项目预付款的支付。</w:t>
            </w:r>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项目完成后，采购人需持从“安阳市政府采购网”登录系统下载本项目带水印的《安阳市市直政府采购资金申请表》和《安阳市市直政府采购申报表》，以及《政府采购验收报告》和发票等，作为付款依据。</w:t>
            </w:r>
            <w:r>
              <w:rPr>
                <w:rFonts w:hint="eastAsia"/>
                <w:color w:val="auto"/>
                <w:sz w:val="24"/>
                <w:szCs w:val="24"/>
                <w:highlight w:val="none"/>
                <w:lang w:val="en-US" w:eastAsia="zh-CN"/>
              </w:rPr>
              <w:t>根据资金情况</w:t>
            </w:r>
            <w:r>
              <w:rPr>
                <w:rFonts w:hint="eastAsia"/>
                <w:color w:val="auto"/>
                <w:sz w:val="24"/>
                <w:szCs w:val="24"/>
                <w:highlight w:val="none"/>
              </w:rPr>
              <w:t>分三次付款，设备</w:t>
            </w:r>
            <w:r>
              <w:rPr>
                <w:rFonts w:hint="eastAsia"/>
                <w:color w:val="auto"/>
                <w:sz w:val="24"/>
                <w:szCs w:val="24"/>
                <w:highlight w:val="none"/>
                <w:lang w:val="en-US" w:eastAsia="zh-CN"/>
              </w:rPr>
              <w:t>到位后</w:t>
            </w:r>
            <w:r>
              <w:rPr>
                <w:rFonts w:hint="eastAsia"/>
                <w:color w:val="auto"/>
                <w:sz w:val="24"/>
                <w:szCs w:val="24"/>
                <w:highlight w:val="none"/>
              </w:rPr>
              <w:t>支付第一</w:t>
            </w:r>
            <w:r>
              <w:rPr>
                <w:rFonts w:hint="eastAsia"/>
                <w:color w:val="auto"/>
                <w:sz w:val="24"/>
                <w:szCs w:val="24"/>
                <w:highlight w:val="none"/>
                <w:lang w:val="en-US" w:eastAsia="zh-CN"/>
              </w:rPr>
              <w:t>次费用</w:t>
            </w:r>
            <w:r>
              <w:rPr>
                <w:rFonts w:hint="eastAsia"/>
                <w:color w:val="auto"/>
                <w:sz w:val="24"/>
                <w:szCs w:val="24"/>
                <w:highlight w:val="none"/>
              </w:rPr>
              <w:t>，设备安装验收合格后支付第二</w:t>
            </w:r>
            <w:r>
              <w:rPr>
                <w:rFonts w:hint="eastAsia"/>
                <w:color w:val="auto"/>
                <w:sz w:val="24"/>
                <w:szCs w:val="24"/>
                <w:highlight w:val="none"/>
                <w:lang w:eastAsia="zh-CN"/>
              </w:rPr>
              <w:t>次</w:t>
            </w:r>
            <w:r>
              <w:rPr>
                <w:rFonts w:hint="eastAsia"/>
                <w:color w:val="auto"/>
                <w:sz w:val="24"/>
                <w:szCs w:val="24"/>
                <w:highlight w:val="none"/>
                <w:lang w:val="en-US" w:eastAsia="zh-CN"/>
              </w:rPr>
              <w:t>费用</w:t>
            </w:r>
            <w:r>
              <w:rPr>
                <w:rFonts w:hint="eastAsia"/>
                <w:color w:val="auto"/>
                <w:sz w:val="24"/>
                <w:szCs w:val="24"/>
                <w:highlight w:val="none"/>
              </w:rPr>
              <w:t>，第三</w:t>
            </w:r>
            <w:r>
              <w:rPr>
                <w:rFonts w:hint="eastAsia"/>
                <w:color w:val="auto"/>
                <w:sz w:val="24"/>
                <w:szCs w:val="24"/>
                <w:highlight w:val="none"/>
                <w:lang w:val="en-US" w:eastAsia="zh-CN"/>
              </w:rPr>
              <w:t>次</w:t>
            </w:r>
            <w:r>
              <w:rPr>
                <w:rFonts w:hint="eastAsia"/>
                <w:color w:val="auto"/>
                <w:sz w:val="24"/>
                <w:szCs w:val="24"/>
                <w:highlight w:val="none"/>
              </w:rPr>
              <w:t>支付剩余款项</w:t>
            </w:r>
            <w:r>
              <w:rPr>
                <w:rFonts w:hint="eastAsia"/>
                <w:color w:val="auto"/>
                <w:sz w:val="24"/>
                <w:szCs w:val="24"/>
                <w:highlight w:val="none"/>
                <w:lang w:eastAsia="zh-CN"/>
              </w:rPr>
              <w:t>，</w:t>
            </w:r>
            <w:r>
              <w:rPr>
                <w:rFonts w:hint="eastAsia"/>
                <w:color w:val="auto"/>
                <w:sz w:val="24"/>
                <w:szCs w:val="24"/>
                <w:highlight w:val="none"/>
                <w:lang w:val="en-US" w:eastAsia="zh-CN"/>
              </w:rPr>
              <w:t>具体以双方实际签订合同为准</w:t>
            </w:r>
            <w:r>
              <w:rPr>
                <w:rFonts w:hint="eastAsia"/>
                <w:color w:val="auto"/>
                <w:sz w:val="24"/>
                <w:szCs w:val="24"/>
                <w:highlight w:val="none"/>
              </w:rPr>
              <w:t>。</w:t>
            </w:r>
          </w:p>
        </w:tc>
      </w:tr>
      <w:tr>
        <w:tblPrEx>
          <w:tblCellMar>
            <w:top w:w="0" w:type="dxa"/>
            <w:left w:w="108" w:type="dxa"/>
            <w:bottom w:w="0" w:type="dxa"/>
            <w:right w:w="108" w:type="dxa"/>
          </w:tblCellMar>
        </w:tblPrEx>
        <w:trPr>
          <w:trHeight w:val="581" w:hRule="atLeast"/>
          <w:jc w:val="center"/>
        </w:trPr>
        <w:tc>
          <w:tcPr>
            <w:tcW w:w="49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10.1</w:t>
            </w:r>
          </w:p>
        </w:tc>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代理服务费</w:t>
            </w:r>
          </w:p>
        </w:tc>
        <w:tc>
          <w:tcPr>
            <w:tcW w:w="666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由中标（成交）供应商</w:t>
            </w:r>
            <w:r>
              <w:rPr>
                <w:rFonts w:hint="eastAsia" w:ascii="宋体" w:hAnsi="宋体"/>
                <w:color w:val="auto"/>
                <w:sz w:val="24"/>
                <w:highlight w:val="none"/>
                <w:lang w:val="en-US" w:eastAsia="zh-CN"/>
              </w:rPr>
              <w:t>向代理公司</w:t>
            </w:r>
            <w:r>
              <w:rPr>
                <w:rFonts w:hint="eastAsia" w:ascii="宋体" w:hAnsi="宋体"/>
                <w:color w:val="auto"/>
                <w:sz w:val="24"/>
                <w:highlight w:val="none"/>
              </w:rPr>
              <w:t>支付</w:t>
            </w:r>
            <w:r>
              <w:rPr>
                <w:rFonts w:hint="eastAsia" w:ascii="宋体" w:hAnsi="宋体"/>
                <w:color w:val="auto"/>
                <w:sz w:val="24"/>
                <w:highlight w:val="none"/>
                <w:lang w:val="en-US" w:eastAsia="zh-CN"/>
              </w:rPr>
              <w:t>5万元</w:t>
            </w:r>
            <w:r>
              <w:rPr>
                <w:rFonts w:hint="eastAsia" w:ascii="宋体" w:hAnsi="宋体"/>
                <w:color w:val="auto"/>
                <w:sz w:val="24"/>
                <w:highlight w:val="none"/>
              </w:rPr>
              <w:t>。</w:t>
            </w:r>
          </w:p>
        </w:tc>
      </w:tr>
    </w:tbl>
    <w:p>
      <w:pPr>
        <w:autoSpaceDE w:val="0"/>
        <w:autoSpaceDN w:val="0"/>
        <w:adjustRightInd w:val="0"/>
        <w:spacing w:line="360" w:lineRule="auto"/>
        <w:rPr>
          <w:color w:val="auto"/>
          <w:highlight w:val="none"/>
        </w:rPr>
      </w:pPr>
      <w:r>
        <w:rPr>
          <w:color w:val="auto"/>
          <w:highlight w:val="none"/>
        </w:rPr>
        <w:br w:type="page"/>
      </w:r>
    </w:p>
    <w:p>
      <w:pPr>
        <w:autoSpaceDE w:val="0"/>
        <w:autoSpaceDN w:val="0"/>
        <w:adjustRightInd w:val="0"/>
        <w:spacing w:line="360" w:lineRule="auto"/>
        <w:rPr>
          <w:color w:val="auto"/>
          <w:highlight w:val="none"/>
        </w:rPr>
      </w:pP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11" w:name="_Toc8532"/>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1"/>
    </w:p>
    <w:p>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宋体" w:hAnsi="宋体"/>
          <w:color w:val="auto"/>
          <w:sz w:val="24"/>
          <w:szCs w:val="24"/>
          <w:highlight w:val="none"/>
        </w:rPr>
        <w:t>根据《中华人民共和国政府采购法》、《中华人民共和国政府采购法实施条例》、《政府采购非招标采购方式管理办法》及相关政府采购法律法规等制定本文件。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lang w:val="zh-CN"/>
        </w:rPr>
        <w:t>单一来源采购文件的法律适用及法律效力</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单一来源采购文件</w:t>
      </w:r>
      <w:r>
        <w:rPr>
          <w:rFonts w:hint="eastAsia" w:ascii="宋体" w:hAnsi="宋体"/>
          <w:color w:val="auto"/>
          <w:sz w:val="24"/>
          <w:szCs w:val="24"/>
          <w:highlight w:val="none"/>
        </w:rPr>
        <w:t>所述内容，仅适用于本次项目采购。</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单一来源采购文件</w:t>
      </w:r>
      <w:r>
        <w:rPr>
          <w:rFonts w:hint="eastAsia" w:ascii="宋体" w:hAnsi="宋体"/>
          <w:color w:val="auto"/>
          <w:sz w:val="24"/>
          <w:szCs w:val="24"/>
          <w:highlight w:val="none"/>
        </w:rPr>
        <w:t>的修改性文件、补充文件、澄清文件或说明具有同等法律效力。</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单一来源采购文件</w:t>
      </w:r>
      <w:r>
        <w:rPr>
          <w:rFonts w:hint="eastAsia" w:ascii="宋体" w:hAnsi="宋体"/>
          <w:color w:val="auto"/>
          <w:sz w:val="24"/>
          <w:szCs w:val="24"/>
          <w:highlight w:val="none"/>
        </w:rPr>
        <w:t>适用于并执行《政府采购法》和其它相关的法律、法规。</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本单一来源采购文件的解释权属采购人及代理机构。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凡符合单一来源采购文件规定，承认本单一来源采购文件所有内容的投标人为合格的投标人。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投标人应遵守国家法律、法规和单一来源采购文件的规定。</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如投标人须知前附表规定接受联合体投标的，应遵守以下规定：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全权代表一方的条件应符合投标资格要求。</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1.5  </w:t>
      </w:r>
      <w:r>
        <w:rPr>
          <w:rFonts w:hint="eastAsia" w:ascii="黑体" w:hAnsi="黑体" w:eastAsia="黑体" w:cs="楷体_GB2312"/>
          <w:b/>
          <w:color w:val="auto"/>
          <w:sz w:val="24"/>
          <w:highlight w:val="none"/>
          <w:lang w:val="zh-CN"/>
        </w:rPr>
        <w:t>知识产权</w:t>
      </w:r>
    </w:p>
    <w:p>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除非单一来源采购文件特别规定，采购人享有本项目实施过程中产生的知识成果及知识产权。</w:t>
      </w:r>
    </w:p>
    <w:p>
      <w:pPr>
        <w:tabs>
          <w:tab w:val="center" w:pos="4663"/>
        </w:tabs>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1.6  </w:t>
      </w:r>
      <w:r>
        <w:rPr>
          <w:rFonts w:hint="eastAsia" w:ascii="黑体" w:hAnsi="黑体" w:eastAsia="黑体" w:cs="楷体_GB2312"/>
          <w:b/>
          <w:color w:val="auto"/>
          <w:sz w:val="24"/>
          <w:highlight w:val="none"/>
          <w:lang w:val="zh-CN"/>
        </w:rPr>
        <w:t>投标费用</w:t>
      </w:r>
      <w:r>
        <w:rPr>
          <w:rFonts w:ascii="黑体" w:hAnsi="黑体" w:eastAsia="黑体" w:cs="楷体_GB2312"/>
          <w:b/>
          <w:color w:val="auto"/>
          <w:sz w:val="24"/>
          <w:highlight w:val="none"/>
          <w:lang w:val="zh-CN"/>
        </w:rPr>
        <w:tab/>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1.7 </w:t>
      </w:r>
      <w:r>
        <w:rPr>
          <w:rFonts w:hint="eastAsia" w:ascii="黑体" w:hAnsi="黑体" w:eastAsia="黑体" w:cs="楷体_GB2312"/>
          <w:b/>
          <w:color w:val="auto"/>
          <w:sz w:val="24"/>
          <w:highlight w:val="none"/>
          <w:lang w:val="zh-CN"/>
        </w:rPr>
        <w:t>保密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1.7.1 </w:t>
      </w:r>
      <w:r>
        <w:rPr>
          <w:rFonts w:hint="eastAsia" w:ascii="宋体" w:hAnsi="宋体" w:cs="楷体_GB2312"/>
          <w:color w:val="auto"/>
          <w:sz w:val="24"/>
          <w:highlight w:val="none"/>
          <w:lang w:val="zh-CN"/>
        </w:rPr>
        <w:t>参与单一来源活动的各方应对单一来源采购文件和投标文件中的商业和技术等秘密保密，投标人应在投标文件中对需保密事项予以书面声明，否则视为非保密事项。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1.7.2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1.8 </w:t>
      </w:r>
      <w:r>
        <w:rPr>
          <w:rFonts w:hint="eastAsia" w:ascii="黑体" w:hAnsi="黑体" w:eastAsia="黑体" w:cs="楷体_GB2312"/>
          <w:b/>
          <w:color w:val="auto"/>
          <w:sz w:val="24"/>
          <w:highlight w:val="none"/>
          <w:lang w:val="zh-CN"/>
        </w:rPr>
        <w:t>语言文字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单一来源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1.9 </w:t>
      </w:r>
      <w:r>
        <w:rPr>
          <w:rFonts w:hint="eastAsia" w:ascii="黑体" w:hAnsi="黑体" w:eastAsia="黑体" w:cs="楷体_GB2312"/>
          <w:b/>
          <w:color w:val="auto"/>
          <w:sz w:val="24"/>
          <w:highlight w:val="none"/>
          <w:lang w:val="zh-CN"/>
        </w:rPr>
        <w:t>计量单位</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1.10 </w:t>
      </w:r>
      <w:r>
        <w:rPr>
          <w:rFonts w:hint="eastAsia" w:ascii="黑体" w:hAnsi="黑体" w:eastAsia="黑体" w:cs="楷体_GB2312"/>
          <w:b/>
          <w:color w:val="auto"/>
          <w:sz w:val="24"/>
          <w:highlight w:val="none"/>
          <w:lang w:val="zh-CN"/>
        </w:rPr>
        <w:t>踏勘现场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1.10.1</w:t>
      </w:r>
      <w:r>
        <w:rPr>
          <w:rFonts w:hint="eastAsia" w:ascii="宋体" w:hAnsi="宋体" w:cs="楷体_GB2312"/>
          <w:color w:val="auto"/>
          <w:sz w:val="24"/>
          <w:highlight w:val="none"/>
          <w:lang w:val="zh-CN"/>
        </w:rPr>
        <w:t xml:space="preserve"> 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1.10.2</w:t>
      </w:r>
      <w:r>
        <w:rPr>
          <w:rFonts w:hint="eastAsia" w:ascii="宋体" w:hAnsi="宋体" w:cs="楷体_GB2312"/>
          <w:color w:val="auto"/>
          <w:sz w:val="24"/>
          <w:highlight w:val="none"/>
          <w:lang w:val="zh-CN"/>
        </w:rPr>
        <w:t xml:space="preserve"> 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1.10.3</w:t>
      </w:r>
      <w:r>
        <w:rPr>
          <w:rFonts w:hint="eastAsia" w:ascii="宋体" w:hAnsi="宋体" w:cs="楷体_GB2312"/>
          <w:color w:val="auto"/>
          <w:sz w:val="24"/>
          <w:highlight w:val="none"/>
          <w:lang w:val="zh-CN"/>
        </w:rPr>
        <w:t xml:space="preserve"> 投标人须知前附表规定不组织踏勘现场的，单一来源采购文件不单独提供交验地点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1.11 </w:t>
      </w:r>
      <w:r>
        <w:rPr>
          <w:rFonts w:hint="eastAsia" w:ascii="黑体" w:hAnsi="黑体" w:eastAsia="黑体" w:cs="楷体_GB2312"/>
          <w:b/>
          <w:color w:val="auto"/>
          <w:sz w:val="24"/>
          <w:highlight w:val="none"/>
          <w:lang w:val="zh-CN"/>
        </w:rPr>
        <w:t>投标预备会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1.11.1 </w:t>
      </w:r>
      <w:r>
        <w:rPr>
          <w:rFonts w:hint="eastAsia" w:ascii="宋体" w:hAnsi="宋体" w:cs="楷体_GB2312"/>
          <w:color w:val="auto"/>
          <w:sz w:val="24"/>
          <w:highlight w:val="none"/>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1.11.2 </w:t>
      </w:r>
      <w:r>
        <w:rPr>
          <w:rFonts w:hint="eastAsia" w:ascii="宋体" w:hAnsi="宋体" w:cs="楷体_GB2312"/>
          <w:color w:val="auto"/>
          <w:sz w:val="24"/>
          <w:highlight w:val="none"/>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1.11.3 </w:t>
      </w:r>
      <w:r>
        <w:rPr>
          <w:rFonts w:hint="eastAsia" w:ascii="宋体" w:hAnsi="宋体" w:cs="楷体_GB2312"/>
          <w:color w:val="auto"/>
          <w:sz w:val="24"/>
          <w:highlight w:val="none"/>
          <w:lang w:val="zh-CN"/>
        </w:rPr>
        <w:t>投标预备会后，采购人及代理机构在投标人须知前附表规定的时间内，将对投标人所提问题的澄清，以本章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项方式通告潜在投标人。该澄清内容为单一来源采购文件的组成部分。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1.12 </w:t>
      </w:r>
      <w:r>
        <w:rPr>
          <w:rFonts w:hint="eastAsia" w:ascii="黑体" w:hAnsi="黑体" w:eastAsia="黑体" w:cs="楷体_GB2312"/>
          <w:b/>
          <w:color w:val="auto"/>
          <w:sz w:val="24"/>
          <w:highlight w:val="none"/>
          <w:lang w:val="zh-CN"/>
        </w:rPr>
        <w:t>分包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标段（包）</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1.13</w:t>
      </w:r>
      <w:r>
        <w:rPr>
          <w:rFonts w:hint="eastAsia" w:ascii="黑体" w:hAnsi="黑体" w:eastAsia="黑体" w:cs="楷体_GB2312"/>
          <w:b/>
          <w:color w:val="auto"/>
          <w:sz w:val="24"/>
          <w:highlight w:val="none"/>
          <w:lang w:val="zh-CN"/>
        </w:rPr>
        <w:t>偏离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单一来源采购文件允许投标文件偏离单一来源采购文件某些要求的，偏离应当符合单一来源采购文件规定的偏离范围和幅度。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2" w:name="_Toc10158"/>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单一来源采购文件</w:t>
      </w:r>
      <w:bookmarkEnd w:id="12"/>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单一来源采购文件的组成</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单一来源采购文件用以阐明采购项目的内容、程序和合同主要条款。单一来源采购文件由下述部分组成：</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）谈判邀请函</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）采购项目及技术要求</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款、对单一来源采购文件的澄清、修改、补充书构成单一来源采购文件的组成部分，并取代单一来源采购文件中被澄清、修改处，对所有投标人均有约束力。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当单一来源采购文件、单一来源采购文件的澄清、修改、补充等在同一内容的表述上不一致时，以最后发出（发布）的文件为准。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投标人与任何人的口头协议不影响《单一来源采购文件》的任何条款和内容。</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 xml:space="preserve"> 投标人应仔细阅读和检查单一来源采购文件的全部内容是否齐全，如发现缺页或附件不全等遗漏，应及时向采购代理机构提出并索取补齐，否则责任及风险自负。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单一来源采购文件的澄清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单一来源采购文件的所有潜在投标人对单一来源采购文件如有需澄清的疑问，应在投标人须知前附表规定的时间内按谈判邀请函中载明的地址以纸质书面形式通知到采购代理机构。在规定的时间内未提出疑问的，将视为对单一来源采购文件的完全认可。</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采购代理机构对潜在投标人在规定的时间内提出的疑问，将视情况以书面形式予以答复，并在其认为必要时，将不标明查询来源的书面答复，在“谈判邀请函”所述媒体通告所有潜在投标人。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单一来源采购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before="156"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单一来源采购文件的澄清、修改、补充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采购人、代理机构在投标截止时间前有权澄清修改、补充已发售的单一来源采购文件。</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谈判过程中对单一来源采购文件的变动见第四章评审办法</w:t>
      </w:r>
      <w:r>
        <w:rPr>
          <w:rFonts w:ascii="宋体" w:hAnsi="宋体"/>
          <w:color w:val="auto"/>
          <w:sz w:val="24"/>
          <w:highlight w:val="none"/>
        </w:rPr>
        <w:t>3.5</w:t>
      </w:r>
      <w:r>
        <w:rPr>
          <w:rFonts w:hint="eastAsia" w:ascii="宋体" w:hAnsi="宋体"/>
          <w:color w:val="auto"/>
          <w:sz w:val="24"/>
          <w:highlight w:val="none"/>
        </w:rPr>
        <w:t>款谈判规则。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单一来源采购文件的澄清、修改、补充的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单一来源采购文件在投标截止时间前的所有澄清、修改（包括时间变更等）、补充事项，均在“谈判邀请函”所述媒体予以公告。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无权限获知或通知潜在投标人，潜在投标人应随时关注“谈判邀请函”所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相关项目信息（为免各部门网站出现维护等情况，潜在投标人应对“谈判邀请函”所述媒体逐一查阅），如有遗漏，后果自负。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cs="楷体_GB2312"/>
          <w:color w:val="auto"/>
          <w:sz w:val="24"/>
          <w:highlight w:val="none"/>
          <w:lang w:val="zh-CN"/>
        </w:rPr>
        <w:t>单一来源采购文件的澄清、修改、补充书构成单一来源采购文件的组成部分，并取代单一来源采购文件中被澄清、修改处，对所有投标人均有约束力。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谈判邀请函”所述媒体予以公告。</w:t>
      </w:r>
    </w:p>
    <w:p>
      <w:pPr>
        <w:autoSpaceDE w:val="0"/>
        <w:autoSpaceDN w:val="0"/>
        <w:adjustRightInd w:val="0"/>
        <w:snapToGrid w:val="0"/>
        <w:spacing w:before="156" w:beforeLines="50" w:line="300" w:lineRule="auto"/>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3" w:name="_Toc29486"/>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投标文件（响应文件）</w:t>
      </w:r>
      <w:bookmarkEnd w:id="13"/>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投标人应仔细阅读单一来源采购文件的所有内容，按单一来源采购文件的要求提供投标文件（响应文件），并保证所提供全部资料的真实性。投标文件（响应文件）应对单一来源采购文件实质性要求作出实质性响应。谈判小组对投标文件（响应文件）的有效性、完整性和响应程度进行审查，不满足实质性要求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投标文件（响应文件）的组成</w:t>
      </w:r>
    </w:p>
    <w:p>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响应文件）组成如有缺项，谈判小组按照实质性判断原则（实质性要求和实质性响应两因素）、有权视情况将其作无效投标处理，投标人自负此项风险；投标文件组成内容未对单一来源采购文件实质性要求作出实质性响应，谈判小组按照实质性判断原则、视情况将其作无效投标处理，投标人自负此项风险</w:t>
      </w:r>
    </w:p>
    <w:p>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zh-CN"/>
        </w:rPr>
        <w:t xml:space="preserve"> 投标文件（响应文件）应包括下列内容：</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）投标书</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）投标报价明细表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pPr>
        <w:adjustRightInd w:val="0"/>
        <w:snapToGrid w:val="0"/>
        <w:spacing w:line="300" w:lineRule="auto"/>
        <w:ind w:firstLine="539"/>
        <w:textAlignment w:val="top"/>
        <w:rPr>
          <w:rFonts w:ascii="宋体" w:cs="楷体_GB2312"/>
          <w:color w:val="auto"/>
          <w:sz w:val="24"/>
          <w:highlight w:val="none"/>
        </w:rPr>
      </w:pPr>
      <w:r>
        <w:rPr>
          <w:rFonts w:hint="eastAsia" w:ascii="宋体" w:cs="楷体_GB2312"/>
          <w:color w:val="auto"/>
          <w:sz w:val="24"/>
          <w:highlight w:val="none"/>
        </w:rPr>
        <w:t>（8）采购标的成本或同类项目合同价格</w:t>
      </w:r>
    </w:p>
    <w:p>
      <w:pPr>
        <w:adjustRightInd w:val="0"/>
        <w:snapToGrid w:val="0"/>
        <w:spacing w:line="300" w:lineRule="auto"/>
        <w:ind w:firstLine="539"/>
        <w:textAlignment w:val="top"/>
        <w:rPr>
          <w:rFonts w:ascii="宋体" w:cs="楷体_GB2312"/>
          <w:color w:val="auto"/>
          <w:sz w:val="24"/>
          <w:highlight w:val="none"/>
        </w:rPr>
      </w:pPr>
      <w:r>
        <w:rPr>
          <w:rFonts w:hint="eastAsia" w:ascii="宋体" w:cs="楷体_GB2312"/>
          <w:color w:val="auto"/>
          <w:sz w:val="24"/>
          <w:highlight w:val="none"/>
        </w:rPr>
        <w:t>（9）相关专利、专有技术等情况说明</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（10）关于资格的声明函</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（11）反商业贿赂承诺书</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2）履约承诺书</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3）资格要求相关证明材料（文件）</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4）采购项目及技术要求所需的其他材料（按条款需要）</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5）投标人须知所需的其他材料（按条款需要）</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6）评审办法所需的其他材料（按条款需要）</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7）投标人认为有必要提交的其它材料</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 xml:space="preserve"> 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款规定，对投标文件（响应文件）的补充、修改、澄清、说明或者更正构成投标文件（响应文件）的组成部分。</w:t>
      </w:r>
    </w:p>
    <w:p>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投标有效期见投标人须知前附表。投标文件（响应文件）在投标有效期内保持不变（包括价格等投标文件各项条款）。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在投标有效期内，投标人撤销或修改其投标文件（响应文件）的，应承担单一来源采购文件和法律规定的责任。</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3.5</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 ：</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3.5.1 按照豫财购〔2019〕4号文件规定，本项目以投标承诺函的形式替代投标保证金，投标人应按附件格式进行投标承诺，违背承诺的将承担相应的法律责任及违约责任。</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3.5.2 未提供投标承诺函的为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3.5.3 投标人的投标承诺函包含投标人承诺的事项及违背承诺的责任追究措施。</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 承诺事项：</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的原则自愿参加项目的投标；</w:t>
      </w:r>
      <w:r>
        <w:rPr>
          <w:rFonts w:hint="eastAsia" w:ascii="宋体" w:hAnsi="宋体" w:cs="楷体_GB2312"/>
          <w:color w:val="auto"/>
          <w:sz w:val="24"/>
          <w:highlight w:val="none"/>
          <w:lang w:val="zh-CN"/>
        </w:rPr>
        <w:br w:type="textWrapping"/>
      </w:r>
      <w:r>
        <w:rPr>
          <w:rFonts w:hint="eastAsia" w:ascii="宋体" w:hAnsi="宋体" w:cs="楷体_GB2312"/>
          <w:color w:val="auto"/>
          <w:sz w:val="24"/>
          <w:highlight w:val="none"/>
          <w:lang w:val="zh-CN"/>
        </w:rPr>
        <w:t xml:space="preserve">    3.5.4.2、投标人在政府采购活动中应提供真实、准确、有效、合法的材料，不提供虚假材料；</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3.5.4.3、投标人按照单一来源采购文件规定，在提交投标文件截止时间后，在单一来源采购文件规定的投标有效期限内不应撤回投标文件；</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3.5.4.4、不应与其他投标人、采购人或采购代理机构串通或恶意串通。</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3.5.4.5、中标后除不可抗拒力或单一来源采购文件认可的情形外，投标人应及时领取中标通知书，在成交通知书规定时间、地点与采购人签订合同；</w:t>
      </w:r>
      <w:r>
        <w:rPr>
          <w:rFonts w:hint="eastAsia" w:ascii="宋体" w:hAnsi="宋体" w:cs="楷体_GB2312"/>
          <w:color w:val="auto"/>
          <w:sz w:val="24"/>
          <w:highlight w:val="none"/>
          <w:lang w:val="zh-CN"/>
        </w:rPr>
        <w:br w:type="textWrapping"/>
      </w:r>
      <w:r>
        <w:rPr>
          <w:rFonts w:hint="eastAsia" w:ascii="宋体" w:hAnsi="宋体" w:cs="楷体_GB2312"/>
          <w:color w:val="auto"/>
          <w:sz w:val="24"/>
          <w:highlight w:val="none"/>
          <w:lang w:val="zh-CN"/>
        </w:rPr>
        <w:t xml:space="preserve">    3.5.4.6、投标人应遵守法律法规及单一来源采购文件规定的其他情况；</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3.5.4.7、投标人应按单一来源采购文件规定及时缴纳中标服务费。</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3.5.5 违背承诺的责任追究措施</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投标人如违背上述承诺事项，应无条件接受以下责任追究：</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3.5.5.1法定责任：按照政府采购相关法规，处以罚款，列入不良行为记录名单，在一至三年内禁止参加政府采购活动，有违法所得的，并处没收违法所得，情节严重的，由工商管理</w:t>
      </w:r>
      <w:r>
        <w:rPr>
          <w:rFonts w:hint="eastAsia"/>
          <w:color w:val="auto"/>
          <w:sz w:val="24"/>
          <w:szCs w:val="24"/>
          <w:highlight w:val="none"/>
        </w:rPr>
        <w:t>（市场监督管理机关）</w:t>
      </w:r>
      <w:r>
        <w:rPr>
          <w:rFonts w:hint="eastAsia" w:ascii="宋体" w:hAnsi="宋体" w:cs="楷体_GB2312"/>
          <w:color w:val="auto"/>
          <w:sz w:val="24"/>
          <w:highlight w:val="none"/>
          <w:lang w:val="zh-CN"/>
        </w:rPr>
        <w:t>吊销营业执照；构成犯罪的，依法追究刑事责任。</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给采购人及他人造成损失的，应承担相应的赔偿责任。</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 xml:space="preserve">3.5.5.2违约责任： </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3.5.5.2.1 已中标的，中标（成交）无效；</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3.5.5.2.2 支付采购人违约标的预算金额2%的违约金；</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hint="eastAsia" w:ascii="宋体" w:hAnsi="宋体" w:cs="楷体_GB2312"/>
          <w:color w:val="auto"/>
          <w:sz w:val="24"/>
          <w:highlight w:val="none"/>
          <w:lang w:val="zh-CN"/>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原则，在履行承诺前，代理机构将视我单位为失信企业、不予办理其后相关业务。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要求见谈判邀请函</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投标文件（响应文件）应按第六章“投标文件格式”进行编写，如有必要，可以增加附页，作为投标文件（响应文件）的组成部分。单一来源采购文件中未列明格式的，由投标人按一般通用格式自行设计编写。</w:t>
      </w:r>
    </w:p>
    <w:p>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“投标文件格式”仅为对投标文件（响应文件）部分内容的格式化规范，并非投标文件所应具备的全部内容。投标人应按本章“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投标文件的组成”列示内容编制投标文件（响应文件）。</w:t>
      </w:r>
    </w:p>
    <w:p>
      <w:pPr>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响应文件）应当对单一来源采购文件有关标段（包）内容（范围）、技术要求、交验期、投标有效期等实质性内容作出响应。在满足单一来源采购文件实质性要求的基础上，可以提出比单一来源采购文件要求更有利于采购人的承诺。并符合单一来源采购文件偏差规定。</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响应文件）的所有条款与单一来源采购文件要求有任何不同之处，应按《技术偏差表》、《其他偏差表》格式逐一填列。投标文件（响应文件）与单一来源采购文件所有要求存在偏差而未填列的，谈判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。投标人应认真编制投标文件（响应文件）并自负此项风险。</w:t>
      </w:r>
    </w:p>
    <w:p>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 xml:space="preserve">3.7.4 </w:t>
      </w:r>
      <w:r>
        <w:rPr>
          <w:rFonts w:hint="eastAsia" w:ascii="宋体" w:hAnsi="宋体" w:cs="楷体_GB2312"/>
          <w:b/>
          <w:color w:val="auto"/>
          <w:sz w:val="24"/>
          <w:highlight w:val="none"/>
          <w:lang w:val="zh-CN"/>
        </w:rPr>
        <w:t>投标文件（响应文件）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按单一来源采购文件相关要求（含格式上标注的要求）、</w:t>
      </w:r>
      <w:r>
        <w:rPr>
          <w:rFonts w:hint="eastAsia" w:ascii="宋体" w:hAnsi="宋体" w:cs="楷体_GB2312"/>
          <w:b/>
          <w:color w:val="auto"/>
          <w:sz w:val="24"/>
          <w:highlight w:val="none"/>
        </w:rPr>
        <w:t>使用供应商企业数字证书进行电子签章和供应商法定代表人数字证书进行电子签名（签章）、并加密，没有使用供应商企业数字证书和供应商法定代表人数字证书进行电子签名（签章）并加密的响应文件，属于未按照单一来源采购文件要求进行签署。</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投标人可对本单一来源采购文件“标段（包）一览表”中所列的所有标段（包）进行分别投标，也可选择其中一个标段（包）或几个标段（包）投标，但不得将单一来源采购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投标文件（响应文件）因字迹或表述不清所引起的后果由投标人自行负责。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未按上述要求提供的投标文件（响应文件）将视为</w:t>
      </w:r>
      <w:r>
        <w:rPr>
          <w:rFonts w:hint="eastAsia" w:ascii="宋体" w:hAnsi="宋体" w:cs="楷体_GB2312"/>
          <w:b/>
          <w:color w:val="auto"/>
          <w:sz w:val="24"/>
          <w:highlight w:val="none"/>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14" w:name="_Toc26228"/>
      <w:bookmarkStart w:id="15" w:name="_Toc529972260"/>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投标（响应文件的递交）</w:t>
      </w:r>
      <w:bookmarkEnd w:id="14"/>
      <w:bookmarkEnd w:id="15"/>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投标文件（响应文件）的加密和标记：</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16"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投标文件（响应文件）应当按网上电子交易系统要求进行加密和标记，在投标文件（响应文件）提交截止时间前，将加密的投标文件（响应文件）上传至谈判邀请函所述网上电子交易系统。</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17"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投标文件（响应文件）没有按照上述要求进行加密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的、网上电子交易系统将据系统设定拒收其投标文件（响应文件），投标人应自负该项风险，采购代理机构对可能产生的误投或提前启封概不负责。</w:t>
      </w:r>
      <w:bookmarkEnd w:id="16"/>
      <w:bookmarkEnd w:id="17"/>
      <w:bookmarkStart w:id="18" w:name="_Toc296602445"/>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bookmarkEnd w:id="18"/>
    </w:p>
    <w:p>
      <w:pPr>
        <w:autoSpaceDE w:val="0"/>
        <w:autoSpaceDN w:val="0"/>
        <w:adjustRightInd w:val="0"/>
        <w:snapToGrid w:val="0"/>
        <w:spacing w:before="156" w:beforeLines="50" w:line="300" w:lineRule="auto"/>
        <w:ind w:firstLine="539"/>
        <w:rPr>
          <w:rFonts w:ascii="宋体" w:hAnsi="宋体" w:cs="楷体_GB2312"/>
          <w:b/>
          <w:strike/>
          <w:color w:val="auto"/>
          <w:sz w:val="24"/>
          <w:highlight w:val="none"/>
          <w:lang w:val="zh-CN"/>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由于不可抗拒的原因，代理机构对投标文件（响应文件）的遗失和损坏不负任何责任。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除投标人须知前附表另有规定外，投标人所递交的投标文件（响应文件）不予退还。</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基于网上电子交易的系统要求及特点，只接受基于符合网上电子交易系统要求的投标，其他如纸制、送达、电报、电话、电子邮件等形式的投标概不接受。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投标文件（响应文件）的修改与撤回</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4.3.1 </w:t>
      </w:r>
      <w:r>
        <w:rPr>
          <w:rFonts w:hint="eastAsia" w:ascii="宋体" w:hAnsi="宋体" w:cs="楷体_GB2312"/>
          <w:b/>
          <w:color w:val="auto"/>
          <w:sz w:val="24"/>
          <w:highlight w:val="none"/>
          <w:lang w:val="zh-CN"/>
        </w:rPr>
        <w:t>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color w:val="auto"/>
          <w:sz w:val="24"/>
          <w:szCs w:val="22"/>
          <w:highlight w:val="none"/>
        </w:rPr>
      </w:pPr>
      <w:r>
        <w:rPr>
          <w:rFonts w:ascii="宋体" w:hAnsi="宋体" w:cs="楷体_GB2312"/>
          <w:b/>
          <w:color w:val="auto"/>
          <w:sz w:val="24"/>
          <w:highlight w:val="none"/>
          <w:lang w:val="zh-CN"/>
        </w:rPr>
        <w:t xml:space="preserve">4.3.2 </w:t>
      </w:r>
      <w:r>
        <w:rPr>
          <w:rFonts w:hint="eastAsia" w:ascii="宋体" w:hAnsi="宋体" w:cs="楷体_GB2312"/>
          <w:b/>
          <w:color w:val="auto"/>
          <w:sz w:val="24"/>
          <w:highlight w:val="none"/>
          <w:lang w:val="zh-CN"/>
        </w:rPr>
        <w:t>投标人在投标文件（响应文件）提交截止时间后不得自行修改或撤回其投标，</w:t>
      </w:r>
      <w:r>
        <w:rPr>
          <w:rFonts w:hint="eastAsia" w:ascii="宋体" w:hAnsi="宋体" w:cs="楷体_GB2312"/>
          <w:color w:val="auto"/>
          <w:sz w:val="24"/>
          <w:highlight w:val="none"/>
          <w:lang w:val="zh-CN"/>
        </w:rPr>
        <w:t>否则</w:t>
      </w:r>
      <w:r>
        <w:rPr>
          <w:rFonts w:hint="eastAsia" w:ascii="宋体" w:hAnsi="宋体"/>
          <w:color w:val="auto"/>
          <w:sz w:val="24"/>
          <w:szCs w:val="24"/>
          <w:highlight w:val="none"/>
        </w:rPr>
        <w:t xml:space="preserve">依据单一来源采购文件“第三章 </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19" w:name="_Toc30462"/>
      <w:bookmarkStart w:id="20" w:name="_Toc529972261"/>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开标（响应文件的开启）</w:t>
      </w:r>
      <w:bookmarkEnd w:id="19"/>
      <w:bookmarkEnd w:id="20"/>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采购人和采购代理机构按谈判邀请函规定的时间和地点公开开标。</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5.2.1 </w:t>
      </w:r>
      <w:r>
        <w:rPr>
          <w:rFonts w:hint="eastAsia" w:ascii="宋体" w:hAnsi="宋体" w:cs="楷体_GB2312"/>
          <w:b/>
          <w:color w:val="auto"/>
          <w:sz w:val="24"/>
          <w:highlight w:val="none"/>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人自行承担相应后果。解密完成后，投标人的报价将在系统界面上显示。</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 xml:space="preserve">5.2.2 </w:t>
      </w:r>
      <w:r>
        <w:rPr>
          <w:rFonts w:hint="eastAsia" w:ascii="宋体" w:hAnsi="宋体" w:cs="楷体_GB2312"/>
          <w:b/>
          <w:color w:val="auto"/>
          <w:sz w:val="24"/>
          <w:highlight w:val="none"/>
          <w:lang w:val="zh-CN"/>
        </w:rPr>
        <w:t>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21" w:name="_Toc832"/>
      <w:bookmarkStart w:id="22" w:name="_Toc529972262"/>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1"/>
      <w:bookmarkEnd w:id="22"/>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谈判小组</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评审工作由依法组建的谈判小组负责。谈判小组由采购人代表和评审专家共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人及以上单数组成，其中评审专家人数不少于谈判小组成员总数的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6.3.1 </w:t>
      </w:r>
      <w:r>
        <w:rPr>
          <w:rFonts w:hint="eastAsia" w:ascii="宋体" w:hAnsi="宋体" w:cs="楷体_GB2312"/>
          <w:color w:val="auto"/>
          <w:sz w:val="24"/>
          <w:highlight w:val="none"/>
          <w:lang w:val="zh-CN"/>
        </w:rPr>
        <w:t>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6.3.2 </w:t>
      </w:r>
      <w:r>
        <w:rPr>
          <w:rFonts w:hint="eastAsia" w:ascii="宋体" w:hAnsi="宋体" w:cs="楷体_GB2312"/>
          <w:color w:val="auto"/>
          <w:sz w:val="24"/>
          <w:highlight w:val="none"/>
          <w:lang w:val="zh-CN"/>
        </w:rPr>
        <w:t>在开标、评审期间，投标人不得向谈判小组成员询问情况，不得进行旨在影响评审结果的活动。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谈判：</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3.5</w:t>
      </w:r>
      <w:r>
        <w:rPr>
          <w:rFonts w:hint="eastAsia" w:ascii="宋体" w:hAnsi="宋体" w:cs="楷体_GB2312"/>
          <w:color w:val="auto"/>
          <w:sz w:val="24"/>
          <w:highlight w:val="none"/>
          <w:lang w:val="zh-CN"/>
        </w:rPr>
        <w:t>款谈判规则。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3" w:name="_Toc529972263"/>
      <w:bookmarkStart w:id="24" w:name="_Toc28167"/>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3"/>
      <w:bookmarkEnd w:id="24"/>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除投标人须知前附表规定授权谈判小组直接确定成交供应商外，采购人应当自收到评审报告之日起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采购代理机构在成交供应商确定当天在谈判邀请函所述媒体公告成交结果。同时向成交供应商发出成交通知书。成交结果公告期限为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质疑、投诉：</w:t>
      </w:r>
    </w:p>
    <w:p>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ascii="宋体" w:hAnsi="宋体"/>
          <w:color w:val="auto"/>
          <w:sz w:val="24"/>
          <w:highlight w:val="none"/>
        </w:rPr>
        <w:t>7.3.1</w:t>
      </w:r>
      <w:r>
        <w:rPr>
          <w:rFonts w:hint="eastAsia" w:ascii="宋体" w:hAnsi="宋体"/>
          <w:color w:val="auto"/>
          <w:sz w:val="24"/>
          <w:highlight w:val="none"/>
        </w:rPr>
        <w:t xml:space="preserve"> </w:t>
      </w:r>
      <w:r>
        <w:rPr>
          <w:rFonts w:hint="eastAsia" w:ascii="宋体" w:hAnsi="宋体" w:cs="楷体_GB2312"/>
          <w:color w:val="auto"/>
          <w:sz w:val="24"/>
          <w:highlight w:val="none"/>
          <w:lang w:val="zh-CN"/>
        </w:rPr>
        <w:t>见投标人须知前附表。</w:t>
      </w:r>
    </w:p>
    <w:p>
      <w:pPr>
        <w:autoSpaceDE w:val="0"/>
        <w:autoSpaceDN w:val="0"/>
        <w:adjustRightInd w:val="0"/>
        <w:snapToGrid w:val="0"/>
        <w:spacing w:before="156" w:beforeLines="50" w:line="300" w:lineRule="auto"/>
        <w:ind w:firstLine="537" w:firstLineChars="224"/>
        <w:rPr>
          <w:rFonts w:ascii="宋体" w:hAns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 xml:space="preserve"> 询问或者质疑事项可能影响成交结果的，采购人应当暂停签订合同，已经签订合同的，应当中止履行合同。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7.5.1 </w:t>
      </w:r>
      <w:r>
        <w:rPr>
          <w:rFonts w:hint="eastAsia" w:ascii="宋体" w:hAnsi="宋体" w:cs="楷体_GB2312"/>
          <w:color w:val="auto"/>
          <w:sz w:val="24"/>
          <w:highlight w:val="none"/>
          <w:lang w:val="zh-CN"/>
        </w:rPr>
        <w:t>在签订合同时，成交供应商应按投标人须知前附表规定向采购人提交履约保证金。</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项要求提交履约保证金的，视为放弃成交资格，依据单一来源采购文件“第三章 3.5.5 违背承诺的责任追究措施”，投标人承担相应法律责任及违约责任。给采购人及采购代理机构造成损失的，成交供应商应当予以赔偿。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据优化营商环境精神，成交供应商应在《成交通知书》发出后2个工作日内，按照单一来源采购文件确定的合同文本以及成交标的、技术和服务等事项与采购人签订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拒签合同的，取消其成交资格，依据单一来源采购文件“第三章 3.5.5 违背承诺的责任追究措施”，投标人承担相应法律责任及违约责任。给采购人造成损失的，成交供应商应当予以赔偿。</w:t>
      </w:r>
    </w:p>
    <w:p>
      <w:pPr>
        <w:widowControl w:val="0"/>
        <w:adjustRightInd w:val="0"/>
        <w:snapToGrid w:val="0"/>
        <w:spacing w:before="156" w:beforeLines="50" w:line="300" w:lineRule="auto"/>
        <w:ind w:firstLine="566"/>
        <w:rPr>
          <w:rFonts w:ascii="宋体" w:hAnsi="宋体"/>
          <w:color w:val="auto"/>
          <w:sz w:val="24"/>
          <w:szCs w:val="24"/>
          <w:highlight w:val="none"/>
        </w:rPr>
      </w:pPr>
      <w:r>
        <w:rPr>
          <w:rFonts w:ascii="宋体" w:hAnsi="宋体"/>
          <w:color w:val="auto"/>
          <w:sz w:val="24"/>
          <w:szCs w:val="24"/>
          <w:highlight w:val="none"/>
        </w:rPr>
        <w:t xml:space="preserve">7.6.3 </w:t>
      </w:r>
      <w:r>
        <w:rPr>
          <w:rFonts w:hint="eastAsia" w:ascii="宋体" w:hAnsi="宋体"/>
          <w:color w:val="auto"/>
          <w:sz w:val="24"/>
          <w:szCs w:val="24"/>
          <w:highlight w:val="none"/>
        </w:rPr>
        <w:t>合同生效：成交供应商与采购人签订的合同，双方签字后盖章生效</w:t>
      </w:r>
      <w:r>
        <w:rPr>
          <w:rFonts w:hint="eastAsia"/>
          <w:color w:val="auto"/>
          <w:sz w:val="24"/>
          <w:szCs w:val="24"/>
          <w:highlight w:val="none"/>
        </w:rPr>
        <w:t>。</w:t>
      </w:r>
      <w:r>
        <w:rPr>
          <w:rFonts w:hint="eastAsia" w:ascii="宋体" w:hAnsi="宋体"/>
          <w:color w:val="auto"/>
          <w:sz w:val="24"/>
          <w:szCs w:val="24"/>
          <w:highlight w:val="none"/>
        </w:rPr>
        <w:t>采购人要在合同签订后1个工作日内登陆安阳市政府采购网进行备案并公告。</w:t>
      </w:r>
    </w:p>
    <w:p>
      <w:pPr>
        <w:widowControl w:val="0"/>
        <w:adjustRightInd w:val="0"/>
        <w:snapToGrid w:val="0"/>
        <w:spacing w:before="156" w:beforeLines="50" w:line="300" w:lineRule="auto"/>
        <w:ind w:firstLine="549"/>
        <w:rPr>
          <w:rFonts w:ascii="宋体"/>
          <w:color w:val="auto"/>
          <w:sz w:val="24"/>
          <w:szCs w:val="24"/>
          <w:highlight w:val="none"/>
        </w:rPr>
      </w:pPr>
      <w:r>
        <w:rPr>
          <w:rFonts w:ascii="宋体" w:hAnsi="宋体"/>
          <w:color w:val="auto"/>
          <w:sz w:val="24"/>
          <w:szCs w:val="24"/>
          <w:highlight w:val="none"/>
        </w:rPr>
        <w:t>7.6.4</w:t>
      </w:r>
      <w:r>
        <w:rPr>
          <w:rFonts w:hint="eastAsia" w:ascii="宋体" w:hAnsi="宋体"/>
          <w:color w:val="auto"/>
          <w:sz w:val="24"/>
          <w:szCs w:val="24"/>
          <w:highlight w:val="none"/>
        </w:rPr>
        <w:t xml:space="preserve"> 《成交通知书》、单一来源采购文件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、成交供应商的投标文件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等，均为签订合同的依据。所定合同不得对单一来源采购文件和成交供应商的投标文件作实质性修改，采购人和成交供应商不得私下订立背离合同实质性内容的协议。</w:t>
      </w:r>
    </w:p>
    <w:p>
      <w:pPr>
        <w:widowControl w:val="0"/>
        <w:adjustRightInd w:val="0"/>
        <w:snapToGrid w:val="0"/>
        <w:spacing w:before="156" w:beforeLines="50" w:line="300" w:lineRule="auto"/>
        <w:ind w:firstLine="549"/>
        <w:rPr>
          <w:rFonts w:ascii="宋体"/>
          <w:color w:val="auto"/>
          <w:sz w:val="24"/>
          <w:szCs w:val="24"/>
          <w:highlight w:val="none"/>
        </w:rPr>
      </w:pPr>
      <w:r>
        <w:rPr>
          <w:rFonts w:ascii="宋体" w:hAnsi="宋体"/>
          <w:color w:val="auto"/>
          <w:sz w:val="24"/>
          <w:szCs w:val="24"/>
          <w:highlight w:val="none"/>
        </w:rPr>
        <w:t xml:space="preserve">7.6.5 </w:t>
      </w:r>
      <w:r>
        <w:rPr>
          <w:rFonts w:hint="eastAsia" w:ascii="宋体" w:hAnsi="宋体"/>
          <w:color w:val="auto"/>
          <w:sz w:val="24"/>
          <w:szCs w:val="24"/>
          <w:highlight w:val="none"/>
        </w:rPr>
        <w:t>评审会后，成交供应商、采购人之间擅自私下谈判、变更中标（成交）标的、价格及招投标文件实质性内容的，有关部门将按《中华人民共和国政府采购法》及相关法规的规定处理。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highlight w:val="none"/>
        </w:rPr>
      </w:pPr>
      <w:r>
        <w:rPr>
          <w:rFonts w:ascii="宋体" w:hAnsi="宋体"/>
          <w:color w:val="auto"/>
          <w:sz w:val="24"/>
          <w:szCs w:val="24"/>
          <w:highlight w:val="none"/>
        </w:rPr>
        <w:t xml:space="preserve">7.6.6 </w:t>
      </w:r>
      <w:r>
        <w:rPr>
          <w:rFonts w:hint="eastAsia" w:ascii="宋体" w:hAnsi="宋体"/>
          <w:color w:val="auto"/>
          <w:sz w:val="24"/>
          <w:szCs w:val="24"/>
          <w:highlight w:val="none"/>
        </w:rPr>
        <w:t>采购人与成交供应商签订《政府采购合同》后，合同履行中产生的纠纷、争议，由采购人与成交供应</w:t>
      </w:r>
      <w:r>
        <w:rPr>
          <w:rFonts w:hint="eastAsia"/>
          <w:color w:val="auto"/>
          <w:sz w:val="24"/>
          <w:szCs w:val="24"/>
          <w:highlight w:val="none"/>
        </w:rPr>
        <w:t>商按合同条款及《中华人民共和国民法典》处理。</w:t>
      </w:r>
    </w:p>
    <w:p>
      <w:pPr>
        <w:widowControl w:val="0"/>
        <w:adjustRightInd w:val="0"/>
        <w:snapToGrid w:val="0"/>
        <w:spacing w:before="156"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pPr>
        <w:widowControl w:val="0"/>
        <w:adjustRightInd w:val="0"/>
        <w:snapToGrid w:val="0"/>
        <w:spacing w:before="156" w:beforeLines="50" w:line="300" w:lineRule="auto"/>
        <w:ind w:firstLine="555"/>
        <w:rPr>
          <w:rFonts w:ascii="宋体"/>
          <w:color w:val="auto"/>
          <w:sz w:val="24"/>
          <w:szCs w:val="24"/>
          <w:highlight w:val="none"/>
        </w:rPr>
      </w:pPr>
      <w:r>
        <w:rPr>
          <w:rFonts w:ascii="宋体" w:hAnsi="宋体"/>
          <w:color w:val="auto"/>
          <w:sz w:val="24"/>
          <w:szCs w:val="24"/>
          <w:highlight w:val="none"/>
        </w:rPr>
        <w:t xml:space="preserve">7.7.1 </w:t>
      </w:r>
      <w:r>
        <w:rPr>
          <w:rFonts w:hint="eastAsia" w:ascii="宋体" w:hAnsi="宋体"/>
          <w:color w:val="auto"/>
          <w:sz w:val="24"/>
          <w:szCs w:val="24"/>
          <w:highlight w:val="none"/>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highlight w:val="none"/>
        </w:rPr>
        <w:t>10%</w:t>
      </w:r>
      <w:r>
        <w:rPr>
          <w:rFonts w:hint="eastAsia" w:ascii="宋体" w:hAnsi="宋体"/>
          <w:color w:val="auto"/>
          <w:sz w:val="24"/>
          <w:szCs w:val="24"/>
          <w:highlight w:val="none"/>
        </w:rPr>
        <w:t>，不得调增原合同单价，不得超出项目预算，超过原合同采购金额的</w:t>
      </w:r>
      <w:r>
        <w:rPr>
          <w:rFonts w:ascii="宋体" w:hAnsi="宋体"/>
          <w:color w:val="auto"/>
          <w:sz w:val="24"/>
          <w:szCs w:val="24"/>
          <w:highlight w:val="none"/>
        </w:rPr>
        <w:t>10%</w:t>
      </w:r>
      <w:r>
        <w:rPr>
          <w:rFonts w:hint="eastAsia" w:ascii="宋体" w:hAnsi="宋体"/>
          <w:color w:val="auto"/>
          <w:sz w:val="24"/>
          <w:szCs w:val="24"/>
          <w:highlight w:val="none"/>
        </w:rPr>
        <w:t>，应重新组织采购活动。</w:t>
      </w:r>
    </w:p>
    <w:p>
      <w:pPr>
        <w:widowControl w:val="0"/>
        <w:adjustRightInd w:val="0"/>
        <w:snapToGrid w:val="0"/>
        <w:spacing w:before="156" w:beforeLines="50" w:line="300" w:lineRule="auto"/>
        <w:ind w:firstLine="555"/>
        <w:rPr>
          <w:color w:val="auto"/>
          <w:sz w:val="24"/>
          <w:szCs w:val="24"/>
          <w:highlight w:val="none"/>
        </w:rPr>
      </w:pPr>
      <w:r>
        <w:rPr>
          <w:rFonts w:ascii="宋体" w:hAnsi="宋体"/>
          <w:color w:val="auto"/>
          <w:sz w:val="24"/>
          <w:szCs w:val="24"/>
          <w:highlight w:val="none"/>
        </w:rPr>
        <w:t>7.7.2</w:t>
      </w:r>
      <w:r>
        <w:rPr>
          <w:rFonts w:hint="eastAsia" w:ascii="宋体" w:hAnsi="宋体"/>
          <w:color w:val="auto"/>
          <w:sz w:val="24"/>
          <w:szCs w:val="24"/>
          <w:highlight w:val="none"/>
        </w:rPr>
        <w:t>采购人需追加或减少的货物、工程和服务的金额达到</w:t>
      </w:r>
      <w:r>
        <w:rPr>
          <w:rFonts w:ascii="宋体" w:hAnsi="宋体"/>
          <w:color w:val="auto"/>
          <w:sz w:val="24"/>
          <w:szCs w:val="24"/>
          <w:highlight w:val="none"/>
        </w:rPr>
        <w:t>50</w:t>
      </w:r>
      <w:r>
        <w:rPr>
          <w:rFonts w:hint="eastAsia" w:ascii="宋体" w:hAnsi="宋体"/>
          <w:color w:val="auto"/>
          <w:sz w:val="24"/>
          <w:szCs w:val="24"/>
          <w:highlight w:val="none"/>
        </w:rPr>
        <w:t>万元以</w:t>
      </w:r>
      <w:r>
        <w:rPr>
          <w:rFonts w:hint="eastAsia"/>
          <w:color w:val="auto"/>
          <w:sz w:val="24"/>
          <w:szCs w:val="24"/>
          <w:highlight w:val="none"/>
        </w:rPr>
        <w:t>上（含</w:t>
      </w:r>
      <w:r>
        <w:rPr>
          <w:color w:val="auto"/>
          <w:sz w:val="24"/>
          <w:szCs w:val="24"/>
          <w:highlight w:val="none"/>
        </w:rPr>
        <w:t>50</w:t>
      </w:r>
      <w:r>
        <w:rPr>
          <w:rFonts w:hint="eastAsia"/>
          <w:color w:val="auto"/>
          <w:sz w:val="24"/>
          <w:szCs w:val="24"/>
          <w:highlight w:val="none"/>
        </w:rPr>
        <w:t>万元）、且超过中标（成交）价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采购项目在中标（成交）后经有关行政机关批准变更的，批准的行政机关应当自批准之日起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pPr>
        <w:widowControl w:val="0"/>
        <w:adjustRightInd w:val="0"/>
        <w:snapToGrid w:val="0"/>
        <w:spacing w:before="156" w:beforeLines="50" w:line="300" w:lineRule="auto"/>
        <w:ind w:firstLine="555"/>
        <w:rPr>
          <w:color w:val="auto"/>
          <w:sz w:val="24"/>
          <w:szCs w:val="24"/>
          <w:highlight w:val="none"/>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5" w:name="_Toc529972264"/>
      <w:bookmarkStart w:id="26" w:name="_Toc25463"/>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5"/>
      <w:bookmarkEnd w:id="26"/>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验收时间：所供货物安装调试结束、具备正常使用及验收条件时，由采购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7" w:name="_Toc529972265"/>
      <w:bookmarkStart w:id="28" w:name="_Toc29832"/>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 xml:space="preserve"> 付款</w:t>
      </w:r>
      <w:bookmarkEnd w:id="27"/>
      <w:bookmarkEnd w:id="28"/>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29" w:name="_Toc29986"/>
      <w:bookmarkStart w:id="30" w:name="_Toc529972266"/>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9"/>
      <w:bookmarkEnd w:id="30"/>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10.1 </w:t>
      </w:r>
      <w:r>
        <w:rPr>
          <w:rFonts w:hint="eastAsia" w:ascii="宋体" w:hAnsi="宋体" w:cs="楷体_GB2312"/>
          <w:color w:val="auto"/>
          <w:sz w:val="24"/>
          <w:highlight w:val="none"/>
          <w:lang w:val="zh-CN"/>
        </w:rPr>
        <w:t>中标服务费等：见投标人须知前附表</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10.2 </w:t>
      </w:r>
      <w:r>
        <w:rPr>
          <w:rFonts w:hint="eastAsia" w:ascii="宋体" w:hAnsi="宋体" w:cs="楷体_GB2312"/>
          <w:color w:val="auto"/>
          <w:sz w:val="24"/>
          <w:highlight w:val="none"/>
          <w:lang w:val="zh-CN"/>
        </w:rPr>
        <w:t>同义解释。单一来源采购文件中：“投标”同义“提交响应文件”，“投标人”同义“提交响应文件的供应商”，“投标文件”同义“响应文件”，</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开标”同义“响应文件的开启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投标人资格条件中包含非法人单位的，单一来源采购文件中法定代表人一词相应包含表示证照标示的负责人；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投标人资格条件中包含自然人的，单一来源采购文件中法定代表人一词相应包含表示自然人，自然人应由其本人签署投标文件、参加投标，不应再授权他人。</w:t>
      </w:r>
    </w:p>
    <w:p>
      <w:pPr>
        <w:widowControl w:val="0"/>
        <w:adjustRightInd w:val="0"/>
        <w:snapToGrid w:val="0"/>
        <w:spacing w:before="156" w:beforeLines="50" w:line="276"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10.4</w:t>
      </w:r>
      <w:r>
        <w:rPr>
          <w:rFonts w:hint="eastAsia" w:ascii="宋体" w:hAnsi="宋体" w:cs="楷体_GB2312"/>
          <w:color w:val="auto"/>
          <w:sz w:val="24"/>
          <w:highlight w:val="none"/>
          <w:lang w:val="zh-CN"/>
        </w:rPr>
        <w:t xml:space="preserve"> 单一来源采购文件第一章至第四章各章中，用序号标示条、款、项、目，例如：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pPr>
        <w:widowControl w:val="0"/>
        <w:adjustRightInd w:val="0"/>
        <w:snapToGrid w:val="0"/>
        <w:spacing w:before="156" w:beforeLines="50" w:line="276" w:lineRule="auto"/>
        <w:ind w:firstLine="561"/>
        <w:rPr>
          <w:rFonts w:ascii="宋体" w:hAnsi="宋体" w:cs="楷体_GB2312"/>
          <w:color w:val="auto"/>
          <w:sz w:val="24"/>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1" w:name="_Toc58858635"/>
      <w:bookmarkStart w:id="32" w:name="_Toc33"/>
      <w:r>
        <w:rPr>
          <w:rFonts w:hint="eastAsia" w:ascii="黑体" w:hAnsi="黑体" w:eastAsia="黑体" w:cs="楷体_GB2312"/>
          <w:b/>
          <w:bCs/>
          <w:color w:val="auto"/>
          <w:sz w:val="28"/>
          <w:szCs w:val="28"/>
          <w:highlight w:val="none"/>
          <w:lang w:val="zh-CN"/>
        </w:rPr>
        <w:t>11. 河南省政府采购合同融资政策告知函</w:t>
      </w:r>
      <w:bookmarkEnd w:id="31"/>
      <w:bookmarkEnd w:id="32"/>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pPr>
        <w:widowControl w:val="0"/>
        <w:adjustRightInd w:val="0"/>
        <w:snapToGrid w:val="0"/>
        <w:spacing w:before="156" w:beforeLines="50" w:line="276" w:lineRule="auto"/>
        <w:ind w:firstLine="561"/>
        <w:rPr>
          <w:rFonts w:eastAsia="黑体"/>
          <w:b/>
          <w:color w:val="auto"/>
          <w:sz w:val="24"/>
          <w:szCs w:val="24"/>
          <w:highlight w:val="none"/>
        </w:rPr>
      </w:pPr>
      <w:r>
        <w:rPr>
          <w:rFonts w:eastAsia="黑体"/>
          <w:b/>
          <w:color w:val="auto"/>
          <w:sz w:val="44"/>
          <w:highlight w:val="none"/>
        </w:rPr>
        <w:br w:type="page"/>
      </w:r>
      <w:bookmarkStart w:id="33" w:name="_Toc423723402"/>
    </w:p>
    <w:p>
      <w:pPr>
        <w:widowControl w:val="0"/>
        <w:snapToGrid w:val="0"/>
        <w:spacing w:line="560" w:lineRule="exact"/>
        <w:jc w:val="center"/>
        <w:outlineLvl w:val="0"/>
        <w:rPr>
          <w:rFonts w:eastAsia="黑体"/>
          <w:b/>
          <w:color w:val="auto"/>
          <w:sz w:val="36"/>
          <w:szCs w:val="36"/>
          <w:highlight w:val="none"/>
        </w:rPr>
      </w:pPr>
    </w:p>
    <w:p>
      <w:pPr>
        <w:widowControl w:val="0"/>
        <w:snapToGrid w:val="0"/>
        <w:spacing w:line="560" w:lineRule="exact"/>
        <w:jc w:val="center"/>
        <w:outlineLvl w:val="0"/>
        <w:rPr>
          <w:rFonts w:eastAsia="黑体"/>
          <w:b/>
          <w:color w:val="auto"/>
          <w:sz w:val="36"/>
          <w:szCs w:val="36"/>
          <w:highlight w:val="none"/>
        </w:rPr>
      </w:pPr>
      <w:bookmarkStart w:id="34" w:name="_Toc49"/>
      <w:r>
        <w:rPr>
          <w:rFonts w:hint="eastAsia" w:eastAsia="黑体"/>
          <w:b/>
          <w:color w:val="auto"/>
          <w:sz w:val="36"/>
          <w:szCs w:val="36"/>
          <w:highlight w:val="none"/>
        </w:rPr>
        <w:t>第四章</w:t>
      </w:r>
      <w:r>
        <w:rPr>
          <w:rFonts w:eastAsia="黑体"/>
          <w:b/>
          <w:color w:val="auto"/>
          <w:sz w:val="36"/>
          <w:szCs w:val="36"/>
          <w:highlight w:val="none"/>
        </w:rPr>
        <w:t xml:space="preserve"> </w:t>
      </w:r>
      <w:r>
        <w:rPr>
          <w:rFonts w:hint="eastAsia" w:eastAsia="黑体"/>
          <w:b/>
          <w:color w:val="auto"/>
          <w:sz w:val="36"/>
          <w:szCs w:val="36"/>
          <w:highlight w:val="none"/>
        </w:rPr>
        <w:t xml:space="preserve"> 评审办法</w:t>
      </w:r>
      <w:bookmarkEnd w:id="33"/>
      <w:bookmarkEnd w:id="34"/>
    </w:p>
    <w:p>
      <w:pPr>
        <w:widowControl w:val="0"/>
        <w:snapToGrid w:val="0"/>
        <w:spacing w:line="276" w:lineRule="auto"/>
        <w:ind w:firstLine="567"/>
        <w:jc w:val="center"/>
        <w:outlineLvl w:val="0"/>
        <w:rPr>
          <w:b/>
          <w:color w:val="auto"/>
          <w:sz w:val="24"/>
          <w:szCs w:val="24"/>
          <w:highlight w:val="none"/>
        </w:rPr>
      </w:pPr>
    </w:p>
    <w:p>
      <w:pPr>
        <w:spacing w:line="500" w:lineRule="exact"/>
        <w:jc w:val="left"/>
        <w:outlineLvl w:val="1"/>
        <w:rPr>
          <w:rFonts w:ascii="黑体" w:hAnsi="黑体" w:eastAsia="黑体"/>
          <w:b/>
          <w:color w:val="auto"/>
          <w:sz w:val="28"/>
          <w:szCs w:val="28"/>
          <w:highlight w:val="none"/>
          <w:lang w:val="zh-CN"/>
        </w:rPr>
      </w:pPr>
      <w:bookmarkStart w:id="35" w:name="_Toc1670"/>
      <w:r>
        <w:rPr>
          <w:rFonts w:hint="eastAsia" w:ascii="黑体" w:hAnsi="黑体" w:eastAsia="黑体"/>
          <w:b/>
          <w:color w:val="auto"/>
          <w:sz w:val="28"/>
          <w:szCs w:val="28"/>
          <w:highlight w:val="none"/>
        </w:rPr>
        <w:t>评审办法前附表</w:t>
      </w:r>
      <w:bookmarkEnd w:id="35"/>
    </w:p>
    <w:tbl>
      <w:tblPr>
        <w:tblStyle w:val="25"/>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67"/>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pPr>
              <w:pStyle w:val="67"/>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pPr>
              <w:pStyle w:val="67"/>
              <w:jc w:val="center"/>
              <w:rPr>
                <w:rFonts w:hAnsi="宋体"/>
                <w:b/>
                <w:color w:val="auto"/>
                <w:szCs w:val="24"/>
                <w:highlight w:val="none"/>
              </w:rPr>
            </w:pPr>
            <w:r>
              <w:rPr>
                <w:rFonts w:hint="eastAsia" w:hAnsi="宋体"/>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67"/>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pPr>
              <w:pStyle w:val="67"/>
              <w:jc w:val="center"/>
              <w:rPr>
                <w:rFonts w:hAnsi="宋体"/>
                <w:color w:val="auto"/>
                <w:szCs w:val="24"/>
                <w:highlight w:val="none"/>
              </w:rPr>
            </w:pPr>
            <w:r>
              <w:rPr>
                <w:rFonts w:hint="eastAsia" w:hAnsi="宋体"/>
                <w:color w:val="auto"/>
                <w:szCs w:val="24"/>
                <w:highlight w:val="none"/>
              </w:rPr>
              <w:t>资</w:t>
            </w:r>
          </w:p>
          <w:p>
            <w:pPr>
              <w:pStyle w:val="67"/>
              <w:jc w:val="center"/>
              <w:rPr>
                <w:rFonts w:hAnsi="宋体"/>
                <w:color w:val="auto"/>
                <w:szCs w:val="24"/>
                <w:highlight w:val="none"/>
              </w:rPr>
            </w:pPr>
            <w:r>
              <w:rPr>
                <w:rFonts w:hint="eastAsia" w:hAnsi="宋体"/>
                <w:color w:val="auto"/>
                <w:szCs w:val="24"/>
                <w:highlight w:val="none"/>
              </w:rPr>
              <w:t>格</w:t>
            </w:r>
          </w:p>
          <w:p>
            <w:pPr>
              <w:pStyle w:val="67"/>
              <w:jc w:val="center"/>
              <w:rPr>
                <w:rFonts w:hAnsi="宋体"/>
                <w:color w:val="auto"/>
                <w:szCs w:val="24"/>
                <w:highlight w:val="none"/>
              </w:rPr>
            </w:pPr>
            <w:r>
              <w:rPr>
                <w:rFonts w:hint="eastAsia" w:hAnsi="宋体"/>
                <w:color w:val="auto"/>
                <w:szCs w:val="24"/>
                <w:highlight w:val="none"/>
              </w:rPr>
              <w:t>性</w:t>
            </w:r>
          </w:p>
          <w:p>
            <w:pPr>
              <w:pStyle w:val="67"/>
              <w:jc w:val="center"/>
              <w:rPr>
                <w:rFonts w:hAnsi="宋体"/>
                <w:color w:val="auto"/>
                <w:szCs w:val="24"/>
                <w:highlight w:val="none"/>
              </w:rPr>
            </w:pPr>
            <w:r>
              <w:rPr>
                <w:rFonts w:hint="eastAsia" w:hAnsi="宋体"/>
                <w:color w:val="auto"/>
                <w:szCs w:val="24"/>
                <w:highlight w:val="none"/>
              </w:rPr>
              <w:t>审</w:t>
            </w:r>
          </w:p>
          <w:p>
            <w:pPr>
              <w:pStyle w:val="67"/>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pPr>
              <w:widowControl w:val="0"/>
              <w:snapToGrid w:val="0"/>
              <w:spacing w:line="240" w:lineRule="auto"/>
              <w:rPr>
                <w:rFonts w:ascii="宋体"/>
                <w:color w:val="auto"/>
                <w:sz w:val="24"/>
                <w:szCs w:val="24"/>
                <w:highlight w:val="none"/>
              </w:rPr>
            </w:pPr>
            <w:r>
              <w:rPr>
                <w:rFonts w:hint="eastAsia"/>
                <w:color w:val="auto"/>
                <w:sz w:val="24"/>
                <w:szCs w:val="24"/>
                <w:highlight w:val="none"/>
              </w:rPr>
              <w:t>第一章“谈判邀请函”第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符合第一章“谈判邀请函”第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3177" w:type="dxa"/>
            <w:gridSpan w:val="2"/>
            <w:vAlign w:val="center"/>
          </w:tcPr>
          <w:p>
            <w:pPr>
              <w:widowControl w:val="0"/>
              <w:snapToGrid w:val="0"/>
              <w:spacing w:line="240" w:lineRule="auto"/>
              <w:rPr>
                <w:color w:val="auto"/>
                <w:sz w:val="24"/>
                <w:szCs w:val="24"/>
                <w:highlight w:val="none"/>
              </w:rPr>
            </w:pPr>
            <w:r>
              <w:rPr>
                <w:rFonts w:hint="eastAsia"/>
                <w:color w:val="auto"/>
                <w:sz w:val="24"/>
                <w:szCs w:val="24"/>
                <w:highlight w:val="none"/>
              </w:rPr>
              <w:t>投标承诺函</w:t>
            </w:r>
          </w:p>
          <w:p>
            <w:pPr>
              <w:widowControl w:val="0"/>
              <w:snapToGrid w:val="0"/>
              <w:spacing w:line="240" w:lineRule="auto"/>
              <w:rPr>
                <w:color w:val="auto"/>
                <w:sz w:val="24"/>
                <w:szCs w:val="24"/>
                <w:highlight w:val="none"/>
              </w:rPr>
            </w:pPr>
            <w:r>
              <w:rPr>
                <w:rFonts w:hint="eastAsia"/>
                <w:color w:val="auto"/>
                <w:sz w:val="24"/>
                <w:szCs w:val="24"/>
                <w:highlight w:val="none"/>
              </w:rPr>
              <w:t>(替代投标保证金)</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3177" w:type="dxa"/>
            <w:gridSpan w:val="2"/>
            <w:vAlign w:val="center"/>
          </w:tcPr>
          <w:p>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67"/>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pPr>
              <w:pStyle w:val="67"/>
              <w:spacing w:line="360" w:lineRule="auto"/>
              <w:jc w:val="center"/>
              <w:rPr>
                <w:rFonts w:hAnsi="宋体"/>
                <w:color w:val="auto"/>
                <w:szCs w:val="24"/>
                <w:highlight w:val="none"/>
              </w:rPr>
            </w:pPr>
            <w:r>
              <w:rPr>
                <w:rFonts w:hint="eastAsia" w:hAnsi="宋体"/>
                <w:color w:val="auto"/>
                <w:szCs w:val="24"/>
                <w:highlight w:val="none"/>
              </w:rPr>
              <w:t>符</w:t>
            </w:r>
          </w:p>
          <w:p>
            <w:pPr>
              <w:pStyle w:val="67"/>
              <w:spacing w:line="360" w:lineRule="auto"/>
              <w:jc w:val="center"/>
              <w:rPr>
                <w:rFonts w:hAnsi="宋体"/>
                <w:color w:val="auto"/>
                <w:szCs w:val="24"/>
                <w:highlight w:val="none"/>
              </w:rPr>
            </w:pPr>
            <w:r>
              <w:rPr>
                <w:rFonts w:hint="eastAsia" w:hAnsi="宋体"/>
                <w:color w:val="auto"/>
                <w:szCs w:val="24"/>
                <w:highlight w:val="none"/>
              </w:rPr>
              <w:t>合</w:t>
            </w:r>
          </w:p>
          <w:p>
            <w:pPr>
              <w:pStyle w:val="67"/>
              <w:spacing w:line="360" w:lineRule="auto"/>
              <w:jc w:val="center"/>
              <w:rPr>
                <w:rFonts w:hAnsi="宋体"/>
                <w:color w:val="auto"/>
                <w:szCs w:val="24"/>
                <w:highlight w:val="none"/>
              </w:rPr>
            </w:pPr>
            <w:r>
              <w:rPr>
                <w:rFonts w:hint="eastAsia" w:hAnsi="宋体"/>
                <w:color w:val="auto"/>
                <w:szCs w:val="24"/>
                <w:highlight w:val="none"/>
              </w:rPr>
              <w:t>性</w:t>
            </w:r>
          </w:p>
          <w:p>
            <w:pPr>
              <w:pStyle w:val="67"/>
              <w:spacing w:line="360" w:lineRule="auto"/>
              <w:jc w:val="center"/>
              <w:rPr>
                <w:rFonts w:hAnsi="宋体"/>
                <w:color w:val="auto"/>
                <w:szCs w:val="24"/>
                <w:highlight w:val="none"/>
              </w:rPr>
            </w:pPr>
            <w:r>
              <w:rPr>
                <w:rFonts w:hint="eastAsia" w:hAnsi="宋体"/>
                <w:color w:val="auto"/>
                <w:szCs w:val="24"/>
                <w:highlight w:val="none"/>
              </w:rPr>
              <w:t>审</w:t>
            </w:r>
          </w:p>
          <w:p>
            <w:pPr>
              <w:pStyle w:val="67"/>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w:t>
            </w:r>
            <w:r>
              <w:rPr>
                <w:rFonts w:hint="eastAsia" w:hAnsi="宋体"/>
                <w:color w:val="auto"/>
                <w:szCs w:val="24"/>
                <w:highlight w:val="none"/>
              </w:rPr>
              <w:t>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restart"/>
            <w:vAlign w:val="center"/>
          </w:tcPr>
          <w:p>
            <w:pPr>
              <w:pStyle w:val="67"/>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符合第二章“采购项目及技术要求”</w:t>
            </w:r>
            <w:r>
              <w:rPr>
                <w:rFonts w:hAnsi="宋体"/>
                <w:color w:val="auto"/>
                <w:szCs w:val="24"/>
                <w:highlight w:val="none"/>
              </w:rPr>
              <w:t>1.3</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投标内容</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符合第二章“采购项目及技术要求”</w:t>
            </w:r>
            <w:r>
              <w:rPr>
                <w:rFonts w:hAnsi="宋体"/>
                <w:color w:val="auto"/>
                <w:szCs w:val="24"/>
                <w:highlight w:val="none"/>
              </w:rPr>
              <w:t>2</w:t>
            </w:r>
            <w:r>
              <w:rPr>
                <w:rFonts w:hint="eastAsia" w:hAnsi="宋体"/>
                <w:color w:val="auto"/>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交验期、交验地</w:t>
            </w:r>
          </w:p>
        </w:tc>
        <w:tc>
          <w:tcPr>
            <w:tcW w:w="5736" w:type="dxa"/>
            <w:vAlign w:val="center"/>
          </w:tcPr>
          <w:p>
            <w:pPr>
              <w:pStyle w:val="67"/>
              <w:adjustRightInd/>
              <w:snapToGrid w:val="0"/>
              <w:jc w:val="both"/>
              <w:rPr>
                <w:rFonts w:hAnsi="宋体"/>
                <w:color w:val="auto"/>
                <w:szCs w:val="24"/>
                <w:highlight w:val="none"/>
              </w:rPr>
            </w:pPr>
            <w:r>
              <w:rPr>
                <w:rFonts w:hint="eastAsia" w:hAnsi="宋体"/>
                <w:color w:val="auto"/>
                <w:szCs w:val="24"/>
                <w:highlight w:val="none"/>
              </w:rPr>
              <w:t>符合第二章“采购项目及技术要求”</w:t>
            </w:r>
            <w:r>
              <w:rPr>
                <w:rFonts w:hAnsi="宋体"/>
                <w:color w:val="auto"/>
                <w:szCs w:val="24"/>
                <w:highlight w:val="none"/>
              </w:rPr>
              <w:t>1.2</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vAlign w:val="center"/>
          </w:tcPr>
          <w:p>
            <w:pPr>
              <w:pStyle w:val="67"/>
              <w:adjustRightInd/>
              <w:snapToGrid w:val="0"/>
              <w:jc w:val="both"/>
              <w:rPr>
                <w:rFonts w:hAnsi="宋体"/>
                <w:color w:val="auto"/>
                <w:szCs w:val="24"/>
                <w:highlight w:val="none"/>
              </w:rPr>
            </w:pPr>
            <w:r>
              <w:rPr>
                <w:rFonts w:hint="eastAsia" w:hAnsi="宋体"/>
                <w:color w:val="auto"/>
                <w:szCs w:val="24"/>
                <w:highlight w:val="none"/>
              </w:rPr>
              <w:t>符合第二章“采购项目及技术要求”第</w:t>
            </w:r>
            <w:r>
              <w:rPr>
                <w:rFonts w:hAnsi="宋体"/>
                <w:color w:val="auto"/>
                <w:szCs w:val="24"/>
                <w:highlight w:val="none"/>
              </w:rPr>
              <w:t>2</w:t>
            </w:r>
            <w:r>
              <w:rPr>
                <w:rFonts w:hint="eastAsia" w:hAnsi="宋体"/>
                <w:color w:val="auto"/>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售后服务</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s="宋体"/>
                <w:color w:val="auto"/>
                <w:szCs w:val="24"/>
                <w:highlight w:val="none"/>
              </w:rPr>
              <w:t>2.</w:t>
            </w:r>
            <w:r>
              <w:rPr>
                <w:rFonts w:hint="eastAsia" w:hAnsi="宋体" w:cs="宋体"/>
                <w:color w:val="auto"/>
                <w:szCs w:val="24"/>
                <w:highlight w:val="none"/>
              </w:rPr>
              <w:t>8款</w:t>
            </w:r>
            <w:r>
              <w:rPr>
                <w:rFonts w:hint="eastAsia" w:hAnsi="宋体"/>
                <w:color w:val="auto"/>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pPr>
              <w:pStyle w:val="67"/>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符合第三章“投标人须知”第9条规定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pStyle w:val="67"/>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snapToGrid w:val="0"/>
              <w:spacing w:line="240" w:lineRule="auto"/>
              <w:jc w:val="center"/>
              <w:rPr>
                <w:rFonts w:ascii="宋体"/>
                <w:color w:val="auto"/>
                <w:sz w:val="24"/>
                <w:highlight w:val="none"/>
              </w:rPr>
            </w:pPr>
            <w:r>
              <w:rPr>
                <w:rFonts w:hint="eastAsia" w:ascii="宋体" w:hAnsi="宋体"/>
                <w:color w:val="auto"/>
                <w:sz w:val="24"/>
                <w:highlight w:val="none"/>
              </w:rPr>
              <w:t>单一来源采购文件总体响应</w:t>
            </w:r>
          </w:p>
        </w:tc>
        <w:tc>
          <w:tcPr>
            <w:tcW w:w="5736" w:type="dxa"/>
            <w:vAlign w:val="center"/>
          </w:tcPr>
          <w:p>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pStyle w:val="67"/>
              <w:adjustRightInd/>
              <w:snapToGrid w:val="0"/>
              <w:jc w:val="center"/>
              <w:rPr>
                <w:rFonts w:hAnsi="宋体"/>
                <w:color w:val="auto"/>
                <w:szCs w:val="24"/>
                <w:highlight w:val="none"/>
              </w:rPr>
            </w:pPr>
          </w:p>
        </w:tc>
        <w:tc>
          <w:tcPr>
            <w:tcW w:w="2217" w:type="dxa"/>
            <w:vAlign w:val="center"/>
          </w:tcPr>
          <w:p>
            <w:pPr>
              <w:snapToGrid w:val="0"/>
              <w:spacing w:line="240" w:lineRule="auto"/>
              <w:jc w:val="center"/>
              <w:rPr>
                <w:rFonts w:ascii="宋体" w:hAnsi="宋体"/>
                <w:color w:val="auto"/>
                <w:sz w:val="24"/>
                <w:highlight w:val="none"/>
              </w:rPr>
            </w:pPr>
            <w:r>
              <w:rPr>
                <w:rFonts w:hint="eastAsia" w:ascii="宋体" w:hAnsi="宋体"/>
                <w:color w:val="auto"/>
                <w:sz w:val="24"/>
                <w:highlight w:val="none"/>
              </w:rPr>
              <w:t>中小企业承诺函</w:t>
            </w:r>
          </w:p>
        </w:tc>
        <w:tc>
          <w:tcPr>
            <w:tcW w:w="5736" w:type="dxa"/>
            <w:vAlign w:val="center"/>
          </w:tcPr>
          <w:p>
            <w:pPr>
              <w:autoSpaceDE w:val="0"/>
              <w:autoSpaceDN w:val="0"/>
              <w:snapToGrid w:val="0"/>
              <w:spacing w:line="240" w:lineRule="auto"/>
              <w:rPr>
                <w:rFonts w:ascii="宋体" w:hAnsi="宋体"/>
                <w:color w:val="auto"/>
                <w:sz w:val="24"/>
                <w:highlight w:val="none"/>
              </w:rPr>
            </w:pPr>
            <w:r>
              <w:rPr>
                <w:rFonts w:hint="eastAsia" w:ascii="宋体" w:hAnsi="宋体"/>
                <w:color w:val="auto"/>
                <w:sz w:val="24"/>
                <w:highlight w:val="none"/>
              </w:rPr>
              <w:t>符合附件规定。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pPr>
              <w:pStyle w:val="67"/>
              <w:spacing w:line="360" w:lineRule="auto"/>
              <w:jc w:val="center"/>
              <w:rPr>
                <w:rFonts w:hAnsi="宋体"/>
                <w:color w:val="auto"/>
                <w:szCs w:val="24"/>
                <w:highlight w:val="none"/>
              </w:rPr>
            </w:pPr>
          </w:p>
        </w:tc>
        <w:tc>
          <w:tcPr>
            <w:tcW w:w="560" w:type="dxa"/>
            <w:vMerge w:val="continue"/>
            <w:vAlign w:val="center"/>
          </w:tcPr>
          <w:p>
            <w:pPr>
              <w:pStyle w:val="67"/>
              <w:spacing w:line="360" w:lineRule="auto"/>
              <w:jc w:val="center"/>
              <w:rPr>
                <w:rFonts w:hAnsi="宋体"/>
                <w:color w:val="auto"/>
                <w:szCs w:val="24"/>
                <w:highlight w:val="none"/>
              </w:rPr>
            </w:pPr>
          </w:p>
        </w:tc>
        <w:tc>
          <w:tcPr>
            <w:tcW w:w="960" w:type="dxa"/>
            <w:vMerge w:val="continue"/>
            <w:vAlign w:val="center"/>
          </w:tcPr>
          <w:p>
            <w:pPr>
              <w:snapToGrid w:val="0"/>
              <w:spacing w:line="240" w:lineRule="auto"/>
              <w:jc w:val="center"/>
              <w:rPr>
                <w:rFonts w:ascii="宋体"/>
                <w:color w:val="auto"/>
                <w:sz w:val="24"/>
                <w:highlight w:val="none"/>
              </w:rPr>
            </w:pPr>
          </w:p>
        </w:tc>
        <w:tc>
          <w:tcPr>
            <w:tcW w:w="2217" w:type="dxa"/>
            <w:vAlign w:val="center"/>
          </w:tcPr>
          <w:p>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736" w:type="dxa"/>
            <w:vAlign w:val="center"/>
          </w:tcPr>
          <w:p>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如涉及台式计算机、便携式计算机、一体式计算机、工作站、通用服务器、操作系统、数据库的，符合第六章16-2附件要求。</w:t>
            </w:r>
          </w:p>
        </w:tc>
      </w:tr>
    </w:tbl>
    <w:p>
      <w:pPr>
        <w:autoSpaceDE w:val="0"/>
        <w:autoSpaceDN w:val="0"/>
        <w:adjustRightInd w:val="0"/>
        <w:spacing w:line="360" w:lineRule="auto"/>
        <w:jc w:val="left"/>
        <w:rPr>
          <w:rFonts w:ascii="黑体" w:hAnsi="黑体" w:eastAsia="黑体" w:cs="楷体_GB2312"/>
          <w:b/>
          <w:bCs/>
          <w:color w:val="auto"/>
          <w:sz w:val="28"/>
          <w:szCs w:val="28"/>
          <w:highlight w:val="none"/>
          <w:lang w:val="zh-CN"/>
        </w:rPr>
      </w:pPr>
    </w:p>
    <w:p>
      <w:pPr>
        <w:spacing w:line="240" w:lineRule="auto"/>
        <w:jc w:val="left"/>
        <w:textAlignment w:val="auto"/>
        <w:rPr>
          <w:rFonts w:ascii="黑体" w:hAnsi="黑体" w:eastAsia="黑体" w:cs="楷体_GB2312"/>
          <w:b/>
          <w:bCs/>
          <w:color w:val="auto"/>
          <w:sz w:val="28"/>
          <w:szCs w:val="28"/>
          <w:highlight w:val="none"/>
          <w:lang w:val="zh-CN"/>
        </w:rPr>
      </w:pPr>
    </w:p>
    <w:p>
      <w:pPr>
        <w:spacing w:line="240" w:lineRule="auto"/>
        <w:jc w:val="left"/>
        <w:textAlignment w:val="auto"/>
        <w:rPr>
          <w:rFonts w:ascii="黑体" w:hAnsi="黑体" w:eastAsia="黑体" w:cs="楷体_GB2312"/>
          <w:b/>
          <w:bCs/>
          <w:color w:val="auto"/>
          <w:sz w:val="28"/>
          <w:szCs w:val="28"/>
          <w:highlight w:val="none"/>
          <w:lang w:val="zh-CN"/>
        </w:rPr>
      </w:pPr>
    </w:p>
    <w:p>
      <w:pPr>
        <w:pStyle w:val="67"/>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6" w:name="_Toc25322"/>
      <w:r>
        <w:rPr>
          <w:rFonts w:ascii="黑体" w:hAnsi="黑体" w:eastAsia="黑体" w:cs="楷体_GB2312"/>
          <w:b/>
          <w:bCs/>
          <w:color w:val="auto"/>
          <w:sz w:val="28"/>
          <w:szCs w:val="28"/>
          <w:highlight w:val="none"/>
          <w:u w:color="000000"/>
          <w:lang w:val="zh-CN"/>
        </w:rPr>
        <w:t xml:space="preserve">1. </w:t>
      </w:r>
      <w:r>
        <w:rPr>
          <w:rFonts w:hint="eastAsia" w:ascii="黑体" w:hAnsi="黑体" w:eastAsia="黑体" w:cs="楷体_GB2312"/>
          <w:b/>
          <w:bCs/>
          <w:color w:val="auto"/>
          <w:sz w:val="28"/>
          <w:szCs w:val="28"/>
          <w:highlight w:val="none"/>
          <w:u w:color="000000"/>
          <w:lang w:val="zh-CN"/>
        </w:rPr>
        <w:t>评审方法（评定成交的标准）</w:t>
      </w:r>
      <w:bookmarkEnd w:id="36"/>
    </w:p>
    <w:p>
      <w:pPr>
        <w:autoSpaceDE w:val="0"/>
        <w:autoSpaceDN w:val="0"/>
        <w:adjustRightInd w:val="0"/>
        <w:snapToGrid w:val="0"/>
        <w:spacing w:before="156"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本次政府采购项目（标段&lt;包&gt;）按照最低评标价法确定成交供应商，即在符合采购需求、提供的产品质量和服务均能满足采购文件规定的实质性要求且最后报价最低的原则确定各标段（包）成交供应商。</w:t>
      </w:r>
    </w:p>
    <w:p>
      <w:pPr>
        <w:autoSpaceDE w:val="0"/>
        <w:autoSpaceDN w:val="0"/>
        <w:adjustRightInd w:val="0"/>
        <w:snapToGrid w:val="0"/>
        <w:spacing w:before="156" w:beforeLines="50" w:line="300" w:lineRule="auto"/>
        <w:ind w:firstLine="619" w:firstLineChars="257"/>
        <w:jc w:val="left"/>
        <w:rPr>
          <w:b/>
          <w:color w:val="auto"/>
          <w:sz w:val="24"/>
          <w:szCs w:val="24"/>
          <w:highlight w:val="none"/>
        </w:rPr>
      </w:pPr>
      <w:r>
        <w:rPr>
          <w:rFonts w:hint="eastAsia"/>
          <w:b/>
          <w:color w:val="auto"/>
          <w:sz w:val="24"/>
          <w:szCs w:val="24"/>
          <w:highlight w:val="none"/>
        </w:rPr>
        <w:t>评标方式为远程异地评标。</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p>
    <w:p>
      <w:pPr>
        <w:pStyle w:val="67"/>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7" w:name="_Toc14020"/>
      <w:bookmarkStart w:id="38" w:name="_Toc423723403"/>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37"/>
      <w:bookmarkEnd w:id="38"/>
    </w:p>
    <w:p>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pPr>
        <w:autoSpaceDE w:val="0"/>
        <w:autoSpaceDN w:val="0"/>
        <w:adjustRightInd w:val="0"/>
        <w:snapToGrid w:val="0"/>
        <w:spacing w:before="156" w:beforeLines="50" w:line="300" w:lineRule="auto"/>
        <w:ind w:left="540" w:leftChars="257"/>
        <w:jc w:val="left"/>
        <w:rPr>
          <w:rFonts w:ascii="宋体"/>
          <w:color w:val="auto"/>
          <w:sz w:val="24"/>
          <w:highlight w:val="none"/>
        </w:rPr>
      </w:pPr>
    </w:p>
    <w:p>
      <w:pPr>
        <w:pStyle w:val="67"/>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39" w:name="_Toc423723405"/>
      <w:bookmarkStart w:id="40" w:name="_Toc6810"/>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39"/>
      <w:bookmarkEnd w:id="40"/>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谈判小组按标段（包）进行评审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确认单一来源采购文件</w:t>
      </w:r>
    </w:p>
    <w:p>
      <w:pPr>
        <w:pStyle w:val="67"/>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谈判小组确认单一来源采购文件，单一来源采购文件内容违反国家有关强制性规定的，谈判小组应当停止评审并向采购人或者采购代理机构书面说明情况。</w:t>
      </w:r>
    </w:p>
    <w:p>
      <w:pPr>
        <w:pStyle w:val="67"/>
        <w:snapToGrid w:val="0"/>
        <w:spacing w:before="156" w:beforeLines="50" w:line="300" w:lineRule="auto"/>
        <w:ind w:firstLine="480" w:firstLineChars="200"/>
        <w:jc w:val="both"/>
        <w:rPr>
          <w:rFonts w:hAnsi="宋体"/>
          <w:color w:val="auto"/>
          <w:highlight w:val="none"/>
        </w:rPr>
      </w:pPr>
      <w:r>
        <w:rPr>
          <w:rFonts w:hAnsi="宋体"/>
          <w:color w:val="auto"/>
          <w:highlight w:val="none"/>
        </w:rPr>
        <w:t>3.1.2</w:t>
      </w:r>
      <w:r>
        <w:rPr>
          <w:rFonts w:hint="eastAsia" w:hAnsi="宋体"/>
          <w:color w:val="auto"/>
          <w:highlight w:val="none"/>
        </w:rPr>
        <w:t xml:space="preserve"> 谈判小组</w:t>
      </w:r>
      <w:r>
        <w:rPr>
          <w:rFonts w:hint="eastAsia" w:ascii="??" w:hAnsi="??" w:cs="宋体"/>
          <w:color w:val="auto"/>
          <w:szCs w:val="21"/>
          <w:highlight w:val="none"/>
        </w:rPr>
        <w:t>要求解释</w:t>
      </w:r>
      <w:r>
        <w:rPr>
          <w:rFonts w:hint="eastAsia" w:hAnsi="宋体"/>
          <w:color w:val="auto"/>
          <w:highlight w:val="none"/>
        </w:rPr>
        <w:t>单一来源采购文件的，书面提出需解释的相关单一来源采购文件的具体内容后、由采购代理机构或者采购人进行书面解释。</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bookmarkStart w:id="41" w:name="_Toc423723406"/>
      <w:r>
        <w:rPr>
          <w:rFonts w:ascii="黑体" w:hAnsi="黑体" w:eastAsia="黑体"/>
          <w:b/>
          <w:color w:val="auto"/>
          <w:sz w:val="24"/>
          <w:highlight w:val="none"/>
        </w:rPr>
        <w:t>3.2</w:t>
      </w:r>
      <w:bookmarkEnd w:id="41"/>
      <w:r>
        <w:rPr>
          <w:rFonts w:hint="eastAsia" w:ascii="黑体" w:hAnsi="黑体" w:eastAsia="黑体"/>
          <w:b/>
          <w:color w:val="auto"/>
          <w:sz w:val="24"/>
          <w:highlight w:val="none"/>
        </w:rPr>
        <w:t xml:space="preserve"> 初步评审</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 xml:space="preserve"> 谈判小组依据本章第2.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1.2</w:t>
      </w:r>
      <w:r>
        <w:rPr>
          <w:rFonts w:hint="eastAsia" w:ascii="宋体" w:hAnsi="宋体"/>
          <w:color w:val="auto"/>
          <w:sz w:val="24"/>
          <w:highlight w:val="none"/>
        </w:rPr>
        <w:t>款规定的标准对投标文件进行资格性、符合性评审。有一项不符合评审标准的，作无效投标处理。</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）投标人不符合国家或者单一来源采购文件规定的资格条件；</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）投标人没有按照单一来源采购文件要求提供投标承诺函；</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）投标联合体不符合单一来源采购文件规定；</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）投标文件的签字盖章不符合单一来源采购文件规定；</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）投标报价高于谈判邀请函公布的预算金额；</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）同一投标人提交两个以上不同的投标文件（响应文件）或者投标报价，投标文件（响应文件）的每种报价有两个报价或其他选择性报价的。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）投标文件（响应文件）没有对单一来源采购文件的实质性要求和条件作出实质性响应，或不符合单一来源采购文件的实质性要求和条件；</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）提供虚假材料谋取中标（成交）的。</w:t>
      </w:r>
    </w:p>
    <w:p>
      <w:pPr>
        <w:autoSpaceDE w:val="0"/>
        <w:autoSpaceDN w:val="0"/>
        <w:adjustRightInd w:val="0"/>
        <w:snapToGrid w:val="0"/>
        <w:spacing w:before="156" w:beforeLines="50" w:line="300" w:lineRule="auto"/>
        <w:ind w:firstLine="600" w:firstLineChars="250"/>
        <w:rPr>
          <w:rFonts w:ascii="宋体" w:hAnsi="宋体"/>
          <w:b/>
          <w:color w:val="auto"/>
          <w:sz w:val="24"/>
          <w:highlight w:val="none"/>
        </w:rPr>
      </w:pPr>
      <w:r>
        <w:rPr>
          <w:rFonts w:hint="eastAsia" w:ascii="宋体" w:hAnsi="宋体"/>
          <w:color w:val="auto"/>
          <w:sz w:val="24"/>
          <w:highlight w:val="none"/>
        </w:rPr>
        <w:t xml:space="preserve">(12)据豫财购〔2021〕6号文件精神，工程领域招标投标行政主管部门对供应商串通投标等予以市场禁入的，在本次政府采购活动中，该供应商投标(响应)文件无效。 </w:t>
      </w:r>
      <w:r>
        <w:rPr>
          <w:rFonts w:hint="eastAsia" w:ascii="宋体" w:hAnsi="宋体"/>
          <w:b/>
          <w:color w:val="auto"/>
          <w:sz w:val="24"/>
          <w:highlight w:val="none"/>
        </w:rPr>
        <w:t>待定</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color w:val="auto"/>
          <w:sz w:val="24"/>
          <w:highlight w:val="none"/>
        </w:rPr>
        <w:t>（13）如涉及台式计算机、便携式计算机、一体式计算机、工作站、通用服务器、操作系统、数据库的，不符合第六章16-2附件要求。</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未实质性响应单一来源采购文件的响应文件按无效处理，谈判小组应当通过评审界面的对话框告知有关供应商。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highlight w:val="none"/>
        </w:rPr>
        <w:t>投标将被拒绝。</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谈判小组负责审查确定每一投标项目（标段&lt;包&gt;）是否对单一来源采购文件的实质性要求作出了实质性的响应，而没有重大偏离和保留。实质性响应的投标是指投标符合单一来源采购文件的所有条款、条件和规定且没有重大偏离和保留（重大偏离和保留是指影响到单一来源采购文件和投标人的义务的规定，而纠正这些偏离将影响到其他提交实质性响应投标人的公平竞争地位）。</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谈判小组判断投标文件（响应文件）的响应性仅基于投标文件（响应文件）本身而不靠外部证据。</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谈判小组拒绝被确定为非实质性响应的投标人，投标人不得通过修正或撤销不符之处而使其投标成为实质性响应的投标。</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详细评审</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 xml:space="preserve"> 执行促进中小企业发展扶持政策。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xml:space="preserve">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投标文件（响应文件）的澄清</w:t>
      </w:r>
    </w:p>
    <w:p>
      <w:pPr>
        <w:autoSpaceDE w:val="0"/>
        <w:autoSpaceDN w:val="0"/>
        <w:adjustRightInd w:val="0"/>
        <w:snapToGrid w:val="0"/>
        <w:spacing w:before="156" w:beforeLines="50" w:line="300" w:lineRule="auto"/>
        <w:ind w:firstLine="569" w:firstLineChars="236"/>
        <w:jc w:val="left"/>
        <w:rPr>
          <w:rFonts w:ascii="宋体"/>
          <w:b/>
          <w:color w:val="auto"/>
          <w:sz w:val="24"/>
          <w:highlight w:val="none"/>
        </w:rPr>
      </w:pPr>
      <w:r>
        <w:rPr>
          <w:rFonts w:hint="eastAsia" w:ascii="宋体" w:hAnsi="宋体"/>
          <w:b/>
          <w:color w:val="auto"/>
          <w:sz w:val="24"/>
          <w:highlight w:val="none"/>
        </w:rPr>
        <w:t>投标文件（响应文件）的澄清在谈判邀请函所述网上电子交易系统进行。</w:t>
      </w:r>
    </w:p>
    <w:p>
      <w:pPr>
        <w:autoSpaceDE w:val="0"/>
        <w:autoSpaceDN w:val="0"/>
        <w:adjustRightInd w:val="0"/>
        <w:snapToGrid w:val="0"/>
        <w:spacing w:before="156" w:beforeLines="50" w:line="300" w:lineRule="auto"/>
        <w:ind w:firstLine="569" w:firstLineChars="236"/>
        <w:jc w:val="left"/>
        <w:rPr>
          <w:rFonts w:ascii="宋体"/>
          <w:b/>
          <w:color w:val="auto"/>
          <w:sz w:val="24"/>
          <w:highlight w:val="none"/>
        </w:rPr>
      </w:pPr>
      <w:r>
        <w:rPr>
          <w:rFonts w:ascii="宋体" w:hAnsi="宋体"/>
          <w:b/>
          <w:color w:val="auto"/>
          <w:sz w:val="24"/>
          <w:highlight w:val="none"/>
        </w:rPr>
        <w:t xml:space="preserve">3.4.1 </w:t>
      </w:r>
      <w:r>
        <w:rPr>
          <w:rFonts w:hint="eastAsia" w:ascii="宋体" w:hAnsi="宋体"/>
          <w:b/>
          <w:color w:val="auto"/>
          <w:sz w:val="24"/>
          <w:highlight w:val="none"/>
        </w:rPr>
        <w:t>评审期间，投标人法定代表人须时刻关注电子开标室并保持通讯畅通。如因通讯不畅导致投标人无法及时澄清而被认定为无效响应等后果的，由投标人自行承担。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3.4.2</w:t>
      </w:r>
      <w:r>
        <w:rPr>
          <w:rFonts w:hint="eastAsia" w:ascii="宋体" w:hAnsi="宋体"/>
          <w:color w:val="auto"/>
          <w:sz w:val="24"/>
          <w:highlight w:val="none"/>
        </w:rPr>
        <w:t xml:space="preserve"> 为有助于对投标文件（响应文件）进行审查、评估和比较，谈判小组有权个别的向投标人提出质疑，请投标人澄清其投标内容。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3.4.3</w:t>
      </w:r>
      <w:r>
        <w:rPr>
          <w:rFonts w:hint="eastAsia" w:ascii="宋体" w:hAnsi="宋体"/>
          <w:color w:val="auto"/>
          <w:sz w:val="24"/>
          <w:highlight w:val="none"/>
        </w:rPr>
        <w:t xml:space="preserve">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before="156" w:beforeLines="50" w:line="300" w:lineRule="auto"/>
        <w:ind w:firstLine="569" w:firstLineChars="236"/>
        <w:jc w:val="left"/>
        <w:rPr>
          <w:rFonts w:ascii="宋体"/>
          <w:b/>
          <w:color w:val="auto"/>
          <w:sz w:val="24"/>
          <w:highlight w:val="none"/>
        </w:rPr>
      </w:pPr>
      <w:r>
        <w:rPr>
          <w:rFonts w:ascii="宋体" w:hAnsi="宋体"/>
          <w:b/>
          <w:color w:val="auto"/>
          <w:sz w:val="24"/>
          <w:highlight w:val="none"/>
        </w:rPr>
        <w:t>3.4.4</w:t>
      </w:r>
      <w:r>
        <w:rPr>
          <w:rFonts w:hint="eastAsia" w:ascii="宋体" w:hAnsi="宋体"/>
          <w:b/>
          <w:color w:val="auto"/>
          <w:sz w:val="24"/>
          <w:highlight w:val="none"/>
        </w:rPr>
        <w:t xml:space="preserve"> 投标人的澄清、说明或者更正应当采用书面形式，应加盖投标人电子签章或其法定代表人电子签名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3.4.5</w:t>
      </w:r>
      <w:r>
        <w:rPr>
          <w:rFonts w:hint="eastAsia" w:ascii="宋体" w:hAnsi="宋体"/>
          <w:color w:val="auto"/>
          <w:sz w:val="24"/>
          <w:highlight w:val="none"/>
        </w:rPr>
        <w:t xml:space="preserve"> 投标人的澄清文件是投标文件（响应文件）的组成部分，并取代投标文件（响应文件）中被澄清的部分。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3.4.6</w:t>
      </w:r>
      <w:r>
        <w:rPr>
          <w:rFonts w:hint="eastAsia" w:ascii="宋体" w:hAnsi="宋体"/>
          <w:color w:val="auto"/>
          <w:sz w:val="24"/>
          <w:highlight w:val="none"/>
        </w:rPr>
        <w:t xml:space="preserve"> 澄清文件应按谈判小组规定的时间提交。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谈判规则</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评审谈判在谈判邀请函所述网上电子交易系统进行。</w:t>
      </w:r>
    </w:p>
    <w:p>
      <w:pPr>
        <w:autoSpaceDE w:val="0"/>
        <w:autoSpaceDN w:val="0"/>
        <w:adjustRightInd w:val="0"/>
        <w:snapToGrid w:val="0"/>
        <w:spacing w:before="156" w:beforeLines="50" w:line="300" w:lineRule="auto"/>
        <w:ind w:firstLine="566" w:firstLineChars="236"/>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本次政府采购采取单一来源采购方式。谈判小组将据评审情况就所投货物的技术、服务、价格等事项与有关投标人进行谈判。谈判的任何一方不得将与谈判有关的技术资料、价格和其他信息透露给其他供应商。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谈判小组根据单一来源采购文件规定的程序、评定成交的标准等事项与实质性响应单一来源采购文件要求的投标人进行谈判。</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3.5.3 </w:t>
      </w:r>
      <w:r>
        <w:rPr>
          <w:rFonts w:hint="eastAsia" w:ascii="宋体" w:hAnsi="宋体"/>
          <w:color w:val="auto"/>
          <w:sz w:val="24"/>
          <w:highlight w:val="none"/>
        </w:rPr>
        <w:t>在谈判过程中，谈判小组可以根据单一来源采购文件和谈判情况实质性变动采购需求中的技术、服务要求以及合同草案条款，单一来源采购文件中的其他内容将不再变动。实质性变动的内容，经采购人代表确认后，</w:t>
      </w:r>
      <w:r>
        <w:rPr>
          <w:rFonts w:hint="eastAsia" w:ascii="宋体" w:hAnsi="宋体"/>
          <w:b/>
          <w:color w:val="auto"/>
          <w:sz w:val="24"/>
          <w:highlight w:val="none"/>
        </w:rPr>
        <w:t>谈判小组将在评审界面的对话框及时通知参加谈判的供应商。评审期间，供应商可通过评审界面的对话框接受询问。谈判结束后，未实质性响应单一来源采购文件的响应文件按无效处理，谈判小组应当通过评审界面的对话框告知有关供应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对单一来源采购文件作出的实质性变动是单一来源采购文件的有效组成部分。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3.5.5 </w:t>
      </w:r>
      <w:r>
        <w:rPr>
          <w:rFonts w:hint="eastAsia" w:ascii="宋体" w:hAnsi="宋体"/>
          <w:color w:val="auto"/>
          <w:sz w:val="24"/>
          <w:highlight w:val="none"/>
        </w:rPr>
        <w:t>投标人应当按照单一来源采购文件的变动情况和谈判小组的要求重新提交投标文件（响应文件）或修订投标文件相应条款，</w:t>
      </w:r>
      <w:r>
        <w:rPr>
          <w:rFonts w:hint="eastAsia" w:ascii="宋体" w:hAnsi="宋体"/>
          <w:b/>
          <w:color w:val="auto"/>
          <w:sz w:val="24"/>
          <w:highlight w:val="none"/>
        </w:rPr>
        <w:t>并应加盖投标人或其法定代表人的电子签名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 </w:t>
      </w:r>
      <w:r>
        <w:rPr>
          <w:rFonts w:hint="eastAsia" w:ascii="宋体" w:hAnsi="宋体"/>
          <w:color w:val="auto"/>
          <w:sz w:val="24"/>
          <w:highlight w:val="none"/>
        </w:rPr>
        <w:t>价格谈判</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3.5.6.1 </w:t>
      </w:r>
      <w:r>
        <w:rPr>
          <w:rFonts w:hint="eastAsia" w:ascii="宋体" w:hAnsi="宋体"/>
          <w:color w:val="auto"/>
          <w:sz w:val="24"/>
          <w:highlight w:val="none"/>
        </w:rPr>
        <w:t>见第二章“采购项目及技术要求”</w:t>
      </w:r>
      <w:r>
        <w:rPr>
          <w:rFonts w:ascii="宋体" w:hAnsi="宋体"/>
          <w:color w:val="auto"/>
          <w:sz w:val="24"/>
          <w:highlight w:val="none"/>
        </w:rPr>
        <w:t>1.3.2</w:t>
      </w:r>
      <w:r>
        <w:rPr>
          <w:rFonts w:hint="eastAsia" w:ascii="宋体" w:hAnsi="宋体"/>
          <w:color w:val="auto"/>
          <w:sz w:val="24"/>
          <w:highlight w:val="none"/>
        </w:rPr>
        <w:t>项规定</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3.5.6.2 </w:t>
      </w:r>
      <w:r>
        <w:rPr>
          <w:rFonts w:hint="eastAsia" w:ascii="宋体" w:hAnsi="宋体"/>
          <w:color w:val="auto"/>
          <w:sz w:val="24"/>
          <w:highlight w:val="none"/>
        </w:rPr>
        <w:t>谈判小组应当要求继续参加谈判的供应商在规定时间内提交最后报价，最后报价是投标文件（响应文件）的有效组成部分。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 </w:t>
      </w:r>
      <w:r>
        <w:rPr>
          <w:rFonts w:hint="eastAsia" w:ascii="宋体" w:hAnsi="宋体"/>
          <w:color w:val="auto"/>
          <w:sz w:val="24"/>
          <w:highlight w:val="none"/>
        </w:rPr>
        <w:t>单一来源采购文件的实质性变动影响到投标人因此无法继续参加谈判的，投标人可以在提交最后报价之前退出谈判。其响应文件按无效处理的投标人，所提交的最后报价也按无效处理。</w:t>
      </w:r>
    </w:p>
    <w:p>
      <w:pPr>
        <w:autoSpaceDE w:val="0"/>
        <w:autoSpaceDN w:val="0"/>
        <w:adjustRightInd w:val="0"/>
        <w:snapToGrid w:val="0"/>
        <w:spacing w:before="156" w:beforeLines="50" w:line="300" w:lineRule="auto"/>
        <w:ind w:firstLine="569" w:firstLineChars="236"/>
        <w:jc w:val="left"/>
        <w:rPr>
          <w:rFonts w:ascii="宋体"/>
          <w:b/>
          <w:color w:val="auto"/>
          <w:sz w:val="24"/>
          <w:highlight w:val="none"/>
        </w:rPr>
      </w:pPr>
      <w:r>
        <w:rPr>
          <w:rFonts w:ascii="宋体" w:hAnsi="宋体"/>
          <w:b/>
          <w:color w:val="auto"/>
          <w:sz w:val="24"/>
          <w:highlight w:val="none"/>
        </w:rPr>
        <w:t>3.5.</w:t>
      </w:r>
      <w:r>
        <w:rPr>
          <w:rFonts w:hint="eastAsia" w:ascii="宋体" w:hAnsi="宋体"/>
          <w:b/>
          <w:color w:val="auto"/>
          <w:sz w:val="24"/>
          <w:highlight w:val="none"/>
        </w:rPr>
        <w:t>8</w:t>
      </w:r>
      <w:r>
        <w:rPr>
          <w:rFonts w:ascii="宋体" w:hAnsi="宋体"/>
          <w:b/>
          <w:color w:val="auto"/>
          <w:sz w:val="24"/>
          <w:highlight w:val="none"/>
        </w:rPr>
        <w:t xml:space="preserve"> </w:t>
      </w:r>
      <w:r>
        <w:rPr>
          <w:rFonts w:hint="eastAsia" w:ascii="宋体" w:hAnsi="宋体"/>
          <w:b/>
          <w:color w:val="auto"/>
          <w:sz w:val="24"/>
          <w:highlight w:val="none"/>
        </w:rPr>
        <w:t>投标人提交最后报价应在系统中填列。</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w:t>
      </w:r>
      <w:r>
        <w:rPr>
          <w:rFonts w:hint="eastAsia" w:ascii="宋体" w:hAnsi="宋体"/>
          <w:b/>
          <w:color w:val="auto"/>
          <w:sz w:val="24"/>
          <w:highlight w:val="none"/>
        </w:rPr>
        <w:t>9</w:t>
      </w:r>
      <w:r>
        <w:rPr>
          <w:rFonts w:ascii="宋体" w:hAnsi="宋体"/>
          <w:b/>
          <w:color w:val="auto"/>
          <w:sz w:val="24"/>
          <w:highlight w:val="none"/>
        </w:rPr>
        <w:t xml:space="preserve"> </w:t>
      </w:r>
      <w:r>
        <w:rPr>
          <w:rFonts w:hint="eastAsia" w:ascii="宋体" w:hAnsi="宋体"/>
          <w:b/>
          <w:color w:val="auto"/>
          <w:sz w:val="24"/>
          <w:highlight w:val="none"/>
        </w:rPr>
        <w:t>本项目在开标后只进行一轮报价，即最后报价。网上交易系统中管理员发起最后报价后，如投标人未在指定时限内提交最后报价，视为该供应商根据谈判情况退出谈判。</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3.5.1</w:t>
      </w:r>
      <w:r>
        <w:rPr>
          <w:rFonts w:hint="eastAsia" w:ascii="宋体" w:hAnsi="宋体"/>
          <w:b/>
          <w:color w:val="auto"/>
          <w:sz w:val="24"/>
          <w:highlight w:val="none"/>
        </w:rPr>
        <w:t>0</w:t>
      </w:r>
      <w:r>
        <w:rPr>
          <w:rFonts w:ascii="宋体" w:hAnsi="宋体"/>
          <w:b/>
          <w:color w:val="auto"/>
          <w:sz w:val="24"/>
          <w:highlight w:val="none"/>
        </w:rPr>
        <w:t xml:space="preserve"> </w:t>
      </w:r>
      <w:r>
        <w:rPr>
          <w:rFonts w:hint="eastAsia" w:ascii="宋体" w:hAnsi="宋体"/>
          <w:b/>
          <w:color w:val="auto"/>
          <w:sz w:val="24"/>
          <w:highlight w:val="none"/>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标。</w:t>
      </w:r>
    </w:p>
    <w:p>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hAnsi="宋体"/>
          <w:color w:val="auto"/>
          <w:sz w:val="24"/>
          <w:highlight w:val="none"/>
        </w:rPr>
        <w:t>：谈判小组对排名第一的、报价最低的、投标或相应文件被认定为无效的情形按单一来源采购文件实质性要求进行重点复核。</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bookmarkStart w:id="42" w:name="_Toc423723408"/>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bookmarkEnd w:id="42"/>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3.7.1</w:t>
      </w:r>
      <w:r>
        <w:rPr>
          <w:rFonts w:hint="eastAsia" w:ascii="宋体" w:hAnsi="宋体"/>
          <w:color w:val="auto"/>
          <w:sz w:val="24"/>
          <w:highlight w:val="none"/>
        </w:rPr>
        <w:t xml:space="preserve"> 谈判小组对质量和服务均能满足单一来源采购文件实质性响应要求的投标人，提出成交候选人，并编写书面评审报告。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3.7.2 </w:t>
      </w:r>
      <w:r>
        <w:rPr>
          <w:rFonts w:hint="eastAsia" w:ascii="宋体" w:hAnsi="宋体"/>
          <w:color w:val="auto"/>
          <w:sz w:val="24"/>
          <w:highlight w:val="none"/>
        </w:rPr>
        <w:t>确定成交供应商：按第三章“投标人须知前附表”</w:t>
      </w:r>
      <w:r>
        <w:rPr>
          <w:rFonts w:ascii="宋体" w:hAnsi="宋体"/>
          <w:color w:val="auto"/>
          <w:sz w:val="24"/>
          <w:highlight w:val="none"/>
        </w:rPr>
        <w:t>7.1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谈判终止</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3.8.1 </w:t>
      </w:r>
      <w:r>
        <w:rPr>
          <w:rFonts w:hint="eastAsia" w:ascii="宋体" w:hAnsi="宋体"/>
          <w:color w:val="auto"/>
          <w:sz w:val="24"/>
          <w:highlight w:val="none"/>
        </w:rPr>
        <w:t>出现下列情形之一的，终止单一来源活动：</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）因情况变化，不再符合规定的单一来源方式适用情形的；</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）在采购活动中因重大变故，采购任务取消的。</w:t>
      </w:r>
    </w:p>
    <w:p>
      <w:pPr>
        <w:autoSpaceDE w:val="0"/>
        <w:autoSpaceDN w:val="0"/>
        <w:adjustRightInd w:val="0"/>
        <w:snapToGrid w:val="0"/>
        <w:spacing w:line="300" w:lineRule="auto"/>
        <w:ind w:firstLine="566" w:firstLineChars="236"/>
        <w:jc w:val="left"/>
        <w:rPr>
          <w:rFonts w:ascii="宋体"/>
          <w:color w:val="auto"/>
          <w:sz w:val="24"/>
          <w:highlight w:val="none"/>
        </w:rPr>
      </w:pPr>
      <w:r>
        <w:rPr>
          <w:rFonts w:ascii="宋体" w:hAnsi="宋体"/>
          <w:color w:val="auto"/>
          <w:sz w:val="24"/>
          <w:highlight w:val="none"/>
        </w:rPr>
        <w:t xml:space="preserve">3.8.2 </w:t>
      </w:r>
      <w:r>
        <w:rPr>
          <w:rFonts w:hint="eastAsia" w:ascii="宋体" w:hAnsi="宋体"/>
          <w:color w:val="auto"/>
          <w:sz w:val="24"/>
          <w:highlight w:val="none"/>
        </w:rPr>
        <w:t>谈判小组要在采购项目（标段&lt;包&gt;）谈判失败时，出具单一来源采购文件是否存在不合理条款的论证意见，要协助采购人、采购代理机构、财政部门答复质疑或处理投诉事项。　</w:t>
      </w:r>
    </w:p>
    <w:p>
      <w:pPr>
        <w:autoSpaceDE w:val="0"/>
        <w:autoSpaceDN w:val="0"/>
        <w:adjustRightInd w:val="0"/>
        <w:snapToGrid w:val="0"/>
        <w:spacing w:before="156" w:beforeLines="50" w:line="300" w:lineRule="auto"/>
        <w:jc w:val="left"/>
        <w:rPr>
          <w:rFonts w:ascii="宋体"/>
          <w:color w:val="auto"/>
          <w:sz w:val="24"/>
          <w:highlight w:val="none"/>
        </w:rPr>
      </w:pPr>
      <w:r>
        <w:rPr>
          <w:rFonts w:ascii="宋体"/>
          <w:color w:val="auto"/>
          <w:sz w:val="24"/>
          <w:highlight w:val="none"/>
        </w:rPr>
        <w:br w:type="page"/>
      </w:r>
    </w:p>
    <w:p>
      <w:pPr>
        <w:widowControl w:val="0"/>
        <w:snapToGrid w:val="0"/>
        <w:spacing w:line="657" w:lineRule="atLeast"/>
        <w:jc w:val="center"/>
        <w:outlineLvl w:val="0"/>
        <w:rPr>
          <w:rFonts w:ascii="黑体" w:eastAsia="黑体"/>
          <w:b/>
          <w:color w:val="auto"/>
          <w:sz w:val="36"/>
          <w:szCs w:val="36"/>
          <w:highlight w:val="none"/>
        </w:rPr>
      </w:pPr>
      <w:bookmarkStart w:id="43" w:name="_Toc498520247"/>
      <w:bookmarkStart w:id="44" w:name="_Toc469930444"/>
    </w:p>
    <w:p>
      <w:pPr>
        <w:widowControl w:val="0"/>
        <w:snapToGrid w:val="0"/>
        <w:spacing w:line="657" w:lineRule="atLeast"/>
        <w:jc w:val="center"/>
        <w:outlineLvl w:val="0"/>
        <w:rPr>
          <w:rFonts w:ascii="黑体" w:eastAsia="黑体"/>
          <w:b/>
          <w:color w:val="auto"/>
          <w:sz w:val="36"/>
          <w:szCs w:val="36"/>
          <w:highlight w:val="none"/>
        </w:rPr>
      </w:pPr>
      <w:bookmarkStart w:id="45" w:name="_Toc16792"/>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43"/>
      <w:bookmarkEnd w:id="44"/>
      <w:bookmarkEnd w:id="45"/>
    </w:p>
    <w:p>
      <w:pPr>
        <w:widowControl w:val="0"/>
        <w:snapToGrid w:val="0"/>
        <w:spacing w:line="657" w:lineRule="atLeast"/>
        <w:jc w:val="center"/>
        <w:rPr>
          <w:rFonts w:ascii="黑体" w:eastAsia="黑体"/>
          <w:b/>
          <w:color w:val="auto"/>
          <w:spacing w:val="20"/>
          <w:sz w:val="36"/>
          <w:szCs w:val="36"/>
          <w:highlight w:val="none"/>
        </w:rPr>
      </w:pPr>
    </w:p>
    <w:p>
      <w:pPr>
        <w:pStyle w:val="7"/>
        <w:spacing w:after="0"/>
        <w:ind w:left="5250"/>
        <w:jc w:val="center"/>
        <w:rPr>
          <w:rFonts w:ascii="宋体" w:hAnsi="宋体" w:cs="宋体"/>
          <w:b/>
          <w:bCs/>
          <w:color w:val="auto"/>
          <w:spacing w:val="-20"/>
          <w:kern w:val="44"/>
          <w:sz w:val="48"/>
          <w:szCs w:val="48"/>
          <w:highlight w:val="none"/>
        </w:rPr>
      </w:pPr>
    </w:p>
    <w:p>
      <w:pPr>
        <w:pStyle w:val="7"/>
        <w:spacing w:after="0"/>
        <w:ind w:left="5250"/>
        <w:jc w:val="center"/>
        <w:rPr>
          <w:rFonts w:ascii="宋体" w:hAnsi="宋体" w:cs="宋体"/>
          <w:b/>
          <w:bCs/>
          <w:color w:val="auto"/>
          <w:spacing w:val="-20"/>
          <w:kern w:val="44"/>
          <w:sz w:val="48"/>
          <w:szCs w:val="48"/>
          <w:highlight w:val="none"/>
        </w:rPr>
      </w:pPr>
    </w:p>
    <w:p>
      <w:pPr>
        <w:pStyle w:val="7"/>
        <w:spacing w:after="0"/>
        <w:ind w:left="5250"/>
        <w:jc w:val="center"/>
        <w:rPr>
          <w:rFonts w:ascii="宋体" w:hAnsi="宋体" w:cs="宋体"/>
          <w:b/>
          <w:bCs/>
          <w:color w:val="auto"/>
          <w:spacing w:val="-20"/>
          <w:kern w:val="44"/>
          <w:sz w:val="48"/>
          <w:szCs w:val="48"/>
          <w:highlight w:val="none"/>
        </w:rPr>
      </w:pPr>
    </w:p>
    <w:p>
      <w:pPr>
        <w:pStyle w:val="7"/>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pPr>
        <w:pStyle w:val="7"/>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pPr>
        <w:rPr>
          <w:color w:val="auto"/>
          <w:highlight w:val="none"/>
        </w:rPr>
      </w:pPr>
    </w:p>
    <w:p>
      <w:pPr>
        <w:rPr>
          <w:rFonts w:eastAsia="黑体"/>
          <w:color w:val="auto"/>
          <w:sz w:val="44"/>
          <w:szCs w:val="44"/>
          <w:highlight w:val="none"/>
        </w:rPr>
      </w:pPr>
      <w:r>
        <w:rPr>
          <w:rFonts w:eastAsia="黑体"/>
          <w:color w:val="auto"/>
          <w:sz w:val="44"/>
          <w:szCs w:val="44"/>
          <w:highlight w:val="none"/>
        </w:rPr>
        <w:br w:type="page"/>
      </w:r>
    </w:p>
    <w:p>
      <w:pPr>
        <w:rPr>
          <w:rFonts w:eastAsia="黑体"/>
          <w:color w:val="auto"/>
          <w:sz w:val="44"/>
          <w:szCs w:val="44"/>
          <w:highlight w:val="none"/>
        </w:rPr>
      </w:pPr>
    </w:p>
    <w:p>
      <w:pPr>
        <w:rPr>
          <w:rFonts w:eastAsia="黑体"/>
          <w:color w:val="auto"/>
          <w:sz w:val="44"/>
          <w:szCs w:val="44"/>
          <w:highlight w:val="none"/>
        </w:rPr>
      </w:pPr>
    </w:p>
    <w:p>
      <w:pPr>
        <w:jc w:val="center"/>
        <w:rPr>
          <w:rFonts w:eastAsia="黑体"/>
          <w:color w:val="auto"/>
          <w:sz w:val="44"/>
          <w:szCs w:val="44"/>
          <w:highlight w:val="none"/>
        </w:rPr>
      </w:pPr>
      <w:r>
        <w:rPr>
          <w:rFonts w:hint="eastAsia" w:eastAsia="黑体"/>
          <w:color w:val="auto"/>
          <w:sz w:val="44"/>
          <w:szCs w:val="44"/>
          <w:highlight w:val="none"/>
        </w:rPr>
        <w:t>使 用 说 明</w:t>
      </w:r>
    </w:p>
    <w:p>
      <w:pPr>
        <w:ind w:firstLine="640" w:firstLineChars="200"/>
        <w:rPr>
          <w:rFonts w:ascii="仿宋_GB2312" w:hAnsi="仿宋_GB2312" w:eastAsia="仿宋_GB2312" w:cs="仿宋_GB2312"/>
          <w:color w:val="auto"/>
          <w:sz w:val="32"/>
          <w:szCs w:val="32"/>
          <w:highlight w:val="none"/>
        </w:rPr>
      </w:pP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pPr>
        <w:ind w:firstLine="560" w:firstLineChars="200"/>
        <w:rPr>
          <w:rFonts w:ascii="仿宋_GB2312" w:hAnsi="仿宋_GB2312" w:eastAsia="仿宋_GB2312" w:cs="仿宋_GB2312"/>
          <w:color w:val="auto"/>
          <w:sz w:val="28"/>
          <w:szCs w:val="28"/>
          <w:highlight w:val="none"/>
        </w:rPr>
        <w:sectPr>
          <w:pgSz w:w="11906" w:h="16838"/>
          <w:pgMar w:top="1440" w:right="1558"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pPr>
        <w:pStyle w:val="3"/>
        <w:adjustRightInd w:val="0"/>
        <w:snapToGrid w:val="0"/>
        <w:spacing w:line="400" w:lineRule="exact"/>
        <w:jc w:val="center"/>
        <w:rPr>
          <w:rFonts w:ascii="黑体" w:hAnsi="黑体" w:eastAsia="黑体"/>
          <w:color w:val="auto"/>
          <w:sz w:val="28"/>
          <w:szCs w:val="28"/>
          <w:highlight w:val="none"/>
        </w:rPr>
      </w:pPr>
      <w:bookmarkStart w:id="46" w:name="_Toc22209"/>
    </w:p>
    <w:p>
      <w:pPr>
        <w:pStyle w:val="3"/>
        <w:adjustRightInd w:val="0"/>
        <w:snapToGrid w:val="0"/>
        <w:spacing w:line="400" w:lineRule="exact"/>
        <w:jc w:val="center"/>
        <w:rPr>
          <w:rFonts w:ascii="黑体" w:hAnsi="华文中宋" w:eastAsia="黑体"/>
          <w:b w:val="0"/>
          <w:bCs w:val="0"/>
          <w:color w:val="auto"/>
          <w:sz w:val="28"/>
          <w:szCs w:val="28"/>
          <w:highlight w:val="none"/>
        </w:rPr>
      </w:pPr>
      <w:bookmarkStart w:id="47" w:name="_Toc213085451"/>
      <w:bookmarkStart w:id="48" w:name="_Toc17158"/>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6"/>
      <w:bookmarkEnd w:id="47"/>
      <w:bookmarkEnd w:id="48"/>
    </w:p>
    <w:p>
      <w:pPr>
        <w:pStyle w:val="3"/>
        <w:adjustRightInd w:val="0"/>
        <w:snapToGrid w:val="0"/>
        <w:spacing w:line="400" w:lineRule="exact"/>
        <w:jc w:val="center"/>
        <w:rPr>
          <w:rFonts w:ascii="黑体" w:hAnsi="华文中宋" w:eastAsia="黑体"/>
          <w:b w:val="0"/>
          <w:bCs w:val="0"/>
          <w:color w:val="auto"/>
          <w:sz w:val="28"/>
          <w:szCs w:val="28"/>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spacing w:line="400" w:lineRule="exact"/>
        <w:rPr>
          <w:color w:val="auto"/>
          <w:highlight w:val="none"/>
        </w:rPr>
      </w:pPr>
    </w:p>
    <w:p>
      <w:pPr>
        <w:pStyle w:val="8"/>
        <w:adjustRightIn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pPr>
        <w:pStyle w:val="8"/>
        <w:numPr>
          <w:ilvl w:val="0"/>
          <w:numId w:val="3"/>
        </w:numPr>
        <w:adjustRightInd w:val="0"/>
        <w:spacing w:before="0" w:line="400" w:lineRule="exact"/>
        <w:ind w:firstLine="560" w:firstLineChars="200"/>
        <w:textAlignment w:val="auto"/>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pPr>
        <w:pStyle w:val="8"/>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pPr>
        <w:pStyle w:val="8"/>
        <w:adjustRightInd w:val="0"/>
        <w:spacing w:line="400" w:lineRule="exact"/>
        <w:ind w:firstLine="56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8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8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pPr>
        <w:pStyle w:val="81"/>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81"/>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pPr>
        <w:pStyle w:val="81"/>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81"/>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pPr>
        <w:pStyle w:val="81"/>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pPr>
        <w:pStyle w:val="81"/>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pPr>
        <w:pStyle w:val="81"/>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pPr>
        <w:pStyle w:val="81"/>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pPr>
        <w:pStyle w:val="81"/>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pPr>
        <w:pStyle w:val="81"/>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pStyle w:val="81"/>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pPr>
        <w:pStyle w:val="81"/>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pStyle w:val="81"/>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pPr>
        <w:pStyle w:val="69"/>
        <w:spacing w:line="400" w:lineRule="exact"/>
        <w:rPr>
          <w:color w:val="auto"/>
          <w:highlight w:val="none"/>
        </w:rPr>
      </w:pPr>
      <w:r>
        <w:rPr>
          <w:rFonts w:hint="eastAsia" w:ascii="宋体" w:hAnsi="宋体"/>
          <w:color w:val="auto"/>
          <w:highlight w:val="none"/>
        </w:rPr>
        <w:t>（3）付款方式（按项目实际勾选填写）：</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pPr>
        <w:pStyle w:val="81"/>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pPr>
        <w:pStyle w:val="8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pPr>
        <w:widowControl w:val="0"/>
        <w:numPr>
          <w:ilvl w:val="0"/>
          <w:numId w:val="4"/>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pPr>
        <w:pStyle w:val="81"/>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pPr>
        <w:pStyle w:val="81"/>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pPr>
        <w:pStyle w:val="69"/>
        <w:spacing w:line="400" w:lineRule="exact"/>
        <w:rPr>
          <w:color w:val="auto"/>
          <w:highlight w:val="none"/>
        </w:rPr>
      </w:pPr>
    </w:p>
    <w:p>
      <w:pPr>
        <w:pStyle w:val="3"/>
        <w:spacing w:line="400" w:lineRule="exact"/>
        <w:rPr>
          <w:rFonts w:ascii="宋体" w:hAnsi="宋体"/>
          <w:b w:val="0"/>
          <w:bCs w:val="0"/>
          <w:color w:val="auto"/>
          <w:sz w:val="21"/>
          <w:szCs w:val="21"/>
          <w:highlight w:val="none"/>
        </w:rPr>
      </w:pPr>
      <w:r>
        <w:rPr>
          <w:color w:val="auto"/>
          <w:highlight w:val="none"/>
          <w:lang w:val="en"/>
        </w:rPr>
        <w:t xml:space="preserve">   </w:t>
      </w:r>
    </w:p>
    <w:p>
      <w:pPr>
        <w:rPr>
          <w:color w:val="auto"/>
          <w:highlight w:val="none"/>
        </w:rPr>
      </w:pPr>
      <w:r>
        <w:rPr>
          <w:rFonts w:hint="eastAsia"/>
          <w:color w:val="auto"/>
          <w:highlight w:val="none"/>
        </w:rPr>
        <w:br w:type="page"/>
      </w:r>
    </w:p>
    <w:p>
      <w:pPr>
        <w:pStyle w:val="69"/>
        <w:rPr>
          <w:color w:val="auto"/>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0"/>
        <w:gridCol w:w="2716"/>
        <w:gridCol w:w="2228"/>
        <w:gridCol w:w="238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8"/>
              <w:adjustRightInd w:val="0"/>
              <w:spacing w:before="120" w:beforeLines="50" w:line="360" w:lineRule="auto"/>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pPr>
        <w:pStyle w:val="3"/>
        <w:adjustRightInd w:val="0"/>
        <w:snapToGrid w:val="0"/>
        <w:spacing w:before="120"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9" w:name="_Toc213085452"/>
      <w:bookmarkStart w:id="50" w:name="_Toc20917"/>
      <w:bookmarkStart w:id="51" w:name="_Toc27624"/>
      <w:r>
        <w:rPr>
          <w:rFonts w:hint="eastAsia" w:ascii="黑体" w:hAnsi="黑体" w:eastAsia="黑体"/>
          <w:b w:val="0"/>
          <w:bCs w:val="0"/>
          <w:color w:val="auto"/>
          <w:sz w:val="28"/>
          <w:szCs w:val="28"/>
          <w:highlight w:val="none"/>
        </w:rPr>
        <w:t>第二节 政府采购合同通用条款</w:t>
      </w:r>
      <w:bookmarkEnd w:id="49"/>
      <w:bookmarkEnd w:id="50"/>
      <w:bookmarkEnd w:id="51"/>
    </w:p>
    <w:p>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widowControl w:val="0"/>
        <w:numPr>
          <w:ilvl w:val="0"/>
          <w:numId w:val="5"/>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pPr>
        <w:pStyle w:val="7"/>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pPr>
        <w:pStyle w:val="7"/>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pPr>
        <w:widowControl w:val="0"/>
        <w:numPr>
          <w:ilvl w:val="0"/>
          <w:numId w:val="6"/>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pPr>
        <w:pStyle w:val="81"/>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pPr>
        <w:pStyle w:val="11"/>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1"/>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2"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2"/>
      <w:r>
        <w:rPr>
          <w:rFonts w:hint="eastAsia" w:ascii="宋体" w:hAnsi="宋体"/>
          <w:color w:val="auto"/>
          <w:szCs w:val="21"/>
          <w:highlight w:val="none"/>
        </w:rPr>
        <w:t>。</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pPr>
        <w:adjustRightInd w:val="0"/>
        <w:snapToGrid w:val="0"/>
        <w:spacing w:line="400" w:lineRule="exact"/>
        <w:ind w:firstLine="420" w:firstLineChars="200"/>
        <w:jc w:val="left"/>
        <w:rPr>
          <w:rFonts w:hint="eastAsia" w:ascii="宋体" w:hAnsi="宋体" w:cs="宋体"/>
          <w:color w:val="auto"/>
          <w:szCs w:val="15"/>
          <w:highlight w:val="none"/>
        </w:rPr>
      </w:pPr>
      <w:bookmarkStart w:id="53" w:name="_Toc213085453"/>
      <w:r>
        <w:rPr>
          <w:rFonts w:hint="eastAsia" w:ascii="宋体" w:hAnsi="宋体" w:cs="宋体"/>
          <w:color w:val="auto"/>
          <w:szCs w:val="15"/>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bookmarkEnd w:id="53"/>
    </w:p>
    <w:p>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81"/>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widowControl w:val="0"/>
        <w:numPr>
          <w:ilvl w:val="0"/>
          <w:numId w:val="7"/>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81"/>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pPr>
        <w:pStyle w:val="81"/>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pPr>
        <w:pStyle w:val="81"/>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7"/>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pPr>
        <w:pStyle w:val="8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81"/>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pPr>
        <w:widowControl w:val="0"/>
        <w:numPr>
          <w:ilvl w:val="0"/>
          <w:numId w:val="8"/>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4" w:name="_Toc20313"/>
    </w:p>
    <w:p>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pPr>
        <w:pStyle w:val="3"/>
        <w:adjustRightInd w:val="0"/>
        <w:snapToGrid w:val="0"/>
        <w:jc w:val="center"/>
        <w:rPr>
          <w:rFonts w:ascii="黑体" w:hAnsi="华文中宋" w:eastAsia="黑体"/>
          <w:b w:val="0"/>
          <w:bCs w:val="0"/>
          <w:color w:val="auto"/>
          <w:sz w:val="28"/>
          <w:szCs w:val="28"/>
          <w:highlight w:val="none"/>
        </w:rPr>
      </w:pPr>
      <w:bookmarkStart w:id="55" w:name="_Toc213085454"/>
      <w:bookmarkStart w:id="56" w:name="_Toc18990"/>
      <w:r>
        <w:rPr>
          <w:rFonts w:hint="eastAsia" w:ascii="黑体" w:hAnsi="华文中宋" w:eastAsia="黑体"/>
          <w:b w:val="0"/>
          <w:bCs w:val="0"/>
          <w:color w:val="auto"/>
          <w:sz w:val="28"/>
          <w:szCs w:val="28"/>
          <w:highlight w:val="none"/>
        </w:rPr>
        <w:t>第三节 政府采购合同专用条款</w:t>
      </w:r>
      <w:bookmarkEnd w:id="54"/>
      <w:bookmarkEnd w:id="55"/>
      <w:bookmarkEnd w:id="56"/>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color w:val="auto"/>
                <w:szCs w:val="21"/>
                <w:highlight w:val="none"/>
              </w:rPr>
            </w:pP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pPr>
              <w:autoSpaceDE w:val="0"/>
              <w:autoSpaceDN w:val="0"/>
              <w:adjustRightInd w:val="0"/>
              <w:snapToGrid w:val="0"/>
              <w:ind w:firstLine="420" w:firstLineChars="20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pPr>
              <w:pStyle w:val="81"/>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pPr>
              <w:adjustRightInd w:val="0"/>
              <w:snapToGrid w:val="0"/>
              <w:jc w:val="left"/>
              <w:rPr>
                <w:rFonts w:ascii="宋体" w:hAnsi="宋体"/>
                <w:color w:val="auto"/>
                <w:szCs w:val="21"/>
                <w:highlight w:val="none"/>
              </w:rPr>
            </w:pPr>
          </w:p>
        </w:tc>
      </w:tr>
    </w:tbl>
    <w:p>
      <w:pPr>
        <w:rPr>
          <w:color w:val="auto"/>
          <w:highlight w:val="none"/>
        </w:rPr>
      </w:pPr>
    </w:p>
    <w:p>
      <w:pPr>
        <w:rPr>
          <w:color w:val="auto"/>
          <w:highlight w:val="none"/>
        </w:rPr>
      </w:pP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57" w:name="_Toc529972274"/>
      <w:r>
        <w:rPr>
          <w:rFonts w:ascii="黑体" w:hAnsi="黑体" w:eastAsia="黑体"/>
          <w:b/>
          <w:color w:val="auto"/>
          <w:sz w:val="36"/>
          <w:szCs w:val="36"/>
          <w:highlight w:val="none"/>
          <w:lang w:val="zh-CN"/>
        </w:rPr>
        <w:br w:type="page"/>
      </w: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58" w:name="_Toc6882"/>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 xml:space="preserve"> 投标文件格式</w:t>
      </w:r>
      <w:bookmarkEnd w:id="57"/>
      <w:bookmarkEnd w:id="58"/>
    </w:p>
    <w:p>
      <w:pPr>
        <w:widowControl w:val="0"/>
        <w:tabs>
          <w:tab w:val="left" w:pos="4678"/>
        </w:tabs>
        <w:snapToGrid w:val="0"/>
        <w:spacing w:before="56" w:after="56" w:line="360" w:lineRule="auto"/>
        <w:ind w:right="85" w:firstLine="555"/>
        <w:rPr>
          <w:rFonts w:ascii="黑体" w:hAnsi="黑体" w:eastAsia="黑体"/>
          <w:b/>
          <w:color w:val="auto"/>
          <w:sz w:val="32"/>
          <w:szCs w:val="32"/>
          <w:highlight w:val="none"/>
          <w:lang w:val="zh-CN"/>
        </w:rPr>
      </w:pPr>
    </w:p>
    <w:p>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pPr>
        <w:autoSpaceDE w:val="0"/>
        <w:autoSpaceDN w:val="0"/>
        <w:adjustRightInd w:val="0"/>
        <w:spacing w:line="276" w:lineRule="auto"/>
        <w:ind w:firstLine="882" w:firstLineChars="245"/>
        <w:jc w:val="left"/>
        <w:rPr>
          <w:rFonts w:ascii="宋体"/>
          <w:color w:val="auto"/>
          <w:sz w:val="36"/>
          <w:szCs w:val="36"/>
          <w:highlight w:val="none"/>
          <w:lang w:val="zh-CN"/>
        </w:rPr>
      </w:pPr>
    </w:p>
    <w:p>
      <w:pPr>
        <w:autoSpaceDE w:val="0"/>
        <w:autoSpaceDN w:val="0"/>
        <w:adjustRightInd w:val="0"/>
        <w:spacing w:line="360" w:lineRule="auto"/>
        <w:ind w:right="-817"/>
        <w:rPr>
          <w:rFonts w:ascii="宋体"/>
          <w:color w:val="auto"/>
          <w:sz w:val="24"/>
          <w:highlight w:val="none"/>
          <w:u w:val="single"/>
        </w:rPr>
      </w:pPr>
    </w:p>
    <w:p>
      <w:pPr>
        <w:autoSpaceDE w:val="0"/>
        <w:autoSpaceDN w:val="0"/>
        <w:adjustRightInd w:val="0"/>
        <w:spacing w:line="360" w:lineRule="auto"/>
        <w:ind w:firstLine="480" w:firstLineChars="200"/>
        <w:jc w:val="left"/>
        <w:rPr>
          <w:rFonts w:ascii="宋体"/>
          <w:color w:val="auto"/>
          <w:sz w:val="24"/>
          <w:highlight w:val="none"/>
          <w:u w:val="single"/>
        </w:rPr>
      </w:pPr>
    </w:p>
    <w:p>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pPr>
        <w:autoSpaceDE w:val="0"/>
        <w:autoSpaceDN w:val="0"/>
        <w:adjustRightInd w:val="0"/>
        <w:spacing w:line="360" w:lineRule="auto"/>
        <w:jc w:val="left"/>
        <w:rPr>
          <w:rFonts w:ascii="宋体"/>
          <w:color w:val="auto"/>
          <w:sz w:val="24"/>
          <w:highlight w:val="non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pPr>
        <w:autoSpaceDE w:val="0"/>
        <w:autoSpaceDN w:val="0"/>
        <w:adjustRightInd w:val="0"/>
        <w:spacing w:line="360" w:lineRule="auto"/>
        <w:jc w:val="left"/>
        <w:rPr>
          <w:rFonts w:ascii="宋体"/>
          <w:color w:val="auto"/>
          <w:sz w:val="84"/>
          <w:szCs w:val="84"/>
          <w:highlight w:val="none"/>
        </w:rPr>
      </w:pPr>
    </w:p>
    <w:p>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投</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pStyle w:val="67"/>
        <w:spacing w:line="360" w:lineRule="auto"/>
        <w:rPr>
          <w:rFonts w:hAnsi="宋体"/>
          <w:color w:val="auto"/>
          <w:szCs w:val="24"/>
          <w:highlight w:val="none"/>
          <w:u w:val="single"/>
        </w:rPr>
      </w:pPr>
    </w:p>
    <w:p>
      <w:pPr>
        <w:pStyle w:val="67"/>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投标人（</w:t>
      </w:r>
      <w:r>
        <w:rPr>
          <w:rFonts w:hint="eastAsia"/>
          <w:color w:val="auto"/>
          <w:szCs w:val="24"/>
          <w:highlight w:val="none"/>
        </w:rPr>
        <w:t>电子签</w:t>
      </w:r>
      <w:r>
        <w:rPr>
          <w:rFonts w:hint="eastAsia" w:hAnsi="宋体"/>
          <w:color w:val="auto"/>
          <w:szCs w:val="24"/>
          <w:highlight w:val="none"/>
        </w:rPr>
        <w:t>章</w:t>
      </w:r>
      <w:r>
        <w:rPr>
          <w:rFonts w:hint="eastAsia" w:hAnsi="宋体"/>
          <w:color w:val="auto"/>
          <w:sz w:val="28"/>
          <w:szCs w:val="28"/>
          <w:highlight w:val="none"/>
        </w:rPr>
        <w:t>）：</w:t>
      </w:r>
      <w:r>
        <w:rPr>
          <w:rFonts w:hAnsi="宋体"/>
          <w:color w:val="auto"/>
          <w:sz w:val="28"/>
          <w:szCs w:val="28"/>
          <w:highlight w:val="none"/>
          <w:u w:val="single"/>
        </w:rPr>
        <w:t xml:space="preserve">                                       </w:t>
      </w:r>
    </w:p>
    <w:p>
      <w:pPr>
        <w:pStyle w:val="67"/>
        <w:spacing w:line="360" w:lineRule="auto"/>
        <w:ind w:firstLine="280" w:firstLineChars="100"/>
        <w:rPr>
          <w:rFonts w:hAnsi="宋体"/>
          <w:color w:val="auto"/>
          <w:sz w:val="28"/>
          <w:szCs w:val="28"/>
          <w:highlight w:val="none"/>
        </w:rPr>
      </w:pPr>
    </w:p>
    <w:p>
      <w:pPr>
        <w:pStyle w:val="67"/>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pPr>
        <w:pStyle w:val="67"/>
        <w:spacing w:line="360" w:lineRule="auto"/>
        <w:jc w:val="center"/>
        <w:rPr>
          <w:rFonts w:hAnsi="宋体"/>
          <w:color w:val="auto"/>
          <w:sz w:val="28"/>
          <w:szCs w:val="28"/>
          <w:highlight w:val="none"/>
        </w:rPr>
      </w:pPr>
    </w:p>
    <w:p>
      <w:pPr>
        <w:pStyle w:val="67"/>
        <w:spacing w:line="360" w:lineRule="auto"/>
        <w:jc w:val="both"/>
        <w:rPr>
          <w:rFonts w:hAnsi="宋体"/>
          <w:color w:val="auto"/>
          <w:sz w:val="28"/>
          <w:szCs w:val="28"/>
          <w:highlight w:val="none"/>
        </w:rPr>
      </w:pPr>
    </w:p>
    <w:p>
      <w:pPr>
        <w:widowControl w:val="0"/>
        <w:tabs>
          <w:tab w:val="left" w:pos="9365"/>
        </w:tabs>
        <w:snapToGrid w:val="0"/>
        <w:spacing w:before="56" w:after="56" w:line="560" w:lineRule="atLeast"/>
        <w:jc w:val="left"/>
        <w:textAlignment w:val="top"/>
        <w:rPr>
          <w:color w:val="auto"/>
          <w:sz w:val="28"/>
          <w:highlight w:val="none"/>
        </w:rPr>
      </w:pPr>
      <w:bookmarkStart w:id="59" w:name="OLE_LINK35"/>
      <w:bookmarkStart w:id="60" w:name="OLE_LINK10"/>
    </w:p>
    <w:p>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59"/>
    </w:p>
    <w:bookmarkEnd w:id="60"/>
    <w:p>
      <w:pPr>
        <w:widowControl w:val="0"/>
        <w:snapToGrid w:val="0"/>
        <w:spacing w:line="560" w:lineRule="exact"/>
        <w:rPr>
          <w:color w:val="auto"/>
          <w:sz w:val="28"/>
          <w:highlight w:val="none"/>
        </w:rPr>
      </w:pPr>
    </w:p>
    <w:p>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根据贵方单一来源采购</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的单一来源采购文件（项目编号：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）投标书。</w:t>
      </w:r>
    </w:p>
    <w:p>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）投标报价明细表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pPr>
        <w:adjustRightInd w:val="0"/>
        <w:snapToGrid w:val="0"/>
        <w:spacing w:line="300" w:lineRule="auto"/>
        <w:ind w:firstLine="539"/>
        <w:textAlignment w:val="top"/>
        <w:rPr>
          <w:rFonts w:ascii="宋体" w:cs="楷体_GB2312"/>
          <w:color w:val="auto"/>
          <w:sz w:val="24"/>
          <w:highlight w:val="none"/>
        </w:rPr>
      </w:pPr>
      <w:r>
        <w:rPr>
          <w:rFonts w:hint="eastAsia" w:ascii="宋体" w:cs="楷体_GB2312"/>
          <w:color w:val="auto"/>
          <w:sz w:val="24"/>
          <w:highlight w:val="none"/>
        </w:rPr>
        <w:t>（8）采购标的成本或同类项目合同价格</w:t>
      </w:r>
    </w:p>
    <w:p>
      <w:pPr>
        <w:adjustRightInd w:val="0"/>
        <w:snapToGrid w:val="0"/>
        <w:spacing w:line="300" w:lineRule="auto"/>
        <w:ind w:firstLine="539"/>
        <w:textAlignment w:val="top"/>
        <w:rPr>
          <w:rFonts w:ascii="宋体" w:cs="楷体_GB2312"/>
          <w:color w:val="auto"/>
          <w:sz w:val="24"/>
          <w:highlight w:val="none"/>
        </w:rPr>
      </w:pPr>
      <w:r>
        <w:rPr>
          <w:rFonts w:hint="eastAsia" w:ascii="宋体" w:cs="楷体_GB2312"/>
          <w:color w:val="auto"/>
          <w:sz w:val="24"/>
          <w:highlight w:val="none"/>
        </w:rPr>
        <w:t>（9）相关专利、专有技术等情况说明</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（10）关于资格的声明函</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（11）反商业贿赂承诺书</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2）履约承诺书</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3）资格要求相关证明材料（文件）</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4）采购项目及技术要求所需的其他材料（按条款需要）</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5）投标人须知所需的其他材料（按条款需要）</w:t>
      </w:r>
    </w:p>
    <w:p>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6）评审办法所需的其他材料（按条款需要）</w:t>
      </w:r>
    </w:p>
    <w:p>
      <w:pPr>
        <w:adjustRightInd w:val="0"/>
        <w:snapToGrid w:val="0"/>
        <w:spacing w:line="300" w:lineRule="auto"/>
        <w:ind w:firstLine="777" w:firstLineChars="324"/>
        <w:textAlignment w:val="top"/>
        <w:rPr>
          <w:rFonts w:ascii="宋体" w:cs="楷体_GB2312"/>
          <w:color w:val="auto"/>
          <w:sz w:val="24"/>
          <w:highlight w:val="none"/>
        </w:rPr>
      </w:pPr>
      <w:r>
        <w:rPr>
          <w:rFonts w:hint="eastAsia" w:ascii="宋体" w:cs="楷体_GB2312"/>
          <w:color w:val="auto"/>
          <w:sz w:val="24"/>
          <w:highlight w:val="none"/>
        </w:rPr>
        <w:t>16-1.其它材料</w:t>
      </w:r>
    </w:p>
    <w:p>
      <w:pPr>
        <w:adjustRightInd w:val="0"/>
        <w:snapToGrid w:val="0"/>
        <w:spacing w:line="300" w:lineRule="auto"/>
        <w:ind w:firstLine="777" w:firstLineChars="324"/>
        <w:textAlignment w:val="top"/>
        <w:rPr>
          <w:rFonts w:ascii="宋体" w:cs="楷体_GB2312"/>
          <w:color w:val="auto"/>
          <w:sz w:val="24"/>
          <w:highlight w:val="none"/>
        </w:rPr>
      </w:pPr>
      <w:r>
        <w:rPr>
          <w:rFonts w:hint="eastAsia" w:ascii="宋体" w:cs="楷体_GB2312"/>
          <w:color w:val="auto"/>
          <w:sz w:val="24"/>
          <w:highlight w:val="none"/>
        </w:rPr>
        <w:t>16-2.附件（如需）：关于台式计算机、便携式计算机、一体式计算机、工作站、通用服务器、操作系统、数据库的投标要求、评审注意事项、承诺函。</w:t>
      </w:r>
    </w:p>
    <w:p>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7）投标人认为有必要提交的其它材料</w:t>
      </w:r>
    </w:p>
    <w:p>
      <w:pPr>
        <w:adjustRightInd w:val="0"/>
        <w:snapToGrid w:val="0"/>
        <w:spacing w:line="300" w:lineRule="auto"/>
        <w:ind w:firstLine="539"/>
        <w:textAlignment w:val="top"/>
        <w:rPr>
          <w:rFonts w:ascii="宋体" w:cs="楷体_GB2312"/>
          <w:color w:val="auto"/>
          <w:sz w:val="24"/>
          <w:highlight w:val="none"/>
          <w:lang w:val="zh-CN"/>
        </w:rPr>
      </w:pPr>
      <w:r>
        <w:rPr>
          <w:color w:val="auto"/>
          <w:sz w:val="24"/>
          <w:szCs w:val="24"/>
          <w:highlight w:val="none"/>
        </w:rPr>
        <w:t>.........</w:t>
      </w:r>
    </w:p>
    <w:p>
      <w:pPr>
        <w:widowControl w:val="0"/>
        <w:snapToGrid w:val="0"/>
        <w:spacing w:before="120" w:beforeLines="50" w:line="300" w:lineRule="auto"/>
        <w:ind w:firstLine="556"/>
        <w:rPr>
          <w:rFonts w:ascii="宋体"/>
          <w:color w:val="auto"/>
          <w:sz w:val="24"/>
          <w:szCs w:val="24"/>
          <w:highlight w:val="none"/>
        </w:rPr>
      </w:pPr>
      <w:r>
        <w:rPr>
          <w:rFonts w:hint="eastAsia" w:ascii="宋体" w:hAnsi="宋体"/>
          <w:color w:val="auto"/>
          <w:sz w:val="24"/>
          <w:szCs w:val="24"/>
          <w:highlight w:val="none"/>
        </w:rPr>
        <w:t>据此函，签字代表宣布同意如下：</w:t>
      </w:r>
    </w:p>
    <w:p>
      <w:pPr>
        <w:widowControl w:val="0"/>
        <w:snapToGrid w:val="0"/>
        <w:spacing w:before="120" w:beforeLines="50" w:line="300" w:lineRule="auto"/>
        <w:ind w:firstLine="556"/>
        <w:rPr>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 xml:space="preserve"> 所附“开标一览表”中规定的应提供和交付的投标总价为：人民币</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rPr>
        <w:t>（文字表述）</w:t>
      </w:r>
      <w:r>
        <w:rPr>
          <w:rFonts w:hint="eastAsia"/>
          <w:color w:val="auto"/>
          <w:sz w:val="24"/>
          <w:szCs w:val="24"/>
          <w:highlight w:val="none"/>
        </w:rPr>
        <w:t>交验期：</w:t>
      </w:r>
      <w:r>
        <w:rPr>
          <w:rFonts w:hint="eastAsia"/>
          <w:color w:val="auto"/>
          <w:sz w:val="24"/>
          <w:szCs w:val="24"/>
          <w:highlight w:val="none"/>
          <w:u w:val="single"/>
        </w:rPr>
        <w:t xml:space="preserve">                   </w:t>
      </w:r>
      <w:r>
        <w:rPr>
          <w:rFonts w:hint="eastAsia"/>
          <w:color w:val="auto"/>
          <w:sz w:val="24"/>
          <w:szCs w:val="24"/>
          <w:highlight w:val="none"/>
        </w:rPr>
        <w:t>，交验地点：</w:t>
      </w:r>
      <w:r>
        <w:rPr>
          <w:rFonts w:hint="eastAsia"/>
          <w:color w:val="auto"/>
          <w:sz w:val="24"/>
          <w:szCs w:val="24"/>
          <w:highlight w:val="none"/>
          <w:u w:val="single"/>
        </w:rPr>
        <w:t xml:space="preserve">                  </w:t>
      </w:r>
      <w:r>
        <w:rPr>
          <w:rFonts w:hint="eastAsia"/>
          <w:color w:val="auto"/>
          <w:sz w:val="24"/>
          <w:szCs w:val="24"/>
          <w:highlight w:val="none"/>
        </w:rPr>
        <w:t>。</w:t>
      </w:r>
    </w:p>
    <w:p>
      <w:pPr>
        <w:widowControl w:val="0"/>
        <w:snapToGrid w:val="0"/>
        <w:spacing w:before="120" w:beforeLines="50" w:line="300" w:lineRule="auto"/>
        <w:ind w:firstLine="556"/>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如果我单位的投标书被接受，我单位将履行单一来源采购文件中规定的每一项要求，按期、按质、按量履行合同。</w:t>
      </w:r>
    </w:p>
    <w:p>
      <w:pPr>
        <w:widowControl w:val="0"/>
        <w:snapToGrid w:val="0"/>
        <w:spacing w:before="120" w:beforeLines="50" w:line="300" w:lineRule="auto"/>
        <w:ind w:firstLine="556"/>
        <w:rPr>
          <w:rFonts w:ascii="宋体"/>
          <w:color w:val="auto"/>
          <w:sz w:val="24"/>
          <w:szCs w:val="24"/>
          <w:highlight w:val="none"/>
        </w:rPr>
      </w:pPr>
      <w:r>
        <w:rPr>
          <w:rFonts w:ascii="宋体" w:hAnsi="宋体"/>
          <w:color w:val="auto"/>
          <w:sz w:val="24"/>
          <w:szCs w:val="24"/>
          <w:highlight w:val="none"/>
        </w:rPr>
        <w:t xml:space="preserve">3. </w:t>
      </w:r>
      <w:r>
        <w:rPr>
          <w:rFonts w:hint="eastAsia" w:ascii="宋体" w:hAnsi="宋体"/>
          <w:color w:val="auto"/>
          <w:sz w:val="24"/>
          <w:szCs w:val="24"/>
          <w:highlight w:val="none"/>
        </w:rPr>
        <w:t>我单位愿按《中华人民共和国民法典》履行我单位的全部责任。</w:t>
      </w:r>
    </w:p>
    <w:p>
      <w:pPr>
        <w:widowControl w:val="0"/>
        <w:snapToGrid w:val="0"/>
        <w:spacing w:before="120" w:beforeLines="50" w:line="300" w:lineRule="auto"/>
        <w:ind w:firstLine="556"/>
        <w:rPr>
          <w:rFonts w:asci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我单位已详细阅读并完全理解、同意单一来源采购文件的全部内容，包括澄清、修改、补充文件（谈判邀请函所述媒体公布）以及全部参考资料和有关附件；除我单位在单一来源采购文件规定期间内书面提出的疑问外，我单位放弃对这方面有不明及误解的权力。</w:t>
      </w:r>
    </w:p>
    <w:p>
      <w:pPr>
        <w:widowControl w:val="0"/>
        <w:snapToGrid w:val="0"/>
        <w:spacing w:before="120" w:beforeLines="50" w:line="300" w:lineRule="auto"/>
        <w:ind w:firstLine="556"/>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 xml:space="preserve"> 本投标自开标日起有效期为</w:t>
      </w:r>
      <w:r>
        <w:rPr>
          <w:rFonts w:ascii="宋体" w:hAnsi="宋体"/>
          <w:color w:val="auto"/>
          <w:sz w:val="24"/>
          <w:szCs w:val="24"/>
          <w:highlight w:val="none"/>
        </w:rPr>
        <w:t>90</w:t>
      </w:r>
      <w:r>
        <w:rPr>
          <w:rFonts w:hint="eastAsia" w:ascii="宋体" w:hAnsi="宋体"/>
          <w:color w:val="auto"/>
          <w:sz w:val="24"/>
          <w:szCs w:val="24"/>
          <w:highlight w:val="none"/>
        </w:rPr>
        <w:t>日历天。</w:t>
      </w:r>
    </w:p>
    <w:p>
      <w:pPr>
        <w:widowControl w:val="0"/>
        <w:snapToGrid w:val="0"/>
        <w:spacing w:before="120"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我单位承诺按照《单一来源采购文件》规定的付款方式执行。</w:t>
      </w:r>
    </w:p>
    <w:p>
      <w:pPr>
        <w:widowControl w:val="0"/>
        <w:snapToGrid w:val="0"/>
        <w:spacing w:before="120"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 xml:space="preserve"> 如果在规定的开标时间后，我单位在投标有效期内撤回投标的，依据单一来源采购文件“第三章 3.5.5 违背承诺的责任追究措施”，我单位承担相应法律责任及违约责任。</w:t>
      </w:r>
    </w:p>
    <w:p>
      <w:pPr>
        <w:widowControl w:val="0"/>
        <w:snapToGrid w:val="0"/>
        <w:spacing w:before="120" w:beforeLines="50" w:line="300" w:lineRule="auto"/>
        <w:ind w:firstLine="556"/>
        <w:rPr>
          <w:rFonts w:asci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 xml:space="preserve">. </w:t>
      </w:r>
      <w:r>
        <w:rPr>
          <w:rFonts w:hint="eastAsia" w:ascii="宋体" w:hAnsi="宋体"/>
          <w:color w:val="auto"/>
          <w:sz w:val="24"/>
          <w:szCs w:val="24"/>
          <w:highlight w:val="none"/>
        </w:rPr>
        <w:t>我单位同意提供按照贵方可能要求的与投标有关的一切数据或资料，理解贵方不一定要接受最低价的投标或收到的任何投标。</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与本投标有关的一切正式往来请寄：</w:t>
      </w:r>
    </w:p>
    <w:p>
      <w:pPr>
        <w:widowControl w:val="0"/>
        <w:snapToGrid w:val="0"/>
        <w:spacing w:line="560" w:lineRule="exact"/>
        <w:ind w:firstLine="555"/>
        <w:jc w:val="left"/>
        <w:rPr>
          <w:rFonts w:ascii="宋体"/>
          <w:color w:val="auto"/>
          <w:sz w:val="24"/>
          <w:szCs w:val="24"/>
          <w:highlight w:val="none"/>
        </w:rPr>
      </w:pPr>
      <w:r>
        <w:rPr>
          <w:rFonts w:hint="eastAsia" w:ascii="宋体" w:hAnsi="宋体"/>
          <w:color w:val="auto"/>
          <w:sz w:val="24"/>
          <w:szCs w:val="24"/>
          <w:highlight w:val="none"/>
        </w:rPr>
        <w:t>地址：</w:t>
      </w:r>
      <w:r>
        <w:rPr>
          <w:rFonts w:ascii="宋体"/>
          <w:color w:val="auto"/>
          <w:sz w:val="24"/>
          <w:szCs w:val="24"/>
          <w:highlight w:val="none"/>
        </w:rPr>
        <w:tab/>
      </w:r>
      <w:r>
        <w:rPr>
          <w:rFonts w:ascii="宋体"/>
          <w:color w:val="auto"/>
          <w:sz w:val="24"/>
          <w:szCs w:val="24"/>
          <w:highlight w:val="none"/>
        </w:rPr>
        <w:tab/>
      </w:r>
      <w:r>
        <w:rPr>
          <w:rFonts w:hint="eastAsia" w:ascii="宋体" w:hAnsi="宋体"/>
          <w:color w:val="auto"/>
          <w:sz w:val="24"/>
          <w:szCs w:val="24"/>
          <w:highlight w:val="none"/>
        </w:rPr>
        <w:t>邮政编码：</w:t>
      </w:r>
      <w:r>
        <w:rPr>
          <w:rFonts w:ascii="宋体"/>
          <w:color w:val="auto"/>
          <w:sz w:val="24"/>
          <w:szCs w:val="24"/>
          <w:highlight w:val="none"/>
        </w:rPr>
        <w:tab/>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电话：</w:t>
      </w:r>
      <w:r>
        <w:rPr>
          <w:rFonts w:ascii="宋体"/>
          <w:color w:val="auto"/>
          <w:sz w:val="24"/>
          <w:szCs w:val="24"/>
          <w:highlight w:val="none"/>
        </w:rPr>
        <w:tab/>
      </w:r>
      <w:r>
        <w:rPr>
          <w:rFonts w:ascii="宋体"/>
          <w:color w:val="auto"/>
          <w:sz w:val="24"/>
          <w:szCs w:val="24"/>
          <w:highlight w:val="none"/>
        </w:rPr>
        <w:tab/>
      </w:r>
      <w:r>
        <w:rPr>
          <w:rFonts w:hint="eastAsia" w:ascii="宋体" w:hAnsi="宋体"/>
          <w:color w:val="auto"/>
          <w:sz w:val="24"/>
          <w:szCs w:val="24"/>
          <w:highlight w:val="none"/>
        </w:rPr>
        <w:t>传真：</w:t>
      </w:r>
    </w:p>
    <w:p>
      <w:pPr>
        <w:widowControl w:val="0"/>
        <w:snapToGrid w:val="0"/>
        <w:spacing w:line="560" w:lineRule="exact"/>
        <w:ind w:firstLine="555"/>
        <w:rPr>
          <w:rFonts w:ascii="宋体"/>
          <w:color w:val="auto"/>
          <w:sz w:val="24"/>
          <w:szCs w:val="24"/>
          <w:highlight w:val="none"/>
        </w:rPr>
      </w:pPr>
    </w:p>
    <w:p>
      <w:pPr>
        <w:widowControl w:val="0"/>
        <w:snapToGrid w:val="0"/>
        <w:spacing w:line="560" w:lineRule="exact"/>
        <w:ind w:firstLine="555"/>
        <w:rPr>
          <w:rFonts w:ascii="宋体"/>
          <w:color w:val="auto"/>
          <w:sz w:val="24"/>
          <w:szCs w:val="24"/>
          <w:highlight w:val="none"/>
        </w:rPr>
      </w:pPr>
    </w:p>
    <w:p>
      <w:pPr>
        <w:widowControl w:val="0"/>
        <w:snapToGrid w:val="0"/>
        <w:spacing w:line="560" w:lineRule="exact"/>
        <w:ind w:firstLine="555"/>
        <w:rPr>
          <w:rFonts w:ascii="宋体"/>
          <w:color w:val="auto"/>
          <w:sz w:val="24"/>
          <w:szCs w:val="24"/>
          <w:highlight w:val="none"/>
        </w:rPr>
      </w:pPr>
    </w:p>
    <w:p>
      <w:pPr>
        <w:widowControl w:val="0"/>
        <w:tabs>
          <w:tab w:val="left" w:pos="9365"/>
        </w:tabs>
        <w:snapToGrid w:val="0"/>
        <w:spacing w:after="56" w:line="560" w:lineRule="exact"/>
        <w:ind w:right="85"/>
        <w:jc w:val="left"/>
        <w:textAlignment w:val="top"/>
        <w:rPr>
          <w:rFonts w:ascii="宋体"/>
          <w:color w:val="auto"/>
          <w:sz w:val="24"/>
          <w:szCs w:val="24"/>
          <w:highlight w:val="none"/>
        </w:rPr>
      </w:pPr>
      <w:r>
        <w:rPr>
          <w:rFonts w:hint="eastAsia" w:ascii="宋体" w:hAnsi="宋体"/>
          <w:color w:val="auto"/>
          <w:sz w:val="24"/>
          <w:szCs w:val="24"/>
          <w:highlight w:val="none"/>
        </w:rPr>
        <w:t>投标人（电子签章）：</w:t>
      </w:r>
    </w:p>
    <w:p>
      <w:pPr>
        <w:widowControl w:val="0"/>
        <w:tabs>
          <w:tab w:val="left" w:pos="9365"/>
        </w:tabs>
        <w:snapToGrid w:val="0"/>
        <w:spacing w:after="56" w:line="560" w:lineRule="exact"/>
        <w:ind w:right="85"/>
        <w:jc w:val="left"/>
        <w:textAlignment w:val="top"/>
        <w:rPr>
          <w:rFonts w:ascii="宋体"/>
          <w:color w:val="auto"/>
          <w:sz w:val="24"/>
          <w:szCs w:val="24"/>
          <w:highlight w:val="none"/>
        </w:rPr>
      </w:pPr>
      <w:r>
        <w:rPr>
          <w:rFonts w:hint="eastAsia" w:ascii="宋体" w:hAnsi="宋体"/>
          <w:color w:val="auto"/>
          <w:sz w:val="24"/>
          <w:szCs w:val="24"/>
          <w:highlight w:val="none"/>
        </w:rPr>
        <w:t>法定代表人（电子签名或签章）：</w:t>
      </w:r>
    </w:p>
    <w:p>
      <w:pPr>
        <w:autoSpaceDE w:val="0"/>
        <w:autoSpaceDN w:val="0"/>
        <w:adjustRightInd w:val="0"/>
        <w:spacing w:line="360" w:lineRule="auto"/>
        <w:ind w:right="-817"/>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color w:val="auto"/>
          <w:sz w:val="24"/>
          <w:szCs w:val="24"/>
          <w:highlight w:val="none"/>
        </w:rPr>
      </w:pPr>
      <w:r>
        <w:rPr>
          <w:color w:val="auto"/>
          <w:sz w:val="24"/>
          <w:szCs w:val="24"/>
          <w:highlight w:val="none"/>
        </w:rPr>
        <w:br w:type="page"/>
      </w:r>
    </w:p>
    <w:p>
      <w:pPr>
        <w:widowControl w:val="0"/>
        <w:snapToGrid w:val="0"/>
        <w:spacing w:line="560" w:lineRule="exact"/>
        <w:jc w:val="center"/>
        <w:rPr>
          <w:rFonts w:ascii="黑体" w:hAnsi="黑体" w:eastAsia="黑体"/>
          <w:b/>
          <w:color w:val="auto"/>
          <w:sz w:val="30"/>
          <w:szCs w:val="30"/>
          <w:highlight w:val="none"/>
        </w:rPr>
      </w:pP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二、开标一览表</w:t>
      </w:r>
      <w:r>
        <w:rPr>
          <w:rFonts w:hint="eastAsia" w:ascii="宋体" w:hAnsi="宋体"/>
          <w:b/>
          <w:color w:val="auto"/>
          <w:sz w:val="24"/>
          <w:szCs w:val="24"/>
          <w:highlight w:val="none"/>
        </w:rPr>
        <w:t>（即交易系统中报价一览表）</w:t>
      </w:r>
    </w:p>
    <w:p>
      <w:pPr>
        <w:widowControl w:val="0"/>
        <w:snapToGrid w:val="0"/>
        <w:spacing w:line="560" w:lineRule="exact"/>
        <w:jc w:val="left"/>
        <w:rPr>
          <w:b/>
          <w:color w:val="auto"/>
          <w:sz w:val="24"/>
          <w:szCs w:val="24"/>
          <w:highlight w:val="none"/>
        </w:rPr>
      </w:pPr>
    </w:p>
    <w:p>
      <w:pPr>
        <w:widowControl w:val="0"/>
        <w:snapToGrid w:val="0"/>
        <w:spacing w:before="120"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pPr>
        <w:widowControl w:val="0"/>
        <w:snapToGrid w:val="0"/>
        <w:spacing w:before="120"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、投标人的投标报价（价格构成）应包括单一来源采购文件所述投标报价的所有内容。</w:t>
      </w:r>
    </w:p>
    <w:p>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单一来源采购文件中所列的所有标段（包）进行分别投标，也可选择其中一个标段（包）或几个标段（包）投标，但不得将单一来源采购文件规定的同一标段（包）的内容拆开投标，否则将按无效投标处理。</w:t>
      </w:r>
    </w:p>
    <w:p>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pPr>
        <w:widowControl w:val="0"/>
        <w:snapToGrid w:val="0"/>
        <w:spacing w:line="360" w:lineRule="auto"/>
        <w:textAlignment w:val="top"/>
        <w:rPr>
          <w:b/>
          <w:color w:val="auto"/>
          <w:sz w:val="24"/>
          <w:szCs w:val="24"/>
          <w:highlight w:val="none"/>
        </w:rPr>
      </w:pPr>
    </w:p>
    <w:p>
      <w:pPr>
        <w:widowControl w:val="0"/>
        <w:snapToGrid w:val="0"/>
        <w:spacing w:line="360" w:lineRule="auto"/>
        <w:textAlignment w:val="top"/>
        <w:rPr>
          <w:b/>
          <w:color w:val="auto"/>
          <w:sz w:val="24"/>
          <w:szCs w:val="24"/>
          <w:highlight w:val="none"/>
        </w:rPr>
      </w:pPr>
    </w:p>
    <w:p>
      <w:pPr>
        <w:widowControl w:val="0"/>
        <w:snapToGrid w:val="0"/>
        <w:spacing w:line="360" w:lineRule="auto"/>
        <w:textAlignment w:val="top"/>
        <w:rPr>
          <w:b/>
          <w:color w:val="auto"/>
          <w:sz w:val="24"/>
          <w:szCs w:val="24"/>
          <w:highlight w:val="none"/>
        </w:rPr>
      </w:pPr>
    </w:p>
    <w:p>
      <w:pPr>
        <w:widowControl w:val="0"/>
        <w:snapToGrid w:val="0"/>
        <w:spacing w:line="360" w:lineRule="auto"/>
        <w:textAlignment w:val="top"/>
        <w:rPr>
          <w:b/>
          <w:color w:val="auto"/>
          <w:sz w:val="24"/>
          <w:szCs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color w:val="auto"/>
          <w:highlight w:val="none"/>
        </w:rPr>
      </w:pPr>
    </w:p>
    <w:p>
      <w:pPr>
        <w:widowControl w:val="0"/>
        <w:tabs>
          <w:tab w:val="left" w:pos="9365"/>
        </w:tabs>
        <w:snapToGrid w:val="0"/>
        <w:spacing w:before="56" w:after="56" w:line="560" w:lineRule="atLeast"/>
        <w:jc w:val="left"/>
        <w:textAlignment w:val="top"/>
        <w:rPr>
          <w:color w:val="auto"/>
          <w:highlight w:val="none"/>
        </w:rPr>
      </w:pPr>
      <w:r>
        <w:rPr>
          <w:color w:val="auto"/>
          <w:highlight w:val="none"/>
        </w:rPr>
        <w:br w:type="page"/>
      </w:r>
    </w:p>
    <w:p>
      <w:pPr>
        <w:widowControl w:val="0"/>
        <w:snapToGrid w:val="0"/>
        <w:spacing w:line="560" w:lineRule="exact"/>
        <w:jc w:val="center"/>
        <w:rPr>
          <w:rFonts w:ascii="黑体" w:hAnsi="黑体" w:eastAsia="黑体"/>
          <w:b/>
          <w:color w:val="auto"/>
          <w:sz w:val="30"/>
          <w:szCs w:val="30"/>
          <w:highlight w:val="none"/>
        </w:rPr>
      </w:pPr>
    </w:p>
    <w:p>
      <w:pPr>
        <w:widowControl w:val="0"/>
        <w:snapToGrid w:val="0"/>
        <w:spacing w:line="560" w:lineRule="exact"/>
        <w:jc w:val="center"/>
        <w:rPr>
          <w:b/>
          <w:color w:val="auto"/>
          <w:sz w:val="24"/>
          <w:szCs w:val="24"/>
          <w:highlight w:val="none"/>
        </w:rPr>
      </w:pPr>
      <w:r>
        <w:rPr>
          <w:rFonts w:hint="eastAsia" w:ascii="黑体" w:hAnsi="黑体" w:eastAsia="黑体"/>
          <w:b/>
          <w:color w:val="auto"/>
          <w:sz w:val="30"/>
          <w:szCs w:val="30"/>
          <w:highlight w:val="none"/>
        </w:rPr>
        <w:t>三、投标报价明细表</w:t>
      </w:r>
    </w:p>
    <w:p>
      <w:pPr>
        <w:pStyle w:val="23"/>
        <w:adjustRightInd w:val="0"/>
        <w:snapToGrid w:val="0"/>
        <w:spacing w:before="120" w:beforeLines="50" w:beforeAutospacing="0" w:after="0" w:afterAutospacing="0"/>
        <w:rPr>
          <w:color w:val="auto"/>
          <w:highlight w:val="none"/>
        </w:rPr>
      </w:pPr>
    </w:p>
    <w:p>
      <w:pPr>
        <w:pStyle w:val="23"/>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23"/>
        <w:adjustRightInd w:val="0"/>
        <w:snapToGrid w:val="0"/>
        <w:spacing w:before="0" w:beforeAutospacing="0" w:after="0" w:afterAutospacing="0"/>
        <w:rPr>
          <w:color w:val="auto"/>
          <w:highlight w:val="none"/>
        </w:rPr>
      </w:pPr>
      <w:r>
        <w:rPr>
          <w:rFonts w:hint="eastAsia"/>
          <w:color w:val="auto"/>
          <w:highlight w:val="none"/>
        </w:rPr>
        <w:t>项目编号：</w:t>
      </w:r>
    </w:p>
    <w:tbl>
      <w:tblPr>
        <w:tblStyle w:val="25"/>
        <w:tblW w:w="924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910"/>
        <w:gridCol w:w="2977"/>
        <w:gridCol w:w="851"/>
        <w:gridCol w:w="850"/>
        <w:gridCol w:w="119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序号</w:t>
            </w:r>
          </w:p>
        </w:tc>
        <w:tc>
          <w:tcPr>
            <w:tcW w:w="1910"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产品名称</w:t>
            </w:r>
          </w:p>
        </w:tc>
        <w:tc>
          <w:tcPr>
            <w:tcW w:w="2977" w:type="dxa"/>
            <w:tcBorders>
              <w:top w:val="single" w:color="000000" w:sz="8" w:space="0"/>
              <w:bottom w:val="single" w:color="000000" w:sz="4" w:space="0"/>
              <w:right w:val="single" w:color="000000" w:sz="4" w:space="0"/>
            </w:tcBorders>
            <w:vAlign w:val="center"/>
          </w:tcPr>
          <w:p>
            <w:pPr>
              <w:spacing w:line="300" w:lineRule="exact"/>
              <w:jc w:val="center"/>
              <w:rPr>
                <w:color w:val="auto"/>
                <w:szCs w:val="21"/>
                <w:highlight w:val="none"/>
              </w:rPr>
            </w:pPr>
            <w:r>
              <w:rPr>
                <w:rFonts w:hint="eastAsia"/>
                <w:color w:val="auto"/>
                <w:highlight w:val="none"/>
              </w:rPr>
              <w:t>品牌型号规格</w:t>
            </w:r>
          </w:p>
        </w:tc>
        <w:tc>
          <w:tcPr>
            <w:tcW w:w="851"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单位</w:t>
            </w:r>
          </w:p>
        </w:tc>
        <w:tc>
          <w:tcPr>
            <w:tcW w:w="850"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数量</w:t>
            </w:r>
          </w:p>
        </w:tc>
        <w:tc>
          <w:tcPr>
            <w:tcW w:w="1190"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单价</w:t>
            </w:r>
          </w:p>
        </w:tc>
        <w:tc>
          <w:tcPr>
            <w:tcW w:w="1000" w:type="dxa"/>
            <w:tcBorders>
              <w:top w:val="single" w:color="000000" w:sz="8" w:space="0"/>
              <w:bottom w:val="single" w:color="000000" w:sz="4" w:space="0"/>
              <w:right w:val="single" w:color="000000" w:sz="8" w:space="0"/>
            </w:tcBorders>
            <w:vAlign w:val="center"/>
          </w:tcPr>
          <w:p>
            <w:pPr>
              <w:spacing w:line="560" w:lineRule="exact"/>
              <w:jc w:val="center"/>
              <w:rPr>
                <w:color w:val="auto"/>
                <w:sz w:val="28"/>
                <w:highlight w:val="none"/>
              </w:rPr>
            </w:pPr>
            <w:r>
              <w:rPr>
                <w:rFonts w:hint="eastAsia"/>
                <w:color w:val="auto"/>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243" w:type="dxa"/>
            <w:gridSpan w:val="7"/>
            <w:tcBorders>
              <w:left w:val="single" w:color="000000" w:sz="8" w:space="0"/>
              <w:bottom w:val="single" w:color="000000" w:sz="8" w:space="0"/>
              <w:right w:val="single" w:color="000000" w:sz="8" w:space="0"/>
            </w:tcBorders>
            <w:vAlign w:val="center"/>
          </w:tcPr>
          <w:p>
            <w:pPr>
              <w:spacing w:line="560" w:lineRule="exact"/>
              <w:jc w:val="left"/>
              <w:rPr>
                <w:color w:val="auto"/>
                <w:highlight w:val="none"/>
              </w:rPr>
            </w:pPr>
            <w:r>
              <w:rPr>
                <w:rFonts w:hint="eastAsia"/>
                <w:color w:val="auto"/>
                <w:highlight w:val="none"/>
              </w:rPr>
              <w:t>投标报价：仟佰拾万仟佰拾元整</w:t>
            </w:r>
          </w:p>
          <w:p>
            <w:pPr>
              <w:spacing w:line="560" w:lineRule="exact"/>
              <w:jc w:val="center"/>
              <w:rPr>
                <w:color w:val="auto"/>
                <w:sz w:val="28"/>
                <w:highlight w:val="none"/>
              </w:rPr>
            </w:pPr>
            <w:r>
              <w:rPr>
                <w:rFonts w:hint="eastAsia"/>
                <w:color w:val="auto"/>
                <w:highlight w:val="none"/>
              </w:rPr>
              <w:t>（小写：¥　　　　元）</w:t>
            </w:r>
          </w:p>
        </w:tc>
      </w:tr>
    </w:tbl>
    <w:p>
      <w:pPr>
        <w:widowControl w:val="0"/>
        <w:tabs>
          <w:tab w:val="left" w:pos="9365"/>
        </w:tabs>
        <w:snapToGrid w:val="0"/>
        <w:spacing w:after="56" w:line="240" w:lineRule="auto"/>
        <w:ind w:right="85"/>
        <w:jc w:val="left"/>
        <w:textAlignment w:val="top"/>
        <w:rPr>
          <w:color w:val="auto"/>
          <w:sz w:val="24"/>
          <w:szCs w:val="24"/>
          <w:highlight w:val="none"/>
        </w:rPr>
      </w:pPr>
    </w:p>
    <w:p>
      <w:pPr>
        <w:widowControl w:val="0"/>
        <w:tabs>
          <w:tab w:val="left" w:pos="9365"/>
        </w:tabs>
        <w:snapToGrid w:val="0"/>
        <w:spacing w:after="56" w:line="240" w:lineRule="auto"/>
        <w:ind w:right="85"/>
        <w:jc w:val="left"/>
        <w:textAlignment w:val="top"/>
        <w:rPr>
          <w:color w:val="auto"/>
          <w:sz w:val="24"/>
          <w:szCs w:val="24"/>
          <w:highlight w:val="none"/>
        </w:rPr>
      </w:pPr>
    </w:p>
    <w:p>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tabs>
          <w:tab w:val="left" w:pos="540"/>
        </w:tabs>
        <w:spacing w:line="440" w:lineRule="exact"/>
        <w:jc w:val="center"/>
        <w:rPr>
          <w:rFonts w:ascii="宋体"/>
          <w:color w:val="auto"/>
          <w:sz w:val="24"/>
          <w:highlight w:val="none"/>
        </w:rPr>
      </w:pPr>
      <w:r>
        <w:rPr>
          <w:color w:val="auto"/>
          <w:sz w:val="28"/>
          <w:highlight w:val="none"/>
        </w:rPr>
        <w:br w:type="page"/>
      </w:r>
    </w:p>
    <w:p>
      <w:pPr>
        <w:widowControl w:val="0"/>
        <w:snapToGrid w:val="0"/>
        <w:spacing w:line="560" w:lineRule="exact"/>
        <w:jc w:val="center"/>
        <w:rPr>
          <w:rFonts w:eastAsia="方正黑体简体" w:cs="方正黑体简体"/>
          <w:b/>
          <w:bCs/>
          <w:color w:val="auto"/>
          <w:sz w:val="30"/>
          <w:szCs w:val="30"/>
          <w:highlight w:val="none"/>
        </w:rPr>
      </w:pPr>
    </w:p>
    <w:p>
      <w:pPr>
        <w:widowControl w:val="0"/>
        <w:snapToGrid w:val="0"/>
        <w:spacing w:line="560" w:lineRule="exact"/>
        <w:jc w:val="center"/>
        <w:rPr>
          <w:rFonts w:ascii="黑体" w:hAnsi="黑体" w:eastAsia="黑体"/>
          <w:color w:val="auto"/>
          <w:sz w:val="30"/>
          <w:szCs w:val="30"/>
          <w:highlight w:val="none"/>
        </w:rPr>
      </w:pPr>
      <w:r>
        <w:rPr>
          <w:rFonts w:hint="eastAsia" w:eastAsia="方正黑体简体" w:cs="方正黑体简体"/>
          <w:b/>
          <w:bCs/>
          <w:color w:val="auto"/>
          <w:sz w:val="30"/>
          <w:szCs w:val="30"/>
          <w:highlight w:val="none"/>
        </w:rPr>
        <w:t>四、</w:t>
      </w:r>
      <w:r>
        <w:rPr>
          <w:rFonts w:hint="eastAsia" w:ascii="黑体" w:hAnsi="黑体" w:eastAsia="黑体"/>
          <w:b/>
          <w:color w:val="auto"/>
          <w:sz w:val="30"/>
          <w:szCs w:val="30"/>
          <w:highlight w:val="none"/>
        </w:rPr>
        <w:t>投标产品清单及具体技术参数</w:t>
      </w:r>
    </w:p>
    <w:p>
      <w:pPr>
        <w:pStyle w:val="23"/>
        <w:adjustRightInd w:val="0"/>
        <w:snapToGrid w:val="0"/>
        <w:spacing w:before="0" w:beforeAutospacing="0" w:after="0" w:afterAutospacing="0"/>
        <w:rPr>
          <w:color w:val="auto"/>
          <w:highlight w:val="none"/>
        </w:rPr>
      </w:pPr>
    </w:p>
    <w:p>
      <w:pPr>
        <w:pStyle w:val="23"/>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23"/>
        <w:adjustRightInd w:val="0"/>
        <w:snapToGrid w:val="0"/>
        <w:spacing w:before="0" w:beforeAutospacing="0" w:after="0" w:afterAutospacing="0"/>
        <w:rPr>
          <w:color w:val="auto"/>
          <w:highlight w:val="none"/>
        </w:rPr>
      </w:pPr>
      <w:r>
        <w:rPr>
          <w:rFonts w:hint="eastAsia"/>
          <w:color w:val="auto"/>
          <w:highlight w:val="none"/>
        </w:rPr>
        <w:t>项目编号：</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序号</w:t>
            </w:r>
          </w:p>
        </w:tc>
        <w:tc>
          <w:tcPr>
            <w:tcW w:w="1200"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color w:val="auto"/>
                <w:sz w:val="28"/>
                <w:highlight w:val="none"/>
              </w:rPr>
            </w:pPr>
            <w:r>
              <w:rPr>
                <w:rFonts w:hint="eastAsia"/>
                <w:color w:val="auto"/>
                <w:highlight w:val="none"/>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数量</w:t>
            </w:r>
          </w:p>
        </w:tc>
        <w:tc>
          <w:tcPr>
            <w:tcW w:w="1134"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品牌型号</w:t>
            </w:r>
          </w:p>
        </w:tc>
        <w:tc>
          <w:tcPr>
            <w:tcW w:w="1912"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color w:val="auto"/>
                <w:sz w:val="28"/>
                <w:highlight w:val="none"/>
              </w:rPr>
            </w:pPr>
            <w:r>
              <w:rPr>
                <w:rFonts w:hint="eastAsia"/>
                <w:color w:val="auto"/>
                <w:highlight w:val="none"/>
              </w:rPr>
              <w:t>附件</w:t>
            </w:r>
          </w:p>
        </w:tc>
        <w:tc>
          <w:tcPr>
            <w:tcW w:w="1490" w:type="dxa"/>
            <w:tcBorders>
              <w:top w:val="single" w:color="000000" w:sz="8" w:space="0"/>
              <w:bottom w:val="single" w:color="000000" w:sz="4" w:space="0"/>
              <w:right w:val="single" w:color="000000" w:sz="8" w:space="0"/>
            </w:tcBorders>
          </w:tcPr>
          <w:p>
            <w:pPr>
              <w:spacing w:line="360" w:lineRule="exact"/>
              <w:jc w:val="center"/>
              <w:rPr>
                <w:color w:val="auto"/>
                <w:highlight w:val="none"/>
              </w:rPr>
            </w:pPr>
            <w:r>
              <w:rPr>
                <w:rFonts w:hint="eastAsia"/>
                <w:color w:val="auto"/>
                <w:szCs w:val="21"/>
                <w:highlight w:val="none"/>
              </w:rPr>
              <w:t>节能产品、环境标志产品的标注</w:t>
            </w:r>
            <w:r>
              <w:rPr>
                <w:color w:val="auto"/>
                <w:sz w:val="18"/>
                <w:szCs w:val="18"/>
                <w:highlight w:val="none"/>
              </w:rPr>
              <w:t>(</w:t>
            </w:r>
            <w:r>
              <w:rPr>
                <w:rFonts w:hint="eastAsia"/>
                <w:color w:val="auto"/>
                <w:sz w:val="18"/>
                <w:szCs w:val="18"/>
                <w:highlight w:val="none"/>
              </w:rPr>
              <w:t>按需填列</w:t>
            </w:r>
            <w:r>
              <w:rPr>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480" w:type="dxa"/>
            <w:tcBorders>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1</w:t>
            </w:r>
          </w:p>
        </w:tc>
        <w:tc>
          <w:tcPr>
            <w:tcW w:w="120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90"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2</w:t>
            </w:r>
          </w:p>
        </w:tc>
        <w:tc>
          <w:tcPr>
            <w:tcW w:w="120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90"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3</w:t>
            </w:r>
          </w:p>
        </w:tc>
        <w:tc>
          <w:tcPr>
            <w:tcW w:w="1200"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1134" w:type="dxa"/>
            <w:tcBorders>
              <w:right w:val="single" w:color="000000" w:sz="4" w:space="0"/>
            </w:tcBorders>
            <w:vAlign w:val="center"/>
          </w:tcPr>
          <w:p>
            <w:pPr>
              <w:spacing w:line="360" w:lineRule="exact"/>
              <w:jc w:val="center"/>
              <w:rPr>
                <w:color w:val="auto"/>
                <w:sz w:val="28"/>
                <w:highlight w:val="none"/>
              </w:rPr>
            </w:pPr>
          </w:p>
        </w:tc>
        <w:tc>
          <w:tcPr>
            <w:tcW w:w="1912" w:type="dxa"/>
            <w:tcBorders>
              <w:right w:val="single" w:color="000000" w:sz="4" w:space="0"/>
            </w:tcBorders>
            <w:vAlign w:val="center"/>
          </w:tcPr>
          <w:p>
            <w:pPr>
              <w:spacing w:line="360" w:lineRule="exact"/>
              <w:jc w:val="center"/>
              <w:rPr>
                <w:color w:val="auto"/>
                <w:sz w:val="28"/>
                <w:highlight w:val="none"/>
              </w:rPr>
            </w:pPr>
          </w:p>
        </w:tc>
        <w:tc>
          <w:tcPr>
            <w:tcW w:w="1559"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8" w:space="0"/>
            </w:tcBorders>
            <w:vAlign w:val="center"/>
          </w:tcPr>
          <w:p>
            <w:pPr>
              <w:spacing w:line="360" w:lineRule="exact"/>
              <w:jc w:val="center"/>
              <w:rPr>
                <w:color w:val="auto"/>
                <w:sz w:val="28"/>
                <w:highlight w:val="none"/>
              </w:rPr>
            </w:pPr>
          </w:p>
        </w:tc>
        <w:tc>
          <w:tcPr>
            <w:tcW w:w="1490" w:type="dxa"/>
            <w:tcBorders>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highlight w:val="none"/>
              </w:rPr>
            </w:pPr>
            <w:r>
              <w:rPr>
                <w:rFonts w:hint="eastAsia"/>
                <w:color w:val="auto"/>
                <w:highlight w:val="none"/>
              </w:rPr>
              <w:t>……</w:t>
            </w:r>
          </w:p>
        </w:tc>
        <w:tc>
          <w:tcPr>
            <w:tcW w:w="1200"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1134" w:type="dxa"/>
            <w:tcBorders>
              <w:right w:val="single" w:color="000000" w:sz="4" w:space="0"/>
            </w:tcBorders>
            <w:vAlign w:val="center"/>
          </w:tcPr>
          <w:p>
            <w:pPr>
              <w:spacing w:line="360" w:lineRule="exact"/>
              <w:jc w:val="center"/>
              <w:rPr>
                <w:color w:val="auto"/>
                <w:sz w:val="28"/>
                <w:highlight w:val="none"/>
              </w:rPr>
            </w:pPr>
          </w:p>
        </w:tc>
        <w:tc>
          <w:tcPr>
            <w:tcW w:w="1912" w:type="dxa"/>
            <w:tcBorders>
              <w:right w:val="single" w:color="000000" w:sz="4" w:space="0"/>
            </w:tcBorders>
            <w:vAlign w:val="center"/>
          </w:tcPr>
          <w:p>
            <w:pPr>
              <w:spacing w:line="360" w:lineRule="exact"/>
              <w:jc w:val="center"/>
              <w:rPr>
                <w:color w:val="auto"/>
                <w:sz w:val="28"/>
                <w:highlight w:val="none"/>
              </w:rPr>
            </w:pPr>
          </w:p>
        </w:tc>
        <w:tc>
          <w:tcPr>
            <w:tcW w:w="1559"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8" w:space="0"/>
            </w:tcBorders>
            <w:vAlign w:val="center"/>
          </w:tcPr>
          <w:p>
            <w:pPr>
              <w:spacing w:line="360" w:lineRule="exact"/>
              <w:jc w:val="center"/>
              <w:rPr>
                <w:color w:val="auto"/>
                <w:sz w:val="28"/>
                <w:highlight w:val="none"/>
              </w:rPr>
            </w:pPr>
          </w:p>
        </w:tc>
        <w:tc>
          <w:tcPr>
            <w:tcW w:w="1490" w:type="dxa"/>
            <w:tcBorders>
              <w:right w:val="single" w:color="000000" w:sz="8" w:space="0"/>
            </w:tcBorders>
          </w:tcPr>
          <w:p>
            <w:pPr>
              <w:spacing w:line="360" w:lineRule="exact"/>
              <w:jc w:val="center"/>
              <w:rPr>
                <w:color w:val="auto"/>
                <w:sz w:val="28"/>
                <w:highlight w:val="none"/>
              </w:rPr>
            </w:pPr>
          </w:p>
        </w:tc>
      </w:tr>
    </w:tbl>
    <w:p>
      <w:pPr>
        <w:spacing w:line="240" w:lineRule="auto"/>
        <w:rPr>
          <w:rFonts w:ascii="宋体" w:hAnsi="宋体" w:cs="宋体"/>
          <w:color w:val="auto"/>
          <w:highlight w:val="none"/>
        </w:rPr>
      </w:pPr>
      <w:r>
        <w:rPr>
          <w:rFonts w:hint="eastAsia"/>
          <w:color w:val="auto"/>
          <w:sz w:val="24"/>
          <w:highlight w:val="none"/>
        </w:rPr>
        <w:t>　</w:t>
      </w:r>
      <w:r>
        <w:rPr>
          <w:rFonts w:hint="eastAsia"/>
          <w:color w:val="auto"/>
          <w:highlight w:val="none"/>
        </w:rPr>
        <w:t>注：</w:t>
      </w:r>
      <w:r>
        <w:rPr>
          <w:rFonts w:hint="eastAsia" w:ascii="宋体" w:hAnsi="宋体" w:cs="宋体"/>
          <w:color w:val="auto"/>
          <w:highlight w:val="none"/>
        </w:rPr>
        <w:t>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“为节能产品，节能产品认证证书后附”，认证证书应当为国家确定的认证机构出具、且应处于有效期之内。不符合的、按单一来源采购文件规定为无效投标。</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pPr>
        <w:autoSpaceDE w:val="0"/>
        <w:autoSpaceDN w:val="0"/>
        <w:adjustRightInd w:val="0"/>
        <w:spacing w:line="360" w:lineRule="auto"/>
        <w:jc w:val="center"/>
        <w:rPr>
          <w:color w:val="auto"/>
          <w:sz w:val="28"/>
          <w:highlight w:val="none"/>
        </w:rPr>
      </w:pPr>
    </w:p>
    <w:p>
      <w:pPr>
        <w:widowControl w:val="0"/>
        <w:snapToGrid w:val="0"/>
        <w:spacing w:line="560" w:lineRule="exact"/>
        <w:jc w:val="center"/>
        <w:rPr>
          <w:rFonts w:eastAsia="方正黑体简体"/>
          <w:b/>
          <w:color w:val="auto"/>
          <w:sz w:val="30"/>
          <w:szCs w:val="30"/>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eastAsia="方正黑体简体"/>
          <w:b/>
          <w:color w:val="auto"/>
          <w:sz w:val="30"/>
          <w:szCs w:val="30"/>
          <w:highlight w:val="none"/>
        </w:rPr>
      </w:pPr>
    </w:p>
    <w:p>
      <w:pPr>
        <w:tabs>
          <w:tab w:val="left" w:pos="540"/>
        </w:tabs>
        <w:spacing w:line="440" w:lineRule="exact"/>
        <w:jc w:val="center"/>
        <w:rPr>
          <w:rFonts w:eastAsia="方正黑体简体"/>
          <w:b/>
          <w:color w:val="auto"/>
          <w:sz w:val="30"/>
          <w:szCs w:val="30"/>
          <w:highlight w:val="none"/>
        </w:rPr>
      </w:pPr>
    </w:p>
    <w:p>
      <w:pPr>
        <w:spacing w:line="240" w:lineRule="auto"/>
        <w:jc w:val="center"/>
        <w:textAlignment w:val="auto"/>
        <w:rPr>
          <w:rFonts w:ascii="黑体" w:hAnsi="黑体" w:eastAsia="黑体"/>
          <w:color w:val="auto"/>
          <w:sz w:val="30"/>
          <w:szCs w:val="30"/>
          <w:highlight w:val="none"/>
        </w:rPr>
      </w:pPr>
      <w:r>
        <w:rPr>
          <w:rFonts w:hint="eastAsia" w:ascii="黑体" w:hAnsi="黑体" w:eastAsia="黑体"/>
          <w:b/>
          <w:color w:val="auto"/>
          <w:sz w:val="30"/>
          <w:szCs w:val="30"/>
          <w:highlight w:val="none"/>
        </w:rPr>
        <w:t>五、技术偏差表</w:t>
      </w:r>
    </w:p>
    <w:p>
      <w:pPr>
        <w:pStyle w:val="23"/>
        <w:adjustRightInd w:val="0"/>
        <w:snapToGrid w:val="0"/>
        <w:spacing w:before="0" w:beforeAutospacing="0" w:after="0" w:afterAutospacing="0"/>
        <w:rPr>
          <w:color w:val="auto"/>
          <w:highlight w:val="none"/>
        </w:rPr>
      </w:pPr>
    </w:p>
    <w:p>
      <w:pPr>
        <w:pStyle w:val="23"/>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23"/>
        <w:adjustRightInd w:val="0"/>
        <w:snapToGrid w:val="0"/>
        <w:spacing w:before="0" w:beforeAutospacing="0" w:after="0" w:afterAutospacing="0"/>
        <w:rPr>
          <w:color w:val="auto"/>
          <w:highlight w:val="none"/>
        </w:rPr>
      </w:pPr>
      <w:r>
        <w:rPr>
          <w:rFonts w:hint="eastAsia"/>
          <w:color w:val="auto"/>
          <w:highlight w:val="none"/>
        </w:rPr>
        <w:t>项目编号：</w:t>
      </w:r>
    </w:p>
    <w:tbl>
      <w:tblPr>
        <w:tblStyle w:val="25"/>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360"/>
        <w:gridCol w:w="246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136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产品名称</w:t>
            </w:r>
          </w:p>
        </w:tc>
        <w:tc>
          <w:tcPr>
            <w:tcW w:w="246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《单一来源采购文件》要求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highlight w:val="none"/>
              </w:rPr>
            </w:pPr>
            <w:r>
              <w:rPr>
                <w:rFonts w:hint="eastAsia"/>
                <w:b/>
                <w:color w:val="auto"/>
                <w:highlight w:val="none"/>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136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1360"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464"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8" w:space="0"/>
              <w:right w:val="single" w:color="000000" w:sz="8" w:space="0"/>
            </w:tcBorders>
          </w:tcPr>
          <w:p>
            <w:pPr>
              <w:spacing w:line="560" w:lineRule="exact"/>
              <w:jc w:val="center"/>
              <w:rPr>
                <w:color w:val="auto"/>
                <w:sz w:val="28"/>
                <w:highlight w:val="none"/>
              </w:rPr>
            </w:pPr>
          </w:p>
        </w:tc>
      </w:tr>
    </w:tbl>
    <w:p>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、“偏差”栏中详细注明所投产品参数与《单一来源采购文件》中要求有何不同，并说明其符合性。投标人应分标段（包）填制本表。</w:t>
      </w:r>
    </w:p>
    <w:p>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、如所投产品配置及技术参数与“技术要求”一致的部分，仍需在本表填列“与《单一来源采购文件》技术要求一致”</w:t>
      </w:r>
      <w:r>
        <w:rPr>
          <w:rFonts w:hint="eastAsia" w:ascii="宋体" w:hAnsi="宋体"/>
          <w:color w:val="auto"/>
          <w:spacing w:val="8"/>
          <w:szCs w:val="21"/>
          <w:highlight w:val="none"/>
        </w:rPr>
        <w:t>等相似表述</w:t>
      </w:r>
      <w:r>
        <w:rPr>
          <w:rFonts w:hint="eastAsia"/>
          <w:color w:val="auto"/>
          <w:highlight w:val="none"/>
        </w:rPr>
        <w:t>。</w:t>
      </w:r>
    </w:p>
    <w:p>
      <w:pPr>
        <w:widowControl w:val="0"/>
        <w:snapToGrid w:val="0"/>
        <w:spacing w:line="560" w:lineRule="exact"/>
        <w:jc w:val="center"/>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jc w:val="center"/>
        <w:rPr>
          <w:rFonts w:eastAsia="方正黑体简体" w:cs="方正黑体简体"/>
          <w:b/>
          <w:bCs/>
          <w:color w:val="auto"/>
          <w:sz w:val="30"/>
          <w:szCs w:val="30"/>
          <w:highlight w:val="none"/>
        </w:rPr>
      </w:pPr>
    </w:p>
    <w:p>
      <w:pPr>
        <w:autoSpaceDE w:val="0"/>
        <w:autoSpaceDN w:val="0"/>
        <w:adjustRightInd w:val="0"/>
        <w:spacing w:line="360" w:lineRule="auto"/>
        <w:rPr>
          <w:rFonts w:eastAsia="方正黑体简体" w:cs="方正黑体简体"/>
          <w:b/>
          <w:bCs/>
          <w:color w:val="auto"/>
          <w:sz w:val="30"/>
          <w:szCs w:val="30"/>
          <w:highlight w:val="none"/>
        </w:rPr>
      </w:pPr>
    </w:p>
    <w:p>
      <w:pPr>
        <w:autoSpaceDE w:val="0"/>
        <w:autoSpaceDN w:val="0"/>
        <w:adjustRightInd w:val="0"/>
        <w:spacing w:line="360" w:lineRule="auto"/>
        <w:jc w:val="center"/>
        <w:rPr>
          <w:rFonts w:ascii="黑体" w:hAnsi="黑体" w:eastAsia="黑体"/>
          <w:b/>
          <w:color w:val="auto"/>
          <w:sz w:val="30"/>
          <w:szCs w:val="30"/>
          <w:highlight w:val="none"/>
        </w:rPr>
      </w:pPr>
    </w:p>
    <w:p>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六、其他偏差表（除技术偏差外）</w:t>
      </w:r>
    </w:p>
    <w:p>
      <w:pPr>
        <w:pStyle w:val="23"/>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23"/>
        <w:adjustRightInd w:val="0"/>
        <w:snapToGrid w:val="0"/>
        <w:spacing w:before="0" w:beforeAutospacing="0" w:after="0" w:afterAutospacing="0"/>
        <w:rPr>
          <w:color w:val="auto"/>
          <w:highlight w:val="none"/>
        </w:rPr>
      </w:pPr>
      <w:r>
        <w:rPr>
          <w:rFonts w:hint="eastAsia"/>
          <w:color w:val="auto"/>
          <w:highlight w:val="none"/>
        </w:rPr>
        <w:t>项目编号：</w:t>
      </w:r>
    </w:p>
    <w:tbl>
      <w:tblPr>
        <w:tblStyle w:val="2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单一来源采购文件要求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pPr>
              <w:spacing w:line="560" w:lineRule="exact"/>
              <w:jc w:val="center"/>
              <w:rPr>
                <w:color w:val="auto"/>
                <w:sz w:val="28"/>
                <w:highlight w:val="none"/>
              </w:rPr>
            </w:pPr>
          </w:p>
        </w:tc>
      </w:tr>
    </w:tbl>
    <w:p>
      <w:pPr>
        <w:tabs>
          <w:tab w:val="left" w:pos="0"/>
        </w:tabs>
        <w:adjustRightInd w:val="0"/>
        <w:snapToGrid w:val="0"/>
        <w:spacing w:before="120"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、“其他偏差表”应详细注明与《单一来源采购文件》中各项要求（除技术条款外的所有条款）有何不同，并说明其符合性（优于、或低于《单一来源采购文件》要求）。</w:t>
      </w:r>
    </w:p>
    <w:p>
      <w:pPr>
        <w:tabs>
          <w:tab w:val="left" w:pos="0"/>
        </w:tabs>
        <w:adjustRightInd w:val="0"/>
        <w:snapToGrid w:val="0"/>
        <w:spacing w:before="120"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、如投标条款与《单一来源采购文件》其他要求一致，仍需在本表填列“除技术条款外，与《单一来源采购文件》所有条款要求一致，无偏差”等相似表述。</w:t>
      </w:r>
    </w:p>
    <w:p>
      <w:pPr>
        <w:tabs>
          <w:tab w:val="left" w:pos="0"/>
        </w:tabs>
        <w:adjustRightInd w:val="0"/>
        <w:snapToGrid w:val="0"/>
        <w:spacing w:before="120" w:beforeLines="50" w:line="300" w:lineRule="auto"/>
        <w:ind w:right="510"/>
        <w:rPr>
          <w:rFonts w:ascii="宋体"/>
          <w:color w:val="auto"/>
          <w:spacing w:val="8"/>
          <w:szCs w:val="21"/>
          <w:highlight w:val="none"/>
        </w:rPr>
      </w:pPr>
    </w:p>
    <w:p>
      <w:pPr>
        <w:widowControl w:val="0"/>
        <w:snapToGrid w:val="0"/>
        <w:spacing w:line="560" w:lineRule="exact"/>
        <w:jc w:val="center"/>
        <w:rPr>
          <w:color w:val="auto"/>
          <w:sz w:val="24"/>
          <w:szCs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hint="eastAsia" w:ascii="宋体" w:hAnsi="宋体" w:cs="楷体_GB2312"/>
          <w:color w:val="auto"/>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bookmarkStart w:id="61" w:name="OLE_LINK27"/>
    </w:p>
    <w:p>
      <w:pPr>
        <w:tabs>
          <w:tab w:val="left" w:pos="540"/>
        </w:tabs>
        <w:spacing w:line="440" w:lineRule="exact"/>
        <w:jc w:val="center"/>
        <w:rPr>
          <w:rFonts w:ascii="黑体" w:hAnsi="黑体" w:eastAsia="黑体"/>
          <w:b/>
          <w:color w:val="auto"/>
          <w:sz w:val="30"/>
          <w:szCs w:val="30"/>
          <w:highlight w:val="none"/>
        </w:rPr>
      </w:pP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七、售后服务计划</w:t>
      </w:r>
      <w:bookmarkEnd w:id="61"/>
    </w:p>
    <w:p>
      <w:pPr>
        <w:snapToGrid w:val="0"/>
        <w:spacing w:line="560" w:lineRule="exact"/>
        <w:ind w:firstLine="839"/>
        <w:rPr>
          <w:color w:val="auto"/>
          <w:highlight w:val="none"/>
        </w:rPr>
      </w:pP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、“售后服务计划”按单一来源采购文件相应条款要求电子签名&lt;签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r>
        <w:rPr>
          <w:rFonts w:ascii="宋体" w:hAnsi="宋体" w:cs="楷体_GB2312"/>
          <w:color w:val="auto"/>
          <w:sz w:val="24"/>
          <w:highlight w:val="none"/>
          <w:lang w:val="zh-CN"/>
        </w:rPr>
        <w:t xml:space="preserve">     </w:t>
      </w:r>
    </w:p>
    <w:p>
      <w:pPr>
        <w:snapToGrid w:val="0"/>
        <w:spacing w:line="560" w:lineRule="exact"/>
        <w:rPr>
          <w:color w:val="auto"/>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八、采购标的成本或同类项目合同价格</w:t>
      </w:r>
    </w:p>
    <w:p>
      <w:pPr>
        <w:adjustRightInd w:val="0"/>
        <w:snapToGrid w:val="0"/>
        <w:spacing w:line="300" w:lineRule="auto"/>
        <w:ind w:firstLine="539"/>
        <w:textAlignment w:val="top"/>
        <w:rPr>
          <w:color w:val="auto"/>
          <w:sz w:val="24"/>
          <w:highlight w:val="none"/>
        </w:rPr>
      </w:pPr>
    </w:p>
    <w:p>
      <w:pPr>
        <w:adjustRightInd w:val="0"/>
        <w:snapToGrid w:val="0"/>
        <w:spacing w:line="300" w:lineRule="auto"/>
        <w:ind w:firstLine="539"/>
        <w:textAlignment w:val="top"/>
        <w:rPr>
          <w:color w:val="auto"/>
          <w:sz w:val="24"/>
          <w:highlight w:val="none"/>
        </w:rPr>
      </w:pPr>
    </w:p>
    <w:p>
      <w:pPr>
        <w:adjustRightInd w:val="0"/>
        <w:snapToGrid w:val="0"/>
        <w:spacing w:line="300" w:lineRule="auto"/>
        <w:ind w:firstLine="539"/>
        <w:jc w:val="center"/>
        <w:textAlignment w:val="top"/>
        <w:rPr>
          <w:color w:val="auto"/>
          <w:sz w:val="24"/>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rPr>
          <w:color w:val="auto"/>
          <w:sz w:val="24"/>
          <w:highlight w:val="none"/>
        </w:rPr>
      </w:pPr>
    </w:p>
    <w:p>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九、相关专利、专有技术等情况说明</w:t>
      </w: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jc w:val="center"/>
        <w:rPr>
          <w:rFonts w:eastAsia="方正黑体简体"/>
          <w:b/>
          <w:color w:val="auto"/>
          <w:sz w:val="30"/>
          <w:szCs w:val="30"/>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hint="eastAsia" w:ascii="宋体" w:hAnsi="宋体" w:cs="楷体_GB2312"/>
          <w:color w:val="auto"/>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color w:val="auto"/>
          <w:sz w:val="24"/>
          <w:highlight w:val="none"/>
        </w:rPr>
      </w:pPr>
    </w:p>
    <w:p>
      <w:pPr>
        <w:autoSpaceDE w:val="0"/>
        <w:autoSpaceDN w:val="0"/>
        <w:adjustRightInd w:val="0"/>
        <w:spacing w:line="360" w:lineRule="auto"/>
        <w:jc w:val="center"/>
        <w:rPr>
          <w:rFonts w:eastAsia="方正黑体简体"/>
          <w:b/>
          <w:color w:val="auto"/>
          <w:sz w:val="30"/>
          <w:szCs w:val="30"/>
          <w:highlight w:val="none"/>
        </w:rPr>
      </w:pPr>
      <w:r>
        <w:rPr>
          <w:rFonts w:eastAsia="方正黑体简体"/>
          <w:b/>
          <w:color w:val="auto"/>
          <w:sz w:val="30"/>
          <w:szCs w:val="30"/>
          <w:highlight w:val="none"/>
        </w:rPr>
        <w:br w:type="page"/>
      </w:r>
    </w:p>
    <w:p>
      <w:pPr>
        <w:tabs>
          <w:tab w:val="left" w:pos="540"/>
        </w:tabs>
        <w:spacing w:line="440" w:lineRule="exact"/>
        <w:jc w:val="center"/>
        <w:rPr>
          <w:rFonts w:ascii="黑体" w:hAnsi="黑体" w:eastAsia="黑体"/>
          <w:b/>
          <w:color w:val="auto"/>
          <w:sz w:val="30"/>
          <w:szCs w:val="30"/>
          <w:highlight w:val="none"/>
        </w:rPr>
      </w:pP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十、关于资格的声明函</w:t>
      </w:r>
    </w:p>
    <w:p>
      <w:pPr>
        <w:snapToGrid w:val="0"/>
        <w:spacing w:line="560" w:lineRule="exact"/>
        <w:ind w:firstLine="839"/>
        <w:rPr>
          <w:color w:val="auto"/>
          <w:highlight w:val="none"/>
        </w:rPr>
      </w:pPr>
    </w:p>
    <w:p>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ascii="宋体" w:hAnsi="宋体"/>
          <w:color w:val="auto"/>
          <w:sz w:val="24"/>
          <w:highlight w:val="none"/>
          <w:u w:val="single"/>
        </w:rPr>
        <w:t xml:space="preserve">       </w:t>
      </w:r>
      <w:r>
        <w:rPr>
          <w:rFonts w:hint="eastAsia" w:ascii="宋体" w:hAnsi="宋体"/>
          <w:color w:val="auto"/>
          <w:sz w:val="24"/>
          <w:highlight w:val="none"/>
        </w:rPr>
        <w:t>的项目，本签字人愿意参加投标，提供单一来源采购文件中规定的产品及服务，并声明提交下列文件是准确的、真实的和有效的。</w:t>
      </w:r>
    </w:p>
    <w:p>
      <w:pPr>
        <w:numPr>
          <w:ilvl w:val="0"/>
          <w:numId w:val="9"/>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《单一来源采购文件》第一章“谈判邀请函”第二条所要求的资格性证明文件（证件或证明资料或承诺）</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pPr>
        <w:snapToGrid w:val="0"/>
        <w:spacing w:line="560" w:lineRule="exact"/>
        <w:ind w:firstLine="555"/>
        <w:rPr>
          <w:rFonts w:ascii="宋体"/>
          <w:color w:val="auto"/>
          <w:sz w:val="24"/>
          <w:highlight w:val="none"/>
        </w:rPr>
      </w:pPr>
    </w:p>
    <w:p>
      <w:pPr>
        <w:snapToGrid w:val="0"/>
        <w:spacing w:line="560" w:lineRule="exact"/>
        <w:ind w:firstLine="555"/>
        <w:rPr>
          <w:rFonts w:ascii="宋体"/>
          <w:color w:val="auto"/>
          <w:sz w:val="24"/>
          <w:highlight w:val="none"/>
        </w:rPr>
      </w:pPr>
    </w:p>
    <w:p>
      <w:pPr>
        <w:snapToGrid w:val="0"/>
        <w:spacing w:line="560" w:lineRule="exact"/>
        <w:ind w:firstLine="555"/>
        <w:rPr>
          <w:rFonts w:ascii="宋体"/>
          <w:color w:val="auto"/>
          <w:sz w:val="24"/>
          <w:highlight w:val="none"/>
        </w:rPr>
      </w:pPr>
    </w:p>
    <w:p>
      <w:pPr>
        <w:snapToGrid w:val="0"/>
        <w:spacing w:line="560" w:lineRule="exact"/>
        <w:ind w:firstLine="555"/>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pPr>
        <w:spacing w:line="240" w:lineRule="auto"/>
        <w:jc w:val="left"/>
        <w:textAlignment w:val="auto"/>
        <w:rPr>
          <w:rFonts w:eastAsia="方正黑体简体"/>
          <w:b/>
          <w:color w:val="auto"/>
          <w:sz w:val="30"/>
          <w:szCs w:val="30"/>
          <w:highlight w:val="none"/>
        </w:rPr>
      </w:pPr>
    </w:p>
    <w:p>
      <w:pPr>
        <w:tabs>
          <w:tab w:val="left" w:pos="540"/>
        </w:tabs>
        <w:spacing w:line="440" w:lineRule="exact"/>
        <w:jc w:val="center"/>
        <w:rPr>
          <w:rFonts w:eastAsia="方正黑体简体"/>
          <w:b/>
          <w:color w:val="auto"/>
          <w:sz w:val="30"/>
          <w:szCs w:val="30"/>
          <w:highlight w:val="none"/>
        </w:rPr>
      </w:pPr>
    </w:p>
    <w:p>
      <w:pPr>
        <w:tabs>
          <w:tab w:val="left" w:pos="540"/>
        </w:tabs>
        <w:spacing w:line="440" w:lineRule="exact"/>
        <w:jc w:val="center"/>
        <w:rPr>
          <w:rFonts w:eastAsia="方正黑体简体"/>
          <w:b/>
          <w:color w:val="auto"/>
          <w:sz w:val="30"/>
          <w:szCs w:val="30"/>
          <w:highlight w:val="none"/>
        </w:rPr>
      </w:pPr>
      <w:r>
        <w:rPr>
          <w:rFonts w:hint="eastAsia" w:eastAsia="方正黑体简体"/>
          <w:b/>
          <w:color w:val="auto"/>
          <w:sz w:val="30"/>
          <w:szCs w:val="30"/>
          <w:highlight w:val="none"/>
        </w:rPr>
        <w:t>十一、反商业贿赂承诺书</w:t>
      </w:r>
    </w:p>
    <w:p>
      <w:pPr>
        <w:rPr>
          <w:b/>
          <w:color w:val="auto"/>
          <w:sz w:val="48"/>
          <w:szCs w:val="48"/>
          <w:highlight w:val="none"/>
        </w:rPr>
      </w:pPr>
    </w:p>
    <w:p>
      <w:pPr>
        <w:snapToGrid w:val="0"/>
        <w:spacing w:line="560" w:lineRule="atLeast"/>
        <w:ind w:right="56" w:firstLine="555"/>
        <w:rPr>
          <w:color w:val="auto"/>
          <w:sz w:val="24"/>
          <w:highlight w:val="none"/>
        </w:rPr>
      </w:pPr>
      <w:r>
        <w:rPr>
          <w:rFonts w:hint="eastAsia"/>
          <w:color w:val="auto"/>
          <w:sz w:val="24"/>
          <w:highlight w:val="none"/>
        </w:rPr>
        <w:t>我公司承诺：</w:t>
      </w:r>
    </w:p>
    <w:p>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pPr>
        <w:snapToGrid w:val="0"/>
        <w:spacing w:line="560" w:lineRule="atLeast"/>
        <w:ind w:right="56" w:firstLine="555"/>
        <w:rPr>
          <w:color w:val="auto"/>
          <w:sz w:val="24"/>
          <w:highlight w:val="none"/>
        </w:rPr>
      </w:pPr>
    </w:p>
    <w:p>
      <w:pPr>
        <w:snapToGrid w:val="0"/>
        <w:spacing w:line="560" w:lineRule="atLeast"/>
        <w:ind w:right="56" w:firstLine="555"/>
        <w:rPr>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480" w:lineRule="auto"/>
        <w:rPr>
          <w:rFonts w:ascii="宋体"/>
          <w:color w:val="auto"/>
          <w:sz w:val="24"/>
          <w:highlight w:val="none"/>
        </w:rPr>
      </w:pPr>
    </w:p>
    <w:p>
      <w:pPr>
        <w:tabs>
          <w:tab w:val="left" w:pos="540"/>
        </w:tabs>
        <w:spacing w:line="440" w:lineRule="exact"/>
        <w:jc w:val="center"/>
        <w:rPr>
          <w:color w:val="auto"/>
          <w:highlight w:val="none"/>
        </w:rPr>
      </w:pPr>
      <w:r>
        <w:rPr>
          <w:color w:val="auto"/>
          <w:highlight w:val="none"/>
        </w:rPr>
        <w:br w:type="page"/>
      </w:r>
    </w:p>
    <w:p>
      <w:pPr>
        <w:tabs>
          <w:tab w:val="left" w:pos="540"/>
        </w:tabs>
        <w:spacing w:line="440" w:lineRule="exact"/>
        <w:jc w:val="center"/>
        <w:rPr>
          <w:rFonts w:eastAsia="方正黑体简体"/>
          <w:b/>
          <w:color w:val="auto"/>
          <w:sz w:val="30"/>
          <w:szCs w:val="30"/>
          <w:highlight w:val="none"/>
        </w:rPr>
      </w:pPr>
    </w:p>
    <w:p>
      <w:pPr>
        <w:tabs>
          <w:tab w:val="left" w:pos="540"/>
        </w:tabs>
        <w:spacing w:line="440" w:lineRule="exact"/>
        <w:jc w:val="center"/>
        <w:rPr>
          <w:rFonts w:eastAsia="方正黑体简体"/>
          <w:b/>
          <w:color w:val="auto"/>
          <w:sz w:val="30"/>
          <w:szCs w:val="30"/>
          <w:highlight w:val="none"/>
        </w:rPr>
      </w:pPr>
      <w:r>
        <w:rPr>
          <w:rFonts w:hint="eastAsia" w:eastAsia="方正黑体简体"/>
          <w:b/>
          <w:color w:val="auto"/>
          <w:sz w:val="30"/>
          <w:szCs w:val="30"/>
          <w:highlight w:val="none"/>
        </w:rPr>
        <w:t>十二、</w:t>
      </w:r>
      <w:bookmarkStart w:id="62" w:name="OLE_LINK19"/>
      <w:r>
        <w:rPr>
          <w:rFonts w:hint="eastAsia" w:eastAsia="方正黑体简体"/>
          <w:b/>
          <w:color w:val="auto"/>
          <w:sz w:val="30"/>
          <w:szCs w:val="30"/>
          <w:highlight w:val="none"/>
        </w:rPr>
        <w:t>履约承诺书</w:t>
      </w:r>
      <w:bookmarkEnd w:id="62"/>
    </w:p>
    <w:p>
      <w:pPr>
        <w:tabs>
          <w:tab w:val="left" w:pos="540"/>
        </w:tabs>
        <w:spacing w:line="440" w:lineRule="exact"/>
        <w:jc w:val="center"/>
        <w:rPr>
          <w:rFonts w:eastAsia="方正黑体简体"/>
          <w:b/>
          <w:color w:val="auto"/>
          <w:sz w:val="30"/>
          <w:szCs w:val="30"/>
          <w:highlight w:val="none"/>
        </w:rPr>
      </w:pPr>
    </w:p>
    <w:p>
      <w:pPr>
        <w:adjustRightInd w:val="0"/>
        <w:snapToGrid w:val="0"/>
        <w:spacing w:before="120" w:beforeLines="50" w:line="300" w:lineRule="auto"/>
        <w:ind w:right="56" w:firstLine="555"/>
        <w:rPr>
          <w:color w:val="auto"/>
          <w:sz w:val="24"/>
          <w:highlight w:val="none"/>
        </w:rPr>
      </w:pPr>
      <w:r>
        <w:rPr>
          <w:rFonts w:hint="eastAsia"/>
          <w:color w:val="auto"/>
          <w:sz w:val="24"/>
          <w:highlight w:val="none"/>
        </w:rPr>
        <w:t>一、我单位承诺：</w:t>
      </w:r>
    </w:p>
    <w:p>
      <w:pPr>
        <w:adjustRightInd w:val="0"/>
        <w:snapToGrid w:val="0"/>
        <w:spacing w:before="120" w:beforeLines="50" w:line="300" w:lineRule="auto"/>
        <w:ind w:firstLine="555"/>
        <w:rPr>
          <w:color w:val="auto"/>
          <w:sz w:val="24"/>
          <w:highlight w:val="none"/>
        </w:rPr>
      </w:pPr>
      <w:r>
        <w:rPr>
          <w:rFonts w:hint="eastAsia"/>
          <w:color w:val="auto"/>
          <w:sz w:val="24"/>
          <w:highlight w:val="none"/>
        </w:rPr>
        <w:t>（一）我单位已详细阅读并完全理解、同意单一来源采购文件的全部内容，包括修改补充文件以及全部参考资料和有关附件；除我单位在单一来源采购文件规定期间内书面提出的疑问外，我单位放弃对这方面不明及误解的权力，并严格按采购人确定的技术及商务要求等履行。</w:t>
      </w:r>
    </w:p>
    <w:p>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单一来源采购文件所述报价组成的所有内容、并包括单一来源采购文件未列明而与采购项目相关的、必须的所有款项及费用等达到交付使用及验收条件的所有一切风险、责任和义务的费用。</w:t>
      </w:r>
    </w:p>
    <w:p>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我单位保证按单一来源采购文件要求及投标承诺的质量诚信履约。</w:t>
      </w:r>
    </w:p>
    <w:p>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三）我单位保证在单一来源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二、我单位承诺：</w:t>
      </w:r>
    </w:p>
    <w:p>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单一来源采购文件技术、作业期限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 xml:space="preserve">依据单一来源采购文件“第三章 </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20" w:beforeLines="50" w:line="300" w:lineRule="auto"/>
        <w:ind w:firstLine="480" w:firstLineChars="200"/>
        <w:rPr>
          <w:color w:val="auto"/>
          <w:sz w:val="24"/>
          <w:highlight w:val="none"/>
        </w:rPr>
      </w:pPr>
    </w:p>
    <w:p>
      <w:pPr>
        <w:tabs>
          <w:tab w:val="left" w:pos="9354"/>
        </w:tabs>
        <w:adjustRightInd w:val="0"/>
        <w:snapToGrid w:val="0"/>
        <w:spacing w:before="120" w:beforeLines="50" w:line="300" w:lineRule="auto"/>
        <w:ind w:firstLine="480" w:firstLineChars="200"/>
        <w:rPr>
          <w:color w:val="auto"/>
          <w:sz w:val="24"/>
          <w:highlight w:val="none"/>
        </w:rPr>
      </w:pPr>
    </w:p>
    <w:p>
      <w:pPr>
        <w:tabs>
          <w:tab w:val="left" w:pos="9354"/>
        </w:tabs>
        <w:adjustRightInd w:val="0"/>
        <w:snapToGrid w:val="0"/>
        <w:spacing w:before="120" w:beforeLines="50" w:line="300" w:lineRule="auto"/>
        <w:ind w:firstLine="480" w:firstLineChars="200"/>
        <w:rPr>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360" w:lineRule="auto"/>
        <w:jc w:val="left"/>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jc w:val="left"/>
        <w:rPr>
          <w:rFonts w:ascii="宋体"/>
          <w:color w:val="auto"/>
          <w:sz w:val="24"/>
          <w:highlight w:val="none"/>
        </w:rPr>
      </w:pPr>
    </w:p>
    <w:p>
      <w:pPr>
        <w:autoSpaceDE w:val="0"/>
        <w:autoSpaceDN w:val="0"/>
        <w:adjustRightInd w:val="0"/>
        <w:spacing w:line="360" w:lineRule="auto"/>
        <w:rPr>
          <w:rFonts w:ascii="宋体" w:cs="楷体_GB2312"/>
          <w:b/>
          <w:color w:val="auto"/>
          <w:sz w:val="30"/>
          <w:szCs w:val="30"/>
          <w:highlight w:val="none"/>
          <w:lang w:val="zh-CN"/>
        </w:rPr>
      </w:pPr>
    </w:p>
    <w:p>
      <w:pPr>
        <w:autoSpaceDE w:val="0"/>
        <w:autoSpaceDN w:val="0"/>
        <w:adjustRightInd w:val="0"/>
        <w:spacing w:line="360" w:lineRule="auto"/>
        <w:rPr>
          <w:rFonts w:eastAsia="方正黑体简体"/>
          <w:b/>
          <w:color w:val="auto"/>
          <w:sz w:val="30"/>
          <w:szCs w:val="30"/>
          <w:highlight w:val="none"/>
        </w:rPr>
      </w:pPr>
      <w:r>
        <w:rPr>
          <w:rFonts w:hint="eastAsia" w:eastAsia="方正黑体简体"/>
          <w:b/>
          <w:color w:val="auto"/>
          <w:sz w:val="30"/>
          <w:szCs w:val="30"/>
          <w:highlight w:val="none"/>
        </w:rPr>
        <w:t>十三、资格要求相关证明材料（文件）</w:t>
      </w:r>
    </w:p>
    <w:p>
      <w:pPr>
        <w:autoSpaceDE w:val="0"/>
        <w:autoSpaceDN w:val="0"/>
        <w:adjustRightInd w:val="0"/>
        <w:spacing w:line="360" w:lineRule="auto"/>
        <w:jc w:val="left"/>
        <w:rPr>
          <w:rFonts w:ascii="宋体"/>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left"/>
        <w:rPr>
          <w:rFonts w:ascii="宋体"/>
          <w:color w:val="auto"/>
          <w:sz w:val="24"/>
          <w:szCs w:val="24"/>
          <w:highlight w:val="none"/>
        </w:rPr>
      </w:pPr>
    </w:p>
    <w:p>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请注意：未按谈判邀请函要求电子签名</w:t>
      </w:r>
      <w:r>
        <w:rPr>
          <w:rFonts w:ascii="黑体" w:hAnsi="黑体" w:eastAsia="黑体"/>
          <w:b/>
          <w:color w:val="auto"/>
          <w:sz w:val="24"/>
          <w:szCs w:val="24"/>
          <w:highlight w:val="none"/>
        </w:rPr>
        <w:t>&lt;</w:t>
      </w:r>
      <w:r>
        <w:rPr>
          <w:rFonts w:hint="eastAsia" w:ascii="黑体" w:hAnsi="黑体" w:eastAsia="黑体"/>
          <w:b/>
          <w:color w:val="auto"/>
          <w:sz w:val="24"/>
          <w:szCs w:val="24"/>
          <w:highlight w:val="none"/>
        </w:rPr>
        <w:t>签章</w:t>
      </w:r>
      <w:r>
        <w:rPr>
          <w:rFonts w:ascii="黑体" w:hAnsi="黑体" w:eastAsia="黑体"/>
          <w:b/>
          <w:color w:val="auto"/>
          <w:sz w:val="24"/>
          <w:szCs w:val="24"/>
          <w:highlight w:val="none"/>
        </w:rPr>
        <w:t>&gt;</w:t>
      </w:r>
      <w:r>
        <w:rPr>
          <w:rFonts w:hint="eastAsia" w:ascii="黑体" w:hAnsi="黑体" w:eastAsia="黑体"/>
          <w:b/>
          <w:color w:val="auto"/>
          <w:sz w:val="24"/>
          <w:szCs w:val="24"/>
          <w:highlight w:val="none"/>
        </w:rPr>
        <w:t>的将导致无效投标，特此提醒】</w:t>
      </w:r>
      <w:r>
        <w:rPr>
          <w:rFonts w:ascii="黑体" w:hAnsi="黑体" w:eastAsia="黑体"/>
          <w:b/>
          <w:color w:val="auto"/>
          <w:sz w:val="30"/>
          <w:szCs w:val="30"/>
          <w:highlight w:val="none"/>
        </w:rPr>
        <w:br w:type="page"/>
      </w:r>
    </w:p>
    <w:p>
      <w:pPr>
        <w:spacing w:line="588" w:lineRule="exact"/>
        <w:jc w:val="center"/>
        <w:rPr>
          <w:rFonts w:ascii="黑体" w:hAnsi="黑体" w:eastAsia="黑体"/>
          <w:b/>
          <w:color w:val="auto"/>
          <w:sz w:val="24"/>
          <w:szCs w:val="24"/>
          <w:highlight w:val="none"/>
        </w:rPr>
      </w:pP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（如适用）</w:t>
      </w:r>
    </w:p>
    <w:p>
      <w:pPr>
        <w:spacing w:line="588" w:lineRule="exact"/>
        <w:jc w:val="center"/>
        <w:rPr>
          <w:rFonts w:ascii="黑体" w:hAnsi="黑体" w:eastAsia="黑体"/>
          <w:b/>
          <w:color w:val="auto"/>
          <w:sz w:val="30"/>
          <w:szCs w:val="30"/>
          <w:highlight w:val="none"/>
        </w:rPr>
      </w:pP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rPr>
        <w:t xml:space="preserve"> </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pPr>
        <w:spacing w:line="588" w:lineRule="exact"/>
        <w:rPr>
          <w:rFonts w:ascii="宋体" w:hAnsi="宋体"/>
          <w:color w:val="auto"/>
          <w:spacing w:val="6"/>
          <w:sz w:val="24"/>
          <w:szCs w:val="24"/>
          <w:highlight w:val="none"/>
        </w:rPr>
      </w:pPr>
    </w:p>
    <w:p>
      <w:pPr>
        <w:pStyle w:val="77"/>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pPr>
        <w:spacing w:line="588" w:lineRule="exact"/>
        <w:ind w:firstLine="504" w:firstLineChars="200"/>
        <w:rPr>
          <w:rFonts w:ascii="宋体" w:hAnsi="宋体"/>
          <w:color w:val="auto"/>
          <w:spacing w:val="6"/>
          <w:sz w:val="24"/>
          <w:szCs w:val="24"/>
          <w:highlight w:val="none"/>
        </w:rPr>
      </w:pPr>
    </w:p>
    <w:p>
      <w:pPr>
        <w:spacing w:line="240" w:lineRule="auto"/>
        <w:jc w:val="center"/>
        <w:textAlignment w:val="auto"/>
        <w:rPr>
          <w:rFonts w:ascii="黑体" w:hAnsi="黑体" w:eastAsia="黑体"/>
          <w:b/>
          <w:color w:val="auto"/>
          <w:sz w:val="30"/>
          <w:szCs w:val="30"/>
          <w:highlight w:val="none"/>
        </w:rPr>
      </w:pPr>
    </w:p>
    <w:p>
      <w:pPr>
        <w:spacing w:line="240" w:lineRule="auto"/>
        <w:rPr>
          <w:rFonts w:ascii="宋体" w:hAnsi="宋体"/>
          <w:color w:val="auto"/>
          <w:sz w:val="18"/>
          <w:szCs w:val="18"/>
          <w:highlight w:val="none"/>
        </w:rPr>
      </w:pPr>
      <w:r>
        <w:rPr>
          <w:rFonts w:hint="eastAsia" w:ascii="宋体" w:hAnsi="宋体"/>
          <w:color w:val="auto"/>
          <w:sz w:val="18"/>
          <w:szCs w:val="18"/>
          <w:highlight w:val="none"/>
        </w:rPr>
        <w:t>注：1、</w:t>
      </w:r>
      <w:r>
        <w:rPr>
          <w:rStyle w:val="75"/>
          <w:rFonts w:ascii="宋体" w:hAnsi="宋体"/>
          <w:color w:val="auto"/>
          <w:sz w:val="18"/>
          <w:szCs w:val="18"/>
          <w:highlight w:val="none"/>
          <w:vertAlign w:val="superscript"/>
        </w:rPr>
        <w:t>1</w:t>
      </w:r>
      <w:r>
        <w:rPr>
          <w:rStyle w:val="76"/>
          <w:rFonts w:ascii="宋体" w:hAnsi="宋体"/>
          <w:color w:val="auto"/>
          <w:highlight w:val="none"/>
        </w:rPr>
        <w:t>从业人员、营业收入、资产总额填报上一年度数据，无上一年度数据的新成立企业可不填报</w:t>
      </w:r>
      <w:r>
        <w:rPr>
          <w:rStyle w:val="76"/>
          <w:rFonts w:hint="eastAsia" w:ascii="宋体" w:hAnsi="宋体"/>
          <w:color w:val="auto"/>
          <w:highlight w:val="none"/>
        </w:rPr>
        <w:t>。</w:t>
      </w:r>
    </w:p>
    <w:p>
      <w:pPr>
        <w:spacing w:line="240" w:lineRule="auto"/>
        <w:ind w:firstLine="180" w:firstLineChars="100"/>
        <w:rPr>
          <w:rStyle w:val="76"/>
          <w:rFonts w:ascii="宋体" w:hAnsi="宋体" w:eastAsiaTheme="minorEastAsia"/>
          <w:color w:val="auto"/>
          <w:highlight w:val="none"/>
        </w:rPr>
      </w:pPr>
      <w:r>
        <w:rPr>
          <w:rFonts w:hint="eastAsia" w:ascii="宋体" w:hAnsi="宋体"/>
          <w:color w:val="auto"/>
          <w:sz w:val="18"/>
          <w:szCs w:val="18"/>
          <w:highlight w:val="none"/>
        </w:rPr>
        <w:t xml:space="preserve"> 2、</w:t>
      </w:r>
      <w:r>
        <w:rPr>
          <w:rStyle w:val="76"/>
          <w:rFonts w:hint="eastAsia" w:ascii="宋体" w:hAnsi="宋体"/>
          <w:color w:val="auto"/>
          <w:highlight w:val="none"/>
        </w:rPr>
        <w:t>“专门面向中小企业采购”项目必须提供《中小企业声明函》。</w:t>
      </w:r>
    </w:p>
    <w:p>
      <w:pPr>
        <w:spacing w:line="240" w:lineRule="auto"/>
        <w:ind w:firstLine="270" w:firstLineChars="150"/>
        <w:rPr>
          <w:rFonts w:ascii="黑体" w:hAnsi="黑体" w:eastAsia="黑体"/>
          <w:b/>
          <w:color w:val="auto"/>
          <w:sz w:val="30"/>
          <w:szCs w:val="30"/>
          <w:highlight w:val="none"/>
        </w:rPr>
      </w:pPr>
      <w:r>
        <w:rPr>
          <w:rStyle w:val="76"/>
          <w:rFonts w:hint="eastAsia" w:ascii="宋体" w:hAnsi="宋体"/>
          <w:color w:val="auto"/>
          <w:highlight w:val="none"/>
        </w:rPr>
        <w:t>3、投标人承诺所投产品均由中小企业制造。</w:t>
      </w:r>
      <w:r>
        <w:rPr>
          <w:rFonts w:ascii="黑体" w:hAnsi="黑体" w:eastAsia="黑体"/>
          <w:b/>
          <w:color w:val="auto"/>
          <w:sz w:val="30"/>
          <w:szCs w:val="30"/>
          <w:highlight w:val="none"/>
        </w:rPr>
        <w:br w:type="page"/>
      </w:r>
    </w:p>
    <w:p>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pPr>
        <w:spacing w:line="588" w:lineRule="exact"/>
        <w:rPr>
          <w:rFonts w:ascii="仿宋_GB2312" w:eastAsia="仿宋_GB2312"/>
          <w:b/>
          <w:color w:val="auto"/>
          <w:spacing w:val="6"/>
          <w:sz w:val="30"/>
          <w:szCs w:val="30"/>
          <w:highlight w:val="none"/>
        </w:rPr>
      </w:pP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pPr>
        <w:autoSpaceDE w:val="0"/>
        <w:autoSpaceDN w:val="0"/>
        <w:adjustRightInd w:val="0"/>
        <w:spacing w:line="360" w:lineRule="auto"/>
        <w:rPr>
          <w:rFonts w:ascii="宋体" w:cs="楷体_GB2312"/>
          <w:b/>
          <w:color w:val="auto"/>
          <w:sz w:val="30"/>
          <w:szCs w:val="30"/>
          <w:highlight w:val="none"/>
          <w:lang w:val="zh-CN"/>
        </w:rPr>
      </w:pPr>
    </w:p>
    <w:p>
      <w:pPr>
        <w:autoSpaceDE w:val="0"/>
        <w:autoSpaceDN w:val="0"/>
        <w:adjustRightInd w:val="0"/>
        <w:spacing w:line="360" w:lineRule="auto"/>
        <w:rPr>
          <w:rFonts w:ascii="宋体"/>
          <w:b/>
          <w:bCs/>
          <w:color w:val="auto"/>
          <w:sz w:val="24"/>
          <w:highlight w:val="none"/>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ascii="黑体" w:hAnsi="黑体" w:eastAsia="黑体"/>
          <w:b/>
          <w:color w:val="auto"/>
          <w:sz w:val="30"/>
          <w:szCs w:val="30"/>
          <w:highlight w:val="none"/>
        </w:rPr>
        <w:br w:type="page"/>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pPr>
        <w:tabs>
          <w:tab w:val="left" w:pos="9365"/>
        </w:tabs>
        <w:spacing w:before="120"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《单一来源采购文件》“</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w:t>
      </w:r>
      <w:r>
        <w:rPr>
          <w:rFonts w:ascii="宋体"/>
          <w:color w:val="auto"/>
          <w:sz w:val="24"/>
          <w:szCs w:val="24"/>
          <w:highlight w:val="none"/>
        </w:rPr>
        <w:t>标文件或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《单一来源采购文件》“</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pPr>
        <w:autoSpaceDE w:val="0"/>
        <w:autoSpaceDN w:val="0"/>
        <w:adjustRightInd w:val="0"/>
        <w:spacing w:line="360" w:lineRule="auto"/>
        <w:jc w:val="center"/>
        <w:rPr>
          <w:rFonts w:ascii="宋体" w:cs="楷体_GB2312"/>
          <w:b/>
          <w:color w:val="auto"/>
          <w:sz w:val="30"/>
          <w:szCs w:val="30"/>
          <w:highlight w:val="none"/>
        </w:rPr>
      </w:pPr>
    </w:p>
    <w:p>
      <w:pPr>
        <w:autoSpaceDE w:val="0"/>
        <w:autoSpaceDN w:val="0"/>
        <w:adjustRightInd w:val="0"/>
        <w:spacing w:line="360" w:lineRule="auto"/>
        <w:jc w:val="center"/>
        <w:rPr>
          <w:rFonts w:ascii="宋体" w:cs="楷体_GB2312"/>
          <w:b/>
          <w:color w:val="auto"/>
          <w:sz w:val="30"/>
          <w:szCs w:val="30"/>
          <w:highlight w:val="none"/>
        </w:rPr>
      </w:pPr>
    </w:p>
    <w:p>
      <w:pPr>
        <w:autoSpaceDE w:val="0"/>
        <w:autoSpaceDN w:val="0"/>
        <w:adjustRightInd w:val="0"/>
        <w:spacing w:line="360" w:lineRule="auto"/>
        <w:jc w:val="center"/>
        <w:rPr>
          <w:rFonts w:ascii="宋体" w:cs="楷体_GB2312"/>
          <w:b/>
          <w:color w:val="auto"/>
          <w:sz w:val="30"/>
          <w:szCs w:val="30"/>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autoSpaceDE w:val="0"/>
        <w:autoSpaceDN w:val="0"/>
        <w:adjustRightInd w:val="0"/>
        <w:spacing w:line="360" w:lineRule="auto"/>
        <w:ind w:right="-817"/>
        <w:rPr>
          <w:rFonts w:ascii="宋体" w:cs="楷体_GB2312"/>
          <w:color w:val="auto"/>
          <w:sz w:val="24"/>
          <w:highlight w:val="none"/>
          <w:lang w:val="zh-CN"/>
        </w:rPr>
      </w:pPr>
    </w:p>
    <w:p>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t xml:space="preserve">    </w:t>
      </w:r>
    </w:p>
    <w:p>
      <w:pPr>
        <w:widowControl w:val="0"/>
        <w:tabs>
          <w:tab w:val="left" w:pos="9365"/>
        </w:tabs>
        <w:snapToGrid w:val="0"/>
        <w:spacing w:after="56" w:line="560" w:lineRule="exact"/>
        <w:ind w:right="85"/>
        <w:jc w:val="center"/>
        <w:textAlignment w:val="top"/>
        <w:rPr>
          <w:rFonts w:ascii="宋体" w:hAnsi="宋体"/>
          <w:color w:val="auto"/>
          <w:sz w:val="24"/>
          <w:highlight w:val="none"/>
        </w:rPr>
      </w:pPr>
    </w:p>
    <w:p>
      <w:pPr>
        <w:widowControl w:val="0"/>
        <w:tabs>
          <w:tab w:val="left" w:pos="9365"/>
        </w:tabs>
        <w:snapToGrid w:val="0"/>
        <w:spacing w:after="56" w:line="560" w:lineRule="exact"/>
        <w:ind w:right="85"/>
        <w:jc w:val="center"/>
        <w:textAlignment w:val="top"/>
        <w:rPr>
          <w:rFonts w:ascii="宋体"/>
          <w:color w:val="auto"/>
          <w:sz w:val="24"/>
          <w:highlight w:val="none"/>
        </w:rPr>
      </w:pPr>
      <w:r>
        <w:rPr>
          <w:rFonts w:ascii="宋体" w:hAnsi="宋体"/>
          <w:color w:val="auto"/>
          <w:sz w:val="24"/>
          <w:highlight w:val="none"/>
        </w:rPr>
        <w:t xml:space="preserve">    </w:t>
      </w: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pPr>
        <w:widowControl w:val="0"/>
        <w:snapToGrid w:val="0"/>
        <w:spacing w:line="360" w:lineRule="auto"/>
        <w:ind w:firstLine="540" w:firstLineChars="225"/>
        <w:rPr>
          <w:rFonts w:ascii="宋体" w:hAnsi="宋体"/>
          <w:color w:val="auto"/>
          <w:sz w:val="24"/>
          <w:szCs w:val="24"/>
          <w:highlight w:val="none"/>
        </w:rPr>
      </w:pP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pPr>
        <w:widowControl w:val="0"/>
        <w:snapToGrid w:val="0"/>
        <w:spacing w:line="360" w:lineRule="auto"/>
        <w:textAlignment w:val="top"/>
        <w:rPr>
          <w:rFonts w:ascii="宋体"/>
          <w:color w:val="auto"/>
          <w:sz w:val="24"/>
          <w:highlight w:val="none"/>
        </w:rPr>
      </w:pPr>
    </w:p>
    <w:p>
      <w:pPr>
        <w:widowControl w:val="0"/>
        <w:snapToGrid w:val="0"/>
        <w:spacing w:line="360" w:lineRule="auto"/>
        <w:textAlignment w:val="top"/>
        <w:rPr>
          <w:rFonts w:ascii="宋体"/>
          <w:color w:val="auto"/>
          <w:sz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pPr>
        <w:snapToGrid w:val="0"/>
        <w:spacing w:line="560" w:lineRule="atLeast"/>
        <w:rPr>
          <w:rFonts w:ascii="宋体"/>
          <w:color w:val="auto"/>
          <w:sz w:val="24"/>
          <w:highlight w:val="none"/>
        </w:rPr>
      </w:pPr>
    </w:p>
    <w:p>
      <w:pPr>
        <w:autoSpaceDE w:val="0"/>
        <w:autoSpaceDN w:val="0"/>
        <w:adjustRightInd w:val="0"/>
        <w:spacing w:line="360" w:lineRule="auto"/>
        <w:jc w:val="center"/>
        <w:rPr>
          <w:rFonts w:ascii="黑体" w:hAnsi="黑体" w:eastAsia="黑体"/>
          <w:b/>
          <w:color w:val="auto"/>
          <w:sz w:val="30"/>
          <w:szCs w:val="30"/>
          <w:highlight w:val="none"/>
        </w:rPr>
      </w:pPr>
    </w:p>
    <w:p>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按照单一来源采购文件规定，在提交投标文件截止时间后，在单一来源采购文件规定的投标有效期限内不撤回投标文件；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除不可抗拒力或单一来源采购文件认可的情形外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遵守法律法规及单一来源采购文件规定的其他情况；</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w:t>
      </w:r>
      <w:r>
        <w:rPr>
          <w:rFonts w:hint="eastAsia" w:ascii="宋体" w:hAnsi="宋体"/>
          <w:color w:val="auto"/>
          <w:sz w:val="24"/>
          <w:szCs w:val="24"/>
          <w:highlight w:val="none"/>
          <w:lang w:val="zh-CN"/>
        </w:rPr>
        <w:t>单一来源采购文件</w:t>
      </w:r>
      <w:r>
        <w:rPr>
          <w:rFonts w:hint="eastAsia" w:ascii="宋体" w:hAnsi="宋体"/>
          <w:color w:val="auto"/>
          <w:sz w:val="24"/>
          <w:szCs w:val="24"/>
          <w:highlight w:val="none"/>
        </w:rPr>
        <w:t>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处以罚款，列入不良行为记录名单，在一至三年内禁止参加政府采购活动，有违法所得的，并处没收违法所得，情节严重的，由工商管理</w:t>
      </w:r>
      <w:r>
        <w:rPr>
          <w:rFonts w:hint="eastAsia"/>
          <w:color w:val="auto"/>
          <w:sz w:val="24"/>
          <w:szCs w:val="24"/>
          <w:highlight w:val="none"/>
        </w:rPr>
        <w:t>（市场监督管理机关）</w:t>
      </w:r>
      <w:r>
        <w:rPr>
          <w:rFonts w:hint="eastAsia" w:ascii="宋体" w:hAnsi="宋体"/>
          <w:color w:val="auto"/>
          <w:sz w:val="24"/>
          <w:szCs w:val="24"/>
          <w:highlight w:val="none"/>
          <w:lang w:val="zh-CN"/>
        </w:rPr>
        <w:t>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color w:val="auto"/>
          <w:sz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pPr>
        <w:widowControl w:val="0"/>
        <w:autoSpaceDE w:val="0"/>
        <w:autoSpaceDN w:val="0"/>
        <w:adjustRightInd w:val="0"/>
        <w:spacing w:line="240" w:lineRule="auto"/>
        <w:ind w:right="-816"/>
        <w:textAlignment w:val="auto"/>
        <w:rPr>
          <w:rFonts w:ascii="宋体" w:hAnsi="宋体"/>
          <w:color w:val="auto"/>
          <w:sz w:val="24"/>
          <w:highlight w:val="none"/>
        </w:rPr>
      </w:pPr>
      <w:r>
        <w:rPr>
          <w:rFonts w:hint="eastAsia" w:ascii="宋体" w:hAnsi="宋体"/>
          <w:color w:val="auto"/>
          <w:sz w:val="24"/>
          <w:highlight w:val="none"/>
        </w:rPr>
        <w:t>投标人（电子签章）：</w:t>
      </w:r>
    </w:p>
    <w:p>
      <w:pPr>
        <w:widowControl w:val="0"/>
        <w:autoSpaceDE w:val="0"/>
        <w:autoSpaceDN w:val="0"/>
        <w:adjustRightInd w:val="0"/>
        <w:spacing w:line="240" w:lineRule="auto"/>
        <w:ind w:right="-816"/>
        <w:textAlignment w:val="auto"/>
        <w:rPr>
          <w:rFonts w:ascii="宋体" w:hAnsi="宋体"/>
          <w:color w:val="auto"/>
          <w:sz w:val="24"/>
          <w:highlight w:val="none"/>
        </w:rPr>
      </w:pPr>
      <w:r>
        <w:rPr>
          <w:rFonts w:hint="eastAsia" w:ascii="宋体" w:hAnsi="宋体"/>
          <w:color w:val="auto"/>
          <w:sz w:val="24"/>
          <w:highlight w:val="none"/>
        </w:rPr>
        <w:t>法定代表人（电子签名或签章）：</w:t>
      </w:r>
    </w:p>
    <w:p>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olor w:val="auto"/>
          <w:sz w:val="24"/>
          <w:highlight w:val="none"/>
        </w:rPr>
        <w:t>日期：  年   月   日</w:t>
      </w:r>
    </w:p>
    <w:p>
      <w:pPr>
        <w:spacing w:line="240" w:lineRule="auto"/>
        <w:jc w:val="left"/>
        <w:textAlignment w:val="auto"/>
        <w:rPr>
          <w:rFonts w:ascii="黑体" w:hAnsi="黑体" w:eastAsia="黑体"/>
          <w:b/>
          <w:color w:val="auto"/>
          <w:sz w:val="30"/>
          <w:szCs w:val="30"/>
          <w:highlight w:val="none"/>
        </w:rPr>
      </w:pPr>
    </w:p>
    <w:p>
      <w:pPr>
        <w:spacing w:line="240" w:lineRule="auto"/>
        <w:jc w:val="left"/>
        <w:textAlignment w:val="auto"/>
        <w:rPr>
          <w:rFonts w:ascii="黑体" w:hAnsi="黑体" w:eastAsia="黑体"/>
          <w:b/>
          <w:color w:val="auto"/>
          <w:sz w:val="30"/>
          <w:szCs w:val="30"/>
          <w:highlight w:val="none"/>
        </w:rPr>
      </w:pPr>
    </w:p>
    <w:p>
      <w:pPr>
        <w:spacing w:line="240" w:lineRule="auto"/>
        <w:jc w:val="left"/>
        <w:textAlignment w:val="auto"/>
        <w:rPr>
          <w:rFonts w:ascii="黑体" w:hAnsi="黑体" w:eastAsia="黑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十四、采购项目及技术要求所需的其他材料</w:t>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。条款中对</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widowControl w:val="0"/>
        <w:snapToGrid w:val="0"/>
        <w:spacing w:line="560" w:lineRule="exact"/>
        <w:ind w:firstLine="555"/>
        <w:rPr>
          <w:rFonts w:ascii="宋体"/>
          <w:color w:val="auto"/>
          <w:sz w:val="24"/>
          <w:szCs w:val="24"/>
          <w:highlight w:val="none"/>
        </w:rPr>
      </w:pPr>
    </w:p>
    <w:p>
      <w:pPr>
        <w:widowControl w:val="0"/>
        <w:tabs>
          <w:tab w:val="left" w:pos="9365"/>
        </w:tabs>
        <w:snapToGrid w:val="0"/>
        <w:spacing w:after="56" w:line="360" w:lineRule="exact"/>
        <w:ind w:right="85" w:firstLine="601"/>
        <w:textAlignment w:val="top"/>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highlight w:val="none"/>
        </w:rPr>
      </w:pPr>
    </w:p>
    <w:p>
      <w:pPr>
        <w:widowControl w:val="0"/>
        <w:snapToGrid w:val="0"/>
        <w:spacing w:line="560" w:lineRule="exact"/>
        <w:ind w:firstLine="555"/>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十五、投标人须知所需的其他材料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。条款中对</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十六、评审办法所需的其他材料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。条款中对</w:t>
      </w:r>
      <w:r>
        <w:rPr>
          <w:rFonts w:hint="eastAsia" w:ascii="宋体" w:hAnsi="宋体" w:cs="楷体_GB2312"/>
          <w:color w:val="auto"/>
          <w:sz w:val="24"/>
          <w:highlight w:val="none"/>
          <w:lang w:val="zh-CN"/>
        </w:rPr>
        <w:t>电子签名</w:t>
      </w:r>
      <w:r>
        <w:rPr>
          <w:rFonts w:ascii="宋体" w:hAnsi="宋体" w:cs="楷体_GB2312"/>
          <w:color w:val="auto"/>
          <w:sz w:val="24"/>
          <w:highlight w:val="none"/>
          <w:lang w:val="zh-CN"/>
        </w:rPr>
        <w:t>&lt;</w:t>
      </w:r>
      <w:r>
        <w:rPr>
          <w:rFonts w:hint="eastAsia" w:ascii="宋体" w:hAnsi="宋体" w:cs="楷体_GB2312"/>
          <w:color w:val="auto"/>
          <w:sz w:val="24"/>
          <w:highlight w:val="none"/>
          <w:lang w:val="zh-CN"/>
        </w:rPr>
        <w:t>签</w:t>
      </w:r>
      <w:r>
        <w:rPr>
          <w:rFonts w:hint="eastAsia" w:ascii="宋体" w:hAnsi="宋体"/>
          <w:color w:val="auto"/>
          <w:sz w:val="24"/>
          <w:szCs w:val="24"/>
          <w:highlight w:val="none"/>
        </w:rPr>
        <w:t>章</w:t>
      </w:r>
      <w:r>
        <w:rPr>
          <w:rFonts w:ascii="宋体" w:hAnsi="宋体"/>
          <w:color w:val="auto"/>
          <w:sz w:val="24"/>
          <w:szCs w:val="24"/>
          <w:highlight w:val="none"/>
        </w:rPr>
        <w:t>&gt;</w:t>
      </w:r>
      <w:r>
        <w:rPr>
          <w:rFonts w:hint="eastAsia" w:ascii="宋体" w:hAnsi="宋体"/>
          <w:color w:val="auto"/>
          <w:sz w:val="24"/>
          <w:szCs w:val="24"/>
          <w:highlight w:val="none"/>
        </w:rPr>
        <w: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16</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16-2附件：</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单一来源采购文件》采购需求中是否列示说明，投标上述产品的、均应当符合上述需求标准。投标人对《单一来源采购文件》采购需求及所涉需求标准有疑义、认为影响投标的，均应在投标前在法定时间内依法提出书面质疑，否则、将视为投标人对《单一来源采购文件》采购需求及所涉需求标准的完全确认接受，采购人可以按有利于采购人工作需要的条款进行监督履行。</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单一来源采购文件》要求编制“投标产品清单及具体技术参数”、“技术偏差表”，以供谈判小组对投标产品是否符合《单一来源采购文件》采购需求进行评审；不符合《单一来源采购文件》采购需求的为无效投标。</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4、按相关政策规定，履约验收中，采购人认为必要时委托依法取得检测、认证资质的机构进行检测、认证时，成交人将无条件配合。</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单一来源采购文件》要求编制“投标产品清单及具体技术参数”、“技术偏差表”，以供评委对投标产品是否符合《单一来源采购文件》采购需求进行评审；不符合《单一来源采购文件》采购需求的为无效投标。</w:t>
      </w:r>
    </w:p>
    <w:p>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一、我单位承诺所投产品均满足上述《需求标准》要求。</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单一来源采购文件技术、商务要求，并按《单一来源采购文件》要求编制“投标产品清单及具体技术参数”、“技术偏差表”，以供评委对投标产品是否符合《单一来源采购文件》采购需求进行评审；不符合《单一来源采购文件》采购需求的为无效投标。</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十七、投标人认为有必要提交的其它材料</w:t>
      </w:r>
    </w:p>
    <w:p>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rPr>
          <w:rFonts w:ascii="宋体"/>
          <w:b/>
          <w:bCs/>
          <w:color w:val="auto"/>
          <w:sz w:val="24"/>
          <w:highlight w:val="none"/>
        </w:rPr>
      </w:pPr>
    </w:p>
    <w:sectPr>
      <w:pgSz w:w="11905" w:h="16837"/>
      <w:pgMar w:top="1091" w:right="1106" w:bottom="993" w:left="1418" w:header="850" w:footer="992" w:gutter="0"/>
      <w:pgNumType w:fmt="numberInDash"/>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Segoe Print"/>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Microsoft JhengHei UI"/>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汉仪书宋二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rFonts w:hint="eastAsia" w:ascii="宋体" w:hAnsi="宋体"/>
        <w:szCs w:val="21"/>
        <w:u w:val="single"/>
      </w:rPr>
      <w:t>《单一来源采购文件》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9"/>
        <w:rFonts w:ascii="宋体" w:hAnsi="宋体"/>
        <w:szCs w:val="21"/>
        <w:u w:val="single"/>
      </w:rPr>
      <w:fldChar w:fldCharType="begin"/>
    </w:r>
    <w:r>
      <w:rPr>
        <w:rStyle w:val="29"/>
        <w:rFonts w:ascii="宋体" w:hAnsi="宋体"/>
        <w:szCs w:val="21"/>
        <w:u w:val="single"/>
      </w:rPr>
      <w:instrText xml:space="preserve"> PAGE </w:instrText>
    </w:r>
    <w:r>
      <w:rPr>
        <w:rStyle w:val="29"/>
        <w:rFonts w:ascii="宋体" w:hAnsi="宋体"/>
        <w:szCs w:val="21"/>
        <w:u w:val="single"/>
      </w:rPr>
      <w:fldChar w:fldCharType="separate"/>
    </w:r>
    <w:r>
      <w:rPr>
        <w:rStyle w:val="29"/>
        <w:rFonts w:ascii="宋体" w:hAnsi="宋体"/>
        <w:szCs w:val="21"/>
        <w:u w:val="single"/>
      </w:rPr>
      <w:t>19</w:t>
    </w:r>
    <w:r>
      <w:rPr>
        <w:rStyle w:val="29"/>
        <w:rFonts w:ascii="宋体" w:hAnsi="宋体"/>
        <w:szCs w:val="21"/>
        <w:u w:val="single"/>
      </w:rPr>
      <w:fldChar w:fldCharType="end"/>
    </w:r>
    <w:r>
      <w:rPr>
        <w:rStyle w:val="29"/>
        <w:rFonts w:hint="eastAsia" w:ascii="宋体" w:hAnsi="宋体"/>
        <w:szCs w:val="21"/>
        <w:u w:val="single"/>
      </w:rPr>
      <w:t>（</w:t>
    </w:r>
    <w:r>
      <w:rPr>
        <w:rFonts w:hint="eastAsia" w:ascii="宋体" w:hAnsi="宋体"/>
        <w:szCs w:val="21"/>
        <w:u w:val="single"/>
      </w:rPr>
      <w:t>共</w:t>
    </w:r>
    <w:r>
      <w:rPr>
        <w:rFonts w:hint="eastAsia"/>
        <w:u w:val="single"/>
      </w:rPr>
      <w:t>87</w:t>
    </w:r>
    <w:r>
      <w:rPr>
        <w:rFonts w:hint="eastAsia" w:ascii="宋体" w:hAnsi="宋体"/>
        <w:szCs w:val="21"/>
        <w:u w:val="single"/>
      </w:rPr>
      <w:t>页</w:t>
    </w:r>
    <w:r>
      <w:rPr>
        <w:rFonts w:ascii="宋体" w:hAnsi="宋体"/>
        <w:szCs w:val="21"/>
        <w:u w:val="single"/>
      </w:rPr>
      <w:t>)</w:t>
    </w:r>
    <w: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0ne5yNkAAAAOAQAA&#10;DwAAAAAAAAABACAAAAAiAAAAZHJzL2Rvd25yZXYueG1sUEsBAhQAFAAAAAgAh07iQPzuRtOmAQAA&#10;ZgMAAA4AAAAAAAAAAQAgAAAAKAEAAGRycy9lMm9Eb2MueG1sUEsFBgAAAAAGAAYAWQEAAEAFAAAA&#10;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59728E2"/>
    <w:multiLevelType w:val="singleLevel"/>
    <w:tmpl w:val="D59728E2"/>
    <w:lvl w:ilvl="0" w:tentative="0">
      <w:start w:val="1"/>
      <w:numFmt w:val="decimal"/>
      <w:lvlText w:val="%1."/>
      <w:lvlJc w:val="left"/>
      <w:pPr>
        <w:tabs>
          <w:tab w:val="left" w:pos="312"/>
        </w:tabs>
      </w:p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3"/>
  </w:num>
  <w:num w:numId="2">
    <w:abstractNumId w:val="8"/>
  </w:num>
  <w:num w:numId="3">
    <w:abstractNumId w:val="2"/>
  </w:num>
  <w:num w:numId="4">
    <w:abstractNumId w:val="7"/>
  </w:num>
  <w:num w:numId="5">
    <w:abstractNumId w:val="5"/>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forms" w:formatting="1" w:enforcement="1" w:cryptProviderType="rsaFull" w:cryptAlgorithmClass="hash" w:cryptAlgorithmType="typeAny" w:cryptAlgorithmSid="4" w:cryptSpinCount="0" w:hash="+0A4yT69HpEYP/dHb+LXpbupcgY=" w:salt="9bKgAn80A9zWxUai57xjAw=="/>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UwNDk1M2RmZDExMGM3NDQ3N2I3NzBhM2IwMDQifQ=="/>
  </w:docVars>
  <w:rsids>
    <w:rsidRoot w:val="00172A27"/>
    <w:rsid w:val="00000BAF"/>
    <w:rsid w:val="00001D7A"/>
    <w:rsid w:val="00007DA2"/>
    <w:rsid w:val="00010336"/>
    <w:rsid w:val="000118C5"/>
    <w:rsid w:val="0001197F"/>
    <w:rsid w:val="00013B3F"/>
    <w:rsid w:val="00013DB2"/>
    <w:rsid w:val="00017E1E"/>
    <w:rsid w:val="000202D2"/>
    <w:rsid w:val="000203B0"/>
    <w:rsid w:val="000206E4"/>
    <w:rsid w:val="00023676"/>
    <w:rsid w:val="00024608"/>
    <w:rsid w:val="00025F1E"/>
    <w:rsid w:val="0002701F"/>
    <w:rsid w:val="000270C2"/>
    <w:rsid w:val="00027171"/>
    <w:rsid w:val="000339BC"/>
    <w:rsid w:val="00036AA4"/>
    <w:rsid w:val="00041891"/>
    <w:rsid w:val="00042CA8"/>
    <w:rsid w:val="00042FCE"/>
    <w:rsid w:val="00043821"/>
    <w:rsid w:val="00043CBA"/>
    <w:rsid w:val="00044F74"/>
    <w:rsid w:val="000514BE"/>
    <w:rsid w:val="000565A7"/>
    <w:rsid w:val="00057F78"/>
    <w:rsid w:val="000602CF"/>
    <w:rsid w:val="0006134B"/>
    <w:rsid w:val="00062821"/>
    <w:rsid w:val="00064F6C"/>
    <w:rsid w:val="00070552"/>
    <w:rsid w:val="00071E6F"/>
    <w:rsid w:val="00072834"/>
    <w:rsid w:val="00073247"/>
    <w:rsid w:val="0007390E"/>
    <w:rsid w:val="00073A45"/>
    <w:rsid w:val="00074766"/>
    <w:rsid w:val="00074CC3"/>
    <w:rsid w:val="00074DF0"/>
    <w:rsid w:val="000753DA"/>
    <w:rsid w:val="00075ECC"/>
    <w:rsid w:val="00075FF7"/>
    <w:rsid w:val="00077629"/>
    <w:rsid w:val="0008039D"/>
    <w:rsid w:val="00080AE9"/>
    <w:rsid w:val="00081801"/>
    <w:rsid w:val="00081C6C"/>
    <w:rsid w:val="00081C6E"/>
    <w:rsid w:val="000823AD"/>
    <w:rsid w:val="000829A8"/>
    <w:rsid w:val="00085B95"/>
    <w:rsid w:val="00085BDA"/>
    <w:rsid w:val="00086B70"/>
    <w:rsid w:val="00090D6B"/>
    <w:rsid w:val="00090EB6"/>
    <w:rsid w:val="00091C5E"/>
    <w:rsid w:val="00092EFB"/>
    <w:rsid w:val="00093A6B"/>
    <w:rsid w:val="000956CE"/>
    <w:rsid w:val="000A1C72"/>
    <w:rsid w:val="000A2AFC"/>
    <w:rsid w:val="000A3FE8"/>
    <w:rsid w:val="000A4640"/>
    <w:rsid w:val="000A55EE"/>
    <w:rsid w:val="000A5D10"/>
    <w:rsid w:val="000A66B5"/>
    <w:rsid w:val="000B00EC"/>
    <w:rsid w:val="000B1334"/>
    <w:rsid w:val="000B19F2"/>
    <w:rsid w:val="000B2794"/>
    <w:rsid w:val="000B2F31"/>
    <w:rsid w:val="000B4758"/>
    <w:rsid w:val="000B5412"/>
    <w:rsid w:val="000B5A97"/>
    <w:rsid w:val="000B6571"/>
    <w:rsid w:val="000B79E4"/>
    <w:rsid w:val="000C0064"/>
    <w:rsid w:val="000C0CEF"/>
    <w:rsid w:val="000C2AA6"/>
    <w:rsid w:val="000D1BB7"/>
    <w:rsid w:val="000D2631"/>
    <w:rsid w:val="000D413F"/>
    <w:rsid w:val="000D6F12"/>
    <w:rsid w:val="000D7FC5"/>
    <w:rsid w:val="000E02FC"/>
    <w:rsid w:val="000E0380"/>
    <w:rsid w:val="000E1D32"/>
    <w:rsid w:val="000E3D70"/>
    <w:rsid w:val="000E54A0"/>
    <w:rsid w:val="000F108C"/>
    <w:rsid w:val="000F3188"/>
    <w:rsid w:val="000F3D46"/>
    <w:rsid w:val="000F4146"/>
    <w:rsid w:val="000F5DF1"/>
    <w:rsid w:val="000F65DF"/>
    <w:rsid w:val="000F71A3"/>
    <w:rsid w:val="000F7917"/>
    <w:rsid w:val="000F7CF9"/>
    <w:rsid w:val="00101EAB"/>
    <w:rsid w:val="001028EA"/>
    <w:rsid w:val="00103E9F"/>
    <w:rsid w:val="0010460A"/>
    <w:rsid w:val="00105B3F"/>
    <w:rsid w:val="001068E0"/>
    <w:rsid w:val="00107435"/>
    <w:rsid w:val="00107FB0"/>
    <w:rsid w:val="00110434"/>
    <w:rsid w:val="00111569"/>
    <w:rsid w:val="001116B6"/>
    <w:rsid w:val="001118D4"/>
    <w:rsid w:val="00114F7F"/>
    <w:rsid w:val="00115259"/>
    <w:rsid w:val="001163D8"/>
    <w:rsid w:val="00123128"/>
    <w:rsid w:val="00126132"/>
    <w:rsid w:val="0012701C"/>
    <w:rsid w:val="00127BFA"/>
    <w:rsid w:val="00131B13"/>
    <w:rsid w:val="00131CCB"/>
    <w:rsid w:val="001322A3"/>
    <w:rsid w:val="00132364"/>
    <w:rsid w:val="001324EF"/>
    <w:rsid w:val="001342A5"/>
    <w:rsid w:val="00135220"/>
    <w:rsid w:val="00135227"/>
    <w:rsid w:val="001358AD"/>
    <w:rsid w:val="001378C9"/>
    <w:rsid w:val="001401E4"/>
    <w:rsid w:val="001425A7"/>
    <w:rsid w:val="00146A22"/>
    <w:rsid w:val="00146B1E"/>
    <w:rsid w:val="00146D05"/>
    <w:rsid w:val="00146D2B"/>
    <w:rsid w:val="00150BD8"/>
    <w:rsid w:val="00150EA9"/>
    <w:rsid w:val="00151347"/>
    <w:rsid w:val="00151CEC"/>
    <w:rsid w:val="001532B2"/>
    <w:rsid w:val="001537D5"/>
    <w:rsid w:val="0015443B"/>
    <w:rsid w:val="00165CD0"/>
    <w:rsid w:val="00166938"/>
    <w:rsid w:val="0016693E"/>
    <w:rsid w:val="0016783C"/>
    <w:rsid w:val="001708C3"/>
    <w:rsid w:val="00170AE1"/>
    <w:rsid w:val="00171697"/>
    <w:rsid w:val="00171826"/>
    <w:rsid w:val="001719D7"/>
    <w:rsid w:val="0017245F"/>
    <w:rsid w:val="00172A27"/>
    <w:rsid w:val="00172A7E"/>
    <w:rsid w:val="001730ED"/>
    <w:rsid w:val="00175E3A"/>
    <w:rsid w:val="0017776D"/>
    <w:rsid w:val="00186F86"/>
    <w:rsid w:val="00192B7E"/>
    <w:rsid w:val="00193697"/>
    <w:rsid w:val="00194451"/>
    <w:rsid w:val="0019697C"/>
    <w:rsid w:val="00197840"/>
    <w:rsid w:val="001A1BB5"/>
    <w:rsid w:val="001A1D5B"/>
    <w:rsid w:val="001A211A"/>
    <w:rsid w:val="001A6D7C"/>
    <w:rsid w:val="001A6EC8"/>
    <w:rsid w:val="001A733E"/>
    <w:rsid w:val="001B5626"/>
    <w:rsid w:val="001B6072"/>
    <w:rsid w:val="001B7567"/>
    <w:rsid w:val="001C050D"/>
    <w:rsid w:val="001C0BD5"/>
    <w:rsid w:val="001C2D34"/>
    <w:rsid w:val="001C3913"/>
    <w:rsid w:val="001C397C"/>
    <w:rsid w:val="001C6505"/>
    <w:rsid w:val="001C744F"/>
    <w:rsid w:val="001D0F8B"/>
    <w:rsid w:val="001D14A1"/>
    <w:rsid w:val="001D17A7"/>
    <w:rsid w:val="001D1DF7"/>
    <w:rsid w:val="001D2F63"/>
    <w:rsid w:val="001D3921"/>
    <w:rsid w:val="001D3B0B"/>
    <w:rsid w:val="001D3BB9"/>
    <w:rsid w:val="001D4FE1"/>
    <w:rsid w:val="001D512B"/>
    <w:rsid w:val="001E04F2"/>
    <w:rsid w:val="001E0A3F"/>
    <w:rsid w:val="001E1A46"/>
    <w:rsid w:val="001E30AE"/>
    <w:rsid w:val="001E45BE"/>
    <w:rsid w:val="001E4CF2"/>
    <w:rsid w:val="001E74ED"/>
    <w:rsid w:val="001F10EA"/>
    <w:rsid w:val="001F6921"/>
    <w:rsid w:val="001F6AF5"/>
    <w:rsid w:val="002047A8"/>
    <w:rsid w:val="00204DD4"/>
    <w:rsid w:val="002052BF"/>
    <w:rsid w:val="00205670"/>
    <w:rsid w:val="00205DC9"/>
    <w:rsid w:val="0020635B"/>
    <w:rsid w:val="002064E1"/>
    <w:rsid w:val="00207B9B"/>
    <w:rsid w:val="00210346"/>
    <w:rsid w:val="00212022"/>
    <w:rsid w:val="002149D7"/>
    <w:rsid w:val="00214DD7"/>
    <w:rsid w:val="00214F54"/>
    <w:rsid w:val="002150F0"/>
    <w:rsid w:val="002155C5"/>
    <w:rsid w:val="002174C4"/>
    <w:rsid w:val="002228C6"/>
    <w:rsid w:val="002237B7"/>
    <w:rsid w:val="002238AE"/>
    <w:rsid w:val="00225366"/>
    <w:rsid w:val="00226204"/>
    <w:rsid w:val="00227496"/>
    <w:rsid w:val="0023012A"/>
    <w:rsid w:val="00231D21"/>
    <w:rsid w:val="002341A2"/>
    <w:rsid w:val="00234C02"/>
    <w:rsid w:val="0023525D"/>
    <w:rsid w:val="00237A15"/>
    <w:rsid w:val="0024023A"/>
    <w:rsid w:val="00240733"/>
    <w:rsid w:val="002407A8"/>
    <w:rsid w:val="00241D3A"/>
    <w:rsid w:val="0024269B"/>
    <w:rsid w:val="00244532"/>
    <w:rsid w:val="00247523"/>
    <w:rsid w:val="00247993"/>
    <w:rsid w:val="00250AAC"/>
    <w:rsid w:val="002511FE"/>
    <w:rsid w:val="00254E48"/>
    <w:rsid w:val="002554FE"/>
    <w:rsid w:val="00256CF3"/>
    <w:rsid w:val="002574D7"/>
    <w:rsid w:val="00257B22"/>
    <w:rsid w:val="002659E5"/>
    <w:rsid w:val="002665E4"/>
    <w:rsid w:val="002673AF"/>
    <w:rsid w:val="0027067C"/>
    <w:rsid w:val="00270972"/>
    <w:rsid w:val="00270FE1"/>
    <w:rsid w:val="00271ABB"/>
    <w:rsid w:val="00272B6B"/>
    <w:rsid w:val="00272DEC"/>
    <w:rsid w:val="002759A2"/>
    <w:rsid w:val="00275B2B"/>
    <w:rsid w:val="00276204"/>
    <w:rsid w:val="00277266"/>
    <w:rsid w:val="00280E45"/>
    <w:rsid w:val="002810F8"/>
    <w:rsid w:val="002875CD"/>
    <w:rsid w:val="00290D50"/>
    <w:rsid w:val="00292968"/>
    <w:rsid w:val="00293875"/>
    <w:rsid w:val="0029442F"/>
    <w:rsid w:val="0029595B"/>
    <w:rsid w:val="00295A34"/>
    <w:rsid w:val="00296436"/>
    <w:rsid w:val="00296501"/>
    <w:rsid w:val="002975BF"/>
    <w:rsid w:val="002A223C"/>
    <w:rsid w:val="002A4898"/>
    <w:rsid w:val="002A4F6F"/>
    <w:rsid w:val="002A5411"/>
    <w:rsid w:val="002A56B2"/>
    <w:rsid w:val="002B0279"/>
    <w:rsid w:val="002B204F"/>
    <w:rsid w:val="002B2B83"/>
    <w:rsid w:val="002B4916"/>
    <w:rsid w:val="002B5E0D"/>
    <w:rsid w:val="002B6B09"/>
    <w:rsid w:val="002C00FF"/>
    <w:rsid w:val="002C029C"/>
    <w:rsid w:val="002C0AF4"/>
    <w:rsid w:val="002C17CD"/>
    <w:rsid w:val="002C1A1A"/>
    <w:rsid w:val="002C3330"/>
    <w:rsid w:val="002C4508"/>
    <w:rsid w:val="002C6ED8"/>
    <w:rsid w:val="002C7CBB"/>
    <w:rsid w:val="002D1567"/>
    <w:rsid w:val="002D2AB1"/>
    <w:rsid w:val="002D40A9"/>
    <w:rsid w:val="002D50A2"/>
    <w:rsid w:val="002D5CA9"/>
    <w:rsid w:val="002D6349"/>
    <w:rsid w:val="002D6B6F"/>
    <w:rsid w:val="002D7A77"/>
    <w:rsid w:val="002D7BE8"/>
    <w:rsid w:val="002E098C"/>
    <w:rsid w:val="002E359E"/>
    <w:rsid w:val="002E3E40"/>
    <w:rsid w:val="002E61E6"/>
    <w:rsid w:val="002E76EF"/>
    <w:rsid w:val="002E7E70"/>
    <w:rsid w:val="002F08C6"/>
    <w:rsid w:val="002F24F3"/>
    <w:rsid w:val="002F2754"/>
    <w:rsid w:val="002F37CB"/>
    <w:rsid w:val="002F4ADA"/>
    <w:rsid w:val="002F5465"/>
    <w:rsid w:val="002F7435"/>
    <w:rsid w:val="002F7AD0"/>
    <w:rsid w:val="002F7EF3"/>
    <w:rsid w:val="0030169A"/>
    <w:rsid w:val="00301F45"/>
    <w:rsid w:val="00303E7C"/>
    <w:rsid w:val="00306123"/>
    <w:rsid w:val="00306333"/>
    <w:rsid w:val="00307CF1"/>
    <w:rsid w:val="00307F4B"/>
    <w:rsid w:val="0031007D"/>
    <w:rsid w:val="00311B9B"/>
    <w:rsid w:val="00314B3E"/>
    <w:rsid w:val="00314FA2"/>
    <w:rsid w:val="003157D1"/>
    <w:rsid w:val="00316A48"/>
    <w:rsid w:val="00317222"/>
    <w:rsid w:val="00317EA8"/>
    <w:rsid w:val="003214B1"/>
    <w:rsid w:val="00322799"/>
    <w:rsid w:val="00322D50"/>
    <w:rsid w:val="003241F1"/>
    <w:rsid w:val="00324982"/>
    <w:rsid w:val="00326C38"/>
    <w:rsid w:val="0032789A"/>
    <w:rsid w:val="00330C12"/>
    <w:rsid w:val="00332035"/>
    <w:rsid w:val="00334CC7"/>
    <w:rsid w:val="003355B7"/>
    <w:rsid w:val="003377F9"/>
    <w:rsid w:val="00337CD8"/>
    <w:rsid w:val="00342F80"/>
    <w:rsid w:val="003431CC"/>
    <w:rsid w:val="00343634"/>
    <w:rsid w:val="00343A1D"/>
    <w:rsid w:val="00343D9C"/>
    <w:rsid w:val="003452F3"/>
    <w:rsid w:val="00346B67"/>
    <w:rsid w:val="0035121B"/>
    <w:rsid w:val="00352D4E"/>
    <w:rsid w:val="0035384A"/>
    <w:rsid w:val="0035387E"/>
    <w:rsid w:val="00357F64"/>
    <w:rsid w:val="003621F9"/>
    <w:rsid w:val="00363B02"/>
    <w:rsid w:val="003642B6"/>
    <w:rsid w:val="00365440"/>
    <w:rsid w:val="00365BD8"/>
    <w:rsid w:val="00365F9B"/>
    <w:rsid w:val="00366715"/>
    <w:rsid w:val="003669F1"/>
    <w:rsid w:val="003679DE"/>
    <w:rsid w:val="00371760"/>
    <w:rsid w:val="00374A9E"/>
    <w:rsid w:val="00376869"/>
    <w:rsid w:val="00380598"/>
    <w:rsid w:val="0038118E"/>
    <w:rsid w:val="00381B01"/>
    <w:rsid w:val="0038208B"/>
    <w:rsid w:val="003829D9"/>
    <w:rsid w:val="00382E01"/>
    <w:rsid w:val="00383B17"/>
    <w:rsid w:val="003841F0"/>
    <w:rsid w:val="00384A92"/>
    <w:rsid w:val="00384B31"/>
    <w:rsid w:val="003852D2"/>
    <w:rsid w:val="003854F3"/>
    <w:rsid w:val="0038606E"/>
    <w:rsid w:val="00386518"/>
    <w:rsid w:val="00386915"/>
    <w:rsid w:val="00391A61"/>
    <w:rsid w:val="00391B13"/>
    <w:rsid w:val="0039241E"/>
    <w:rsid w:val="00394C50"/>
    <w:rsid w:val="003969B6"/>
    <w:rsid w:val="00397B1C"/>
    <w:rsid w:val="00397E86"/>
    <w:rsid w:val="003A1388"/>
    <w:rsid w:val="003A1D20"/>
    <w:rsid w:val="003A258C"/>
    <w:rsid w:val="003A2C09"/>
    <w:rsid w:val="003A40E7"/>
    <w:rsid w:val="003A4472"/>
    <w:rsid w:val="003A5106"/>
    <w:rsid w:val="003A78B7"/>
    <w:rsid w:val="003A7AC9"/>
    <w:rsid w:val="003B1719"/>
    <w:rsid w:val="003B5D7B"/>
    <w:rsid w:val="003B72E5"/>
    <w:rsid w:val="003B78BD"/>
    <w:rsid w:val="003C0436"/>
    <w:rsid w:val="003C0E0B"/>
    <w:rsid w:val="003C1220"/>
    <w:rsid w:val="003C46B9"/>
    <w:rsid w:val="003C4F6B"/>
    <w:rsid w:val="003C5145"/>
    <w:rsid w:val="003C5626"/>
    <w:rsid w:val="003C6339"/>
    <w:rsid w:val="003C6B76"/>
    <w:rsid w:val="003C6D58"/>
    <w:rsid w:val="003D0E5F"/>
    <w:rsid w:val="003D1FE6"/>
    <w:rsid w:val="003D3B92"/>
    <w:rsid w:val="003D4056"/>
    <w:rsid w:val="003D415D"/>
    <w:rsid w:val="003D46D1"/>
    <w:rsid w:val="003D7BB6"/>
    <w:rsid w:val="003E0C17"/>
    <w:rsid w:val="003E1249"/>
    <w:rsid w:val="003E5257"/>
    <w:rsid w:val="003E58E5"/>
    <w:rsid w:val="003E5D65"/>
    <w:rsid w:val="003E5EE1"/>
    <w:rsid w:val="003E711D"/>
    <w:rsid w:val="003E7C9B"/>
    <w:rsid w:val="003E7D25"/>
    <w:rsid w:val="003F0417"/>
    <w:rsid w:val="003F3B51"/>
    <w:rsid w:val="003F60F5"/>
    <w:rsid w:val="0040064E"/>
    <w:rsid w:val="00400CE8"/>
    <w:rsid w:val="00402062"/>
    <w:rsid w:val="00403958"/>
    <w:rsid w:val="004137F3"/>
    <w:rsid w:val="00413A68"/>
    <w:rsid w:val="00415470"/>
    <w:rsid w:val="00415CFA"/>
    <w:rsid w:val="00416388"/>
    <w:rsid w:val="00417D4F"/>
    <w:rsid w:val="00424C41"/>
    <w:rsid w:val="00424DED"/>
    <w:rsid w:val="004300B5"/>
    <w:rsid w:val="00430CC3"/>
    <w:rsid w:val="004338C9"/>
    <w:rsid w:val="004342C9"/>
    <w:rsid w:val="00437460"/>
    <w:rsid w:val="00437813"/>
    <w:rsid w:val="00440412"/>
    <w:rsid w:val="004412D3"/>
    <w:rsid w:val="004424ED"/>
    <w:rsid w:val="004437A8"/>
    <w:rsid w:val="00443935"/>
    <w:rsid w:val="004442B3"/>
    <w:rsid w:val="004449E4"/>
    <w:rsid w:val="00447654"/>
    <w:rsid w:val="00450E24"/>
    <w:rsid w:val="004513F9"/>
    <w:rsid w:val="00452F36"/>
    <w:rsid w:val="00453130"/>
    <w:rsid w:val="0045394E"/>
    <w:rsid w:val="00453952"/>
    <w:rsid w:val="00454B5D"/>
    <w:rsid w:val="00455665"/>
    <w:rsid w:val="00455B44"/>
    <w:rsid w:val="00455E7C"/>
    <w:rsid w:val="00456D5D"/>
    <w:rsid w:val="00456FA3"/>
    <w:rsid w:val="004573EE"/>
    <w:rsid w:val="0045754E"/>
    <w:rsid w:val="0045790A"/>
    <w:rsid w:val="00460E98"/>
    <w:rsid w:val="00462427"/>
    <w:rsid w:val="00462592"/>
    <w:rsid w:val="004640E1"/>
    <w:rsid w:val="00466A15"/>
    <w:rsid w:val="00471D06"/>
    <w:rsid w:val="0047305B"/>
    <w:rsid w:val="00475A0F"/>
    <w:rsid w:val="004771A7"/>
    <w:rsid w:val="00477DF1"/>
    <w:rsid w:val="004805E1"/>
    <w:rsid w:val="0048194E"/>
    <w:rsid w:val="00481F9F"/>
    <w:rsid w:val="004838C1"/>
    <w:rsid w:val="00486D4E"/>
    <w:rsid w:val="00487D56"/>
    <w:rsid w:val="00487F50"/>
    <w:rsid w:val="004901F9"/>
    <w:rsid w:val="0049093A"/>
    <w:rsid w:val="0049352F"/>
    <w:rsid w:val="00497052"/>
    <w:rsid w:val="0049712F"/>
    <w:rsid w:val="004A2C76"/>
    <w:rsid w:val="004A465C"/>
    <w:rsid w:val="004A5A5E"/>
    <w:rsid w:val="004A791C"/>
    <w:rsid w:val="004B10CD"/>
    <w:rsid w:val="004B1926"/>
    <w:rsid w:val="004B2765"/>
    <w:rsid w:val="004B2D5B"/>
    <w:rsid w:val="004B4062"/>
    <w:rsid w:val="004B6984"/>
    <w:rsid w:val="004B735A"/>
    <w:rsid w:val="004B7D65"/>
    <w:rsid w:val="004B7EFF"/>
    <w:rsid w:val="004C05F2"/>
    <w:rsid w:val="004C1EA0"/>
    <w:rsid w:val="004C407E"/>
    <w:rsid w:val="004C506F"/>
    <w:rsid w:val="004C5625"/>
    <w:rsid w:val="004C658A"/>
    <w:rsid w:val="004C6698"/>
    <w:rsid w:val="004C6FEC"/>
    <w:rsid w:val="004C7A15"/>
    <w:rsid w:val="004D0299"/>
    <w:rsid w:val="004D11B7"/>
    <w:rsid w:val="004D13EC"/>
    <w:rsid w:val="004D14E6"/>
    <w:rsid w:val="004D2F70"/>
    <w:rsid w:val="004D2F79"/>
    <w:rsid w:val="004D3D19"/>
    <w:rsid w:val="004D57A0"/>
    <w:rsid w:val="004D5D65"/>
    <w:rsid w:val="004D5F36"/>
    <w:rsid w:val="004D7F67"/>
    <w:rsid w:val="004E0791"/>
    <w:rsid w:val="004E1E51"/>
    <w:rsid w:val="004E4305"/>
    <w:rsid w:val="004E44CC"/>
    <w:rsid w:val="004E5CA5"/>
    <w:rsid w:val="004F3D15"/>
    <w:rsid w:val="00501A56"/>
    <w:rsid w:val="0050236F"/>
    <w:rsid w:val="005034FC"/>
    <w:rsid w:val="00503F67"/>
    <w:rsid w:val="00504267"/>
    <w:rsid w:val="005043D0"/>
    <w:rsid w:val="005044B9"/>
    <w:rsid w:val="005055E2"/>
    <w:rsid w:val="0050640C"/>
    <w:rsid w:val="005106D5"/>
    <w:rsid w:val="0051090B"/>
    <w:rsid w:val="00510FF4"/>
    <w:rsid w:val="005111BA"/>
    <w:rsid w:val="005112F3"/>
    <w:rsid w:val="00513CCA"/>
    <w:rsid w:val="00515068"/>
    <w:rsid w:val="00515F43"/>
    <w:rsid w:val="00517BF1"/>
    <w:rsid w:val="00520645"/>
    <w:rsid w:val="00520920"/>
    <w:rsid w:val="0052461C"/>
    <w:rsid w:val="00525694"/>
    <w:rsid w:val="00530CE7"/>
    <w:rsid w:val="005316A8"/>
    <w:rsid w:val="00533184"/>
    <w:rsid w:val="00534316"/>
    <w:rsid w:val="00535C65"/>
    <w:rsid w:val="0053682D"/>
    <w:rsid w:val="005403A4"/>
    <w:rsid w:val="00540FEC"/>
    <w:rsid w:val="005414D6"/>
    <w:rsid w:val="00541F83"/>
    <w:rsid w:val="00542D95"/>
    <w:rsid w:val="00542FE2"/>
    <w:rsid w:val="005430C7"/>
    <w:rsid w:val="00543809"/>
    <w:rsid w:val="00543CB6"/>
    <w:rsid w:val="00543DC3"/>
    <w:rsid w:val="005446B0"/>
    <w:rsid w:val="005448E1"/>
    <w:rsid w:val="005450E8"/>
    <w:rsid w:val="00547534"/>
    <w:rsid w:val="005475A9"/>
    <w:rsid w:val="00547E4F"/>
    <w:rsid w:val="00551074"/>
    <w:rsid w:val="00551DFC"/>
    <w:rsid w:val="0055211A"/>
    <w:rsid w:val="00552BA8"/>
    <w:rsid w:val="005539CA"/>
    <w:rsid w:val="005550EB"/>
    <w:rsid w:val="00555142"/>
    <w:rsid w:val="005605F8"/>
    <w:rsid w:val="0056439F"/>
    <w:rsid w:val="005648F8"/>
    <w:rsid w:val="005650C2"/>
    <w:rsid w:val="00565A8C"/>
    <w:rsid w:val="00566A6E"/>
    <w:rsid w:val="00571744"/>
    <w:rsid w:val="00574068"/>
    <w:rsid w:val="00574ECE"/>
    <w:rsid w:val="00575C01"/>
    <w:rsid w:val="005773BE"/>
    <w:rsid w:val="00580954"/>
    <w:rsid w:val="00583A5C"/>
    <w:rsid w:val="005850D6"/>
    <w:rsid w:val="0058643C"/>
    <w:rsid w:val="00586EDA"/>
    <w:rsid w:val="0059041B"/>
    <w:rsid w:val="005927CD"/>
    <w:rsid w:val="0059343A"/>
    <w:rsid w:val="0059524D"/>
    <w:rsid w:val="005964EC"/>
    <w:rsid w:val="00596943"/>
    <w:rsid w:val="005A0661"/>
    <w:rsid w:val="005A172B"/>
    <w:rsid w:val="005A173B"/>
    <w:rsid w:val="005A1FDF"/>
    <w:rsid w:val="005A2BE3"/>
    <w:rsid w:val="005A2E42"/>
    <w:rsid w:val="005A4F1F"/>
    <w:rsid w:val="005A6732"/>
    <w:rsid w:val="005B0972"/>
    <w:rsid w:val="005B0B0C"/>
    <w:rsid w:val="005B153D"/>
    <w:rsid w:val="005B402C"/>
    <w:rsid w:val="005B6ED1"/>
    <w:rsid w:val="005C4F8E"/>
    <w:rsid w:val="005D050B"/>
    <w:rsid w:val="005D0537"/>
    <w:rsid w:val="005D107F"/>
    <w:rsid w:val="005D2C74"/>
    <w:rsid w:val="005D2CB5"/>
    <w:rsid w:val="005D386F"/>
    <w:rsid w:val="005D46FA"/>
    <w:rsid w:val="005D72C1"/>
    <w:rsid w:val="005E0382"/>
    <w:rsid w:val="005E03E6"/>
    <w:rsid w:val="005E1A5F"/>
    <w:rsid w:val="005E2944"/>
    <w:rsid w:val="005E3695"/>
    <w:rsid w:val="005E37F0"/>
    <w:rsid w:val="005E3DC5"/>
    <w:rsid w:val="005E4813"/>
    <w:rsid w:val="005E604C"/>
    <w:rsid w:val="005E6E82"/>
    <w:rsid w:val="005F2068"/>
    <w:rsid w:val="005F4E80"/>
    <w:rsid w:val="005F56AC"/>
    <w:rsid w:val="005F6167"/>
    <w:rsid w:val="006031DC"/>
    <w:rsid w:val="00604C4E"/>
    <w:rsid w:val="0060535C"/>
    <w:rsid w:val="00611B7F"/>
    <w:rsid w:val="00613D71"/>
    <w:rsid w:val="00615523"/>
    <w:rsid w:val="006201C0"/>
    <w:rsid w:val="0062416E"/>
    <w:rsid w:val="006242F0"/>
    <w:rsid w:val="00625C51"/>
    <w:rsid w:val="00625CD3"/>
    <w:rsid w:val="006313EC"/>
    <w:rsid w:val="00633CD6"/>
    <w:rsid w:val="0063507E"/>
    <w:rsid w:val="00635A6E"/>
    <w:rsid w:val="006369CC"/>
    <w:rsid w:val="006374EF"/>
    <w:rsid w:val="00637D39"/>
    <w:rsid w:val="00643E16"/>
    <w:rsid w:val="00645D0F"/>
    <w:rsid w:val="00646631"/>
    <w:rsid w:val="00647F26"/>
    <w:rsid w:val="00650955"/>
    <w:rsid w:val="00650E32"/>
    <w:rsid w:val="006536D6"/>
    <w:rsid w:val="006546B6"/>
    <w:rsid w:val="006560FF"/>
    <w:rsid w:val="006561D9"/>
    <w:rsid w:val="00656496"/>
    <w:rsid w:val="00657569"/>
    <w:rsid w:val="00657ED8"/>
    <w:rsid w:val="00660A24"/>
    <w:rsid w:val="00660C75"/>
    <w:rsid w:val="00662875"/>
    <w:rsid w:val="00662ECE"/>
    <w:rsid w:val="00663399"/>
    <w:rsid w:val="00663493"/>
    <w:rsid w:val="0066508C"/>
    <w:rsid w:val="006656A2"/>
    <w:rsid w:val="00665738"/>
    <w:rsid w:val="00665CB8"/>
    <w:rsid w:val="00665CE2"/>
    <w:rsid w:val="00666247"/>
    <w:rsid w:val="006679EB"/>
    <w:rsid w:val="00667CF0"/>
    <w:rsid w:val="00671BFB"/>
    <w:rsid w:val="00674F5E"/>
    <w:rsid w:val="006763B3"/>
    <w:rsid w:val="00682F0F"/>
    <w:rsid w:val="00683222"/>
    <w:rsid w:val="00683386"/>
    <w:rsid w:val="006841FA"/>
    <w:rsid w:val="00684A79"/>
    <w:rsid w:val="0068575B"/>
    <w:rsid w:val="00686A7A"/>
    <w:rsid w:val="00686ED6"/>
    <w:rsid w:val="00686F46"/>
    <w:rsid w:val="006876E5"/>
    <w:rsid w:val="00687B51"/>
    <w:rsid w:val="006900BC"/>
    <w:rsid w:val="006907CD"/>
    <w:rsid w:val="006909B8"/>
    <w:rsid w:val="00692DDF"/>
    <w:rsid w:val="00694B5D"/>
    <w:rsid w:val="00695074"/>
    <w:rsid w:val="0069639D"/>
    <w:rsid w:val="0069716F"/>
    <w:rsid w:val="00697A9F"/>
    <w:rsid w:val="006A035F"/>
    <w:rsid w:val="006A1725"/>
    <w:rsid w:val="006A1D76"/>
    <w:rsid w:val="006A211F"/>
    <w:rsid w:val="006A21CF"/>
    <w:rsid w:val="006A3906"/>
    <w:rsid w:val="006A5638"/>
    <w:rsid w:val="006A5AF5"/>
    <w:rsid w:val="006A5EAE"/>
    <w:rsid w:val="006A76FE"/>
    <w:rsid w:val="006B46DC"/>
    <w:rsid w:val="006B625D"/>
    <w:rsid w:val="006B639C"/>
    <w:rsid w:val="006B666A"/>
    <w:rsid w:val="006B7F89"/>
    <w:rsid w:val="006C1A25"/>
    <w:rsid w:val="006C3846"/>
    <w:rsid w:val="006C4725"/>
    <w:rsid w:val="006D3466"/>
    <w:rsid w:val="006D4845"/>
    <w:rsid w:val="006D535A"/>
    <w:rsid w:val="006D5B5F"/>
    <w:rsid w:val="006D60D4"/>
    <w:rsid w:val="006D6340"/>
    <w:rsid w:val="006D7839"/>
    <w:rsid w:val="006D7C9C"/>
    <w:rsid w:val="006E02B1"/>
    <w:rsid w:val="006E121A"/>
    <w:rsid w:val="006E157D"/>
    <w:rsid w:val="006E1793"/>
    <w:rsid w:val="006E1A20"/>
    <w:rsid w:val="006E1E61"/>
    <w:rsid w:val="006E277C"/>
    <w:rsid w:val="006E5B68"/>
    <w:rsid w:val="006E6DDB"/>
    <w:rsid w:val="006E7320"/>
    <w:rsid w:val="006F0AC4"/>
    <w:rsid w:val="006F2CEE"/>
    <w:rsid w:val="006F44AA"/>
    <w:rsid w:val="006F4F40"/>
    <w:rsid w:val="006F5195"/>
    <w:rsid w:val="006F61C3"/>
    <w:rsid w:val="006F7546"/>
    <w:rsid w:val="00700495"/>
    <w:rsid w:val="00702210"/>
    <w:rsid w:val="0070375B"/>
    <w:rsid w:val="00705034"/>
    <w:rsid w:val="007064D1"/>
    <w:rsid w:val="007100AD"/>
    <w:rsid w:val="007158E6"/>
    <w:rsid w:val="00715A07"/>
    <w:rsid w:val="007219A1"/>
    <w:rsid w:val="00722401"/>
    <w:rsid w:val="00722DD9"/>
    <w:rsid w:val="00723E3F"/>
    <w:rsid w:val="007252CC"/>
    <w:rsid w:val="007269A4"/>
    <w:rsid w:val="00726C34"/>
    <w:rsid w:val="00733082"/>
    <w:rsid w:val="00733624"/>
    <w:rsid w:val="00733E60"/>
    <w:rsid w:val="007341D7"/>
    <w:rsid w:val="007348A7"/>
    <w:rsid w:val="00734BF0"/>
    <w:rsid w:val="007358D4"/>
    <w:rsid w:val="00737D3F"/>
    <w:rsid w:val="00741B19"/>
    <w:rsid w:val="00742808"/>
    <w:rsid w:val="00746653"/>
    <w:rsid w:val="00747327"/>
    <w:rsid w:val="007506CA"/>
    <w:rsid w:val="00753188"/>
    <w:rsid w:val="00753442"/>
    <w:rsid w:val="00754000"/>
    <w:rsid w:val="0075425D"/>
    <w:rsid w:val="00754372"/>
    <w:rsid w:val="00755134"/>
    <w:rsid w:val="0075584E"/>
    <w:rsid w:val="007570AD"/>
    <w:rsid w:val="00760447"/>
    <w:rsid w:val="00760AEA"/>
    <w:rsid w:val="00760C76"/>
    <w:rsid w:val="007639D3"/>
    <w:rsid w:val="007674E5"/>
    <w:rsid w:val="00770571"/>
    <w:rsid w:val="00770A90"/>
    <w:rsid w:val="00771BDB"/>
    <w:rsid w:val="00780179"/>
    <w:rsid w:val="00780DB4"/>
    <w:rsid w:val="007830DD"/>
    <w:rsid w:val="007831AA"/>
    <w:rsid w:val="00784AE6"/>
    <w:rsid w:val="00784CA4"/>
    <w:rsid w:val="00784D51"/>
    <w:rsid w:val="0078521D"/>
    <w:rsid w:val="0078688D"/>
    <w:rsid w:val="00787769"/>
    <w:rsid w:val="007878FE"/>
    <w:rsid w:val="0079077C"/>
    <w:rsid w:val="00791477"/>
    <w:rsid w:val="0079346B"/>
    <w:rsid w:val="00797162"/>
    <w:rsid w:val="007A1347"/>
    <w:rsid w:val="007A1BEB"/>
    <w:rsid w:val="007A31E6"/>
    <w:rsid w:val="007A3201"/>
    <w:rsid w:val="007A36F8"/>
    <w:rsid w:val="007A4951"/>
    <w:rsid w:val="007A515C"/>
    <w:rsid w:val="007A62CE"/>
    <w:rsid w:val="007A7D92"/>
    <w:rsid w:val="007B1D8C"/>
    <w:rsid w:val="007B2424"/>
    <w:rsid w:val="007B39B5"/>
    <w:rsid w:val="007B543B"/>
    <w:rsid w:val="007B76CF"/>
    <w:rsid w:val="007C06DB"/>
    <w:rsid w:val="007C07F2"/>
    <w:rsid w:val="007C442F"/>
    <w:rsid w:val="007C76E1"/>
    <w:rsid w:val="007C7B8D"/>
    <w:rsid w:val="007C7F1C"/>
    <w:rsid w:val="007D0BA3"/>
    <w:rsid w:val="007D26D0"/>
    <w:rsid w:val="007D2F6E"/>
    <w:rsid w:val="007D502C"/>
    <w:rsid w:val="007D71B9"/>
    <w:rsid w:val="007E03DA"/>
    <w:rsid w:val="007E1346"/>
    <w:rsid w:val="007E21C1"/>
    <w:rsid w:val="007E3F60"/>
    <w:rsid w:val="007E4DEE"/>
    <w:rsid w:val="007E7330"/>
    <w:rsid w:val="007F12B7"/>
    <w:rsid w:val="007F25A9"/>
    <w:rsid w:val="007F26AC"/>
    <w:rsid w:val="007F2E10"/>
    <w:rsid w:val="007F33A7"/>
    <w:rsid w:val="007F373C"/>
    <w:rsid w:val="007F573B"/>
    <w:rsid w:val="007F79DB"/>
    <w:rsid w:val="00800944"/>
    <w:rsid w:val="00801036"/>
    <w:rsid w:val="00801575"/>
    <w:rsid w:val="0080297D"/>
    <w:rsid w:val="00804F81"/>
    <w:rsid w:val="00807987"/>
    <w:rsid w:val="008100E8"/>
    <w:rsid w:val="00813D5B"/>
    <w:rsid w:val="00815D71"/>
    <w:rsid w:val="00820836"/>
    <w:rsid w:val="008231BA"/>
    <w:rsid w:val="00825CAE"/>
    <w:rsid w:val="00826779"/>
    <w:rsid w:val="00826980"/>
    <w:rsid w:val="008306DE"/>
    <w:rsid w:val="008313B2"/>
    <w:rsid w:val="00831E17"/>
    <w:rsid w:val="008320E7"/>
    <w:rsid w:val="00832B98"/>
    <w:rsid w:val="0083458B"/>
    <w:rsid w:val="0083471D"/>
    <w:rsid w:val="008373E8"/>
    <w:rsid w:val="00837F0A"/>
    <w:rsid w:val="00840199"/>
    <w:rsid w:val="008405A7"/>
    <w:rsid w:val="00842423"/>
    <w:rsid w:val="00842761"/>
    <w:rsid w:val="00842CD5"/>
    <w:rsid w:val="00853B1B"/>
    <w:rsid w:val="00854F79"/>
    <w:rsid w:val="008577D4"/>
    <w:rsid w:val="00860DDC"/>
    <w:rsid w:val="00862065"/>
    <w:rsid w:val="00862FA4"/>
    <w:rsid w:val="00863DB6"/>
    <w:rsid w:val="00863FD0"/>
    <w:rsid w:val="00866380"/>
    <w:rsid w:val="008664F3"/>
    <w:rsid w:val="008669E9"/>
    <w:rsid w:val="008670BC"/>
    <w:rsid w:val="00867539"/>
    <w:rsid w:val="008720D8"/>
    <w:rsid w:val="0087367F"/>
    <w:rsid w:val="00873A06"/>
    <w:rsid w:val="00874D70"/>
    <w:rsid w:val="00875555"/>
    <w:rsid w:val="00880B4C"/>
    <w:rsid w:val="00883E6C"/>
    <w:rsid w:val="008862B5"/>
    <w:rsid w:val="00886E19"/>
    <w:rsid w:val="0088721E"/>
    <w:rsid w:val="0088740B"/>
    <w:rsid w:val="00887544"/>
    <w:rsid w:val="008908F5"/>
    <w:rsid w:val="00890A4C"/>
    <w:rsid w:val="00890DDA"/>
    <w:rsid w:val="0089141A"/>
    <w:rsid w:val="00891914"/>
    <w:rsid w:val="00891CBA"/>
    <w:rsid w:val="008945FD"/>
    <w:rsid w:val="008948F1"/>
    <w:rsid w:val="00894B94"/>
    <w:rsid w:val="008951AC"/>
    <w:rsid w:val="008961B7"/>
    <w:rsid w:val="0089677E"/>
    <w:rsid w:val="008978CC"/>
    <w:rsid w:val="008A1053"/>
    <w:rsid w:val="008A3A95"/>
    <w:rsid w:val="008A45E8"/>
    <w:rsid w:val="008A6931"/>
    <w:rsid w:val="008B0553"/>
    <w:rsid w:val="008B2110"/>
    <w:rsid w:val="008B522D"/>
    <w:rsid w:val="008B5987"/>
    <w:rsid w:val="008B6841"/>
    <w:rsid w:val="008C2A3C"/>
    <w:rsid w:val="008C2E65"/>
    <w:rsid w:val="008C37C8"/>
    <w:rsid w:val="008C40C8"/>
    <w:rsid w:val="008C5A1D"/>
    <w:rsid w:val="008C761B"/>
    <w:rsid w:val="008D0652"/>
    <w:rsid w:val="008D0BF5"/>
    <w:rsid w:val="008D114B"/>
    <w:rsid w:val="008D37A1"/>
    <w:rsid w:val="008D398B"/>
    <w:rsid w:val="008D7DDB"/>
    <w:rsid w:val="008E0028"/>
    <w:rsid w:val="008E08F8"/>
    <w:rsid w:val="008E1372"/>
    <w:rsid w:val="008E1478"/>
    <w:rsid w:val="008E1F19"/>
    <w:rsid w:val="008E4EC8"/>
    <w:rsid w:val="008F11E2"/>
    <w:rsid w:val="008F1424"/>
    <w:rsid w:val="008F3660"/>
    <w:rsid w:val="008F3F09"/>
    <w:rsid w:val="008F6116"/>
    <w:rsid w:val="008F770D"/>
    <w:rsid w:val="008F7B87"/>
    <w:rsid w:val="0090029D"/>
    <w:rsid w:val="00900882"/>
    <w:rsid w:val="00902C55"/>
    <w:rsid w:val="00903E85"/>
    <w:rsid w:val="00906098"/>
    <w:rsid w:val="00906C08"/>
    <w:rsid w:val="00907206"/>
    <w:rsid w:val="0090744F"/>
    <w:rsid w:val="00907611"/>
    <w:rsid w:val="00907B3D"/>
    <w:rsid w:val="00911BFC"/>
    <w:rsid w:val="00911C69"/>
    <w:rsid w:val="009129DD"/>
    <w:rsid w:val="00912DEC"/>
    <w:rsid w:val="00913050"/>
    <w:rsid w:val="0091364C"/>
    <w:rsid w:val="009148E2"/>
    <w:rsid w:val="009149A9"/>
    <w:rsid w:val="00915AA5"/>
    <w:rsid w:val="00915D80"/>
    <w:rsid w:val="009164E1"/>
    <w:rsid w:val="009165F2"/>
    <w:rsid w:val="00917556"/>
    <w:rsid w:val="009205BD"/>
    <w:rsid w:val="009209E2"/>
    <w:rsid w:val="0092165B"/>
    <w:rsid w:val="00927F3E"/>
    <w:rsid w:val="00930A46"/>
    <w:rsid w:val="00930D8F"/>
    <w:rsid w:val="00934827"/>
    <w:rsid w:val="009349D0"/>
    <w:rsid w:val="00934A69"/>
    <w:rsid w:val="009357B7"/>
    <w:rsid w:val="00936722"/>
    <w:rsid w:val="009372A2"/>
    <w:rsid w:val="009376A3"/>
    <w:rsid w:val="00937ED6"/>
    <w:rsid w:val="009405F0"/>
    <w:rsid w:val="009408A2"/>
    <w:rsid w:val="00942581"/>
    <w:rsid w:val="00945087"/>
    <w:rsid w:val="009451C2"/>
    <w:rsid w:val="0095018E"/>
    <w:rsid w:val="00950690"/>
    <w:rsid w:val="00950C28"/>
    <w:rsid w:val="009528ED"/>
    <w:rsid w:val="009540C0"/>
    <w:rsid w:val="009548FE"/>
    <w:rsid w:val="00954AC7"/>
    <w:rsid w:val="00954B36"/>
    <w:rsid w:val="00964509"/>
    <w:rsid w:val="00965A62"/>
    <w:rsid w:val="00965A8D"/>
    <w:rsid w:val="00966069"/>
    <w:rsid w:val="00966C54"/>
    <w:rsid w:val="009677FD"/>
    <w:rsid w:val="009678FD"/>
    <w:rsid w:val="00972CB3"/>
    <w:rsid w:val="009736EF"/>
    <w:rsid w:val="00975828"/>
    <w:rsid w:val="00975DA4"/>
    <w:rsid w:val="0097649D"/>
    <w:rsid w:val="00977987"/>
    <w:rsid w:val="00980361"/>
    <w:rsid w:val="00984F86"/>
    <w:rsid w:val="009853EE"/>
    <w:rsid w:val="00990627"/>
    <w:rsid w:val="009906F4"/>
    <w:rsid w:val="00990D29"/>
    <w:rsid w:val="009911C6"/>
    <w:rsid w:val="009916C7"/>
    <w:rsid w:val="00991914"/>
    <w:rsid w:val="00991CF6"/>
    <w:rsid w:val="00992833"/>
    <w:rsid w:val="009944E0"/>
    <w:rsid w:val="0099762B"/>
    <w:rsid w:val="009A32F5"/>
    <w:rsid w:val="009A4397"/>
    <w:rsid w:val="009A5462"/>
    <w:rsid w:val="009A58EC"/>
    <w:rsid w:val="009A5BBB"/>
    <w:rsid w:val="009A630F"/>
    <w:rsid w:val="009A6AF5"/>
    <w:rsid w:val="009A6B0F"/>
    <w:rsid w:val="009A7DF7"/>
    <w:rsid w:val="009B09C6"/>
    <w:rsid w:val="009B1323"/>
    <w:rsid w:val="009B13D3"/>
    <w:rsid w:val="009B1ACA"/>
    <w:rsid w:val="009B4A2A"/>
    <w:rsid w:val="009B60CC"/>
    <w:rsid w:val="009C082F"/>
    <w:rsid w:val="009C0A02"/>
    <w:rsid w:val="009C1829"/>
    <w:rsid w:val="009C3782"/>
    <w:rsid w:val="009C404D"/>
    <w:rsid w:val="009C4B02"/>
    <w:rsid w:val="009C69EB"/>
    <w:rsid w:val="009D0452"/>
    <w:rsid w:val="009D182C"/>
    <w:rsid w:val="009D2421"/>
    <w:rsid w:val="009D4ED5"/>
    <w:rsid w:val="009D5869"/>
    <w:rsid w:val="009D5E6C"/>
    <w:rsid w:val="009D6B8C"/>
    <w:rsid w:val="009D7CE9"/>
    <w:rsid w:val="009E219A"/>
    <w:rsid w:val="009E2C80"/>
    <w:rsid w:val="009E379A"/>
    <w:rsid w:val="009E40DD"/>
    <w:rsid w:val="009E56B5"/>
    <w:rsid w:val="009E6BFC"/>
    <w:rsid w:val="009E74C5"/>
    <w:rsid w:val="009E776F"/>
    <w:rsid w:val="009E7BA8"/>
    <w:rsid w:val="009F0DB1"/>
    <w:rsid w:val="009F0F4C"/>
    <w:rsid w:val="009F2104"/>
    <w:rsid w:val="009F2800"/>
    <w:rsid w:val="009F5DE0"/>
    <w:rsid w:val="009F6808"/>
    <w:rsid w:val="009F6C4C"/>
    <w:rsid w:val="009F6D4F"/>
    <w:rsid w:val="009F769B"/>
    <w:rsid w:val="00A00951"/>
    <w:rsid w:val="00A01EDF"/>
    <w:rsid w:val="00A02610"/>
    <w:rsid w:val="00A034E8"/>
    <w:rsid w:val="00A03BF8"/>
    <w:rsid w:val="00A059DF"/>
    <w:rsid w:val="00A06EAF"/>
    <w:rsid w:val="00A079C8"/>
    <w:rsid w:val="00A11F21"/>
    <w:rsid w:val="00A11F4E"/>
    <w:rsid w:val="00A136F2"/>
    <w:rsid w:val="00A17418"/>
    <w:rsid w:val="00A176C5"/>
    <w:rsid w:val="00A203FB"/>
    <w:rsid w:val="00A20FCB"/>
    <w:rsid w:val="00A241C7"/>
    <w:rsid w:val="00A2594E"/>
    <w:rsid w:val="00A26556"/>
    <w:rsid w:val="00A2766F"/>
    <w:rsid w:val="00A30DAE"/>
    <w:rsid w:val="00A30F8F"/>
    <w:rsid w:val="00A311D5"/>
    <w:rsid w:val="00A32C0E"/>
    <w:rsid w:val="00A32EFD"/>
    <w:rsid w:val="00A3358B"/>
    <w:rsid w:val="00A34121"/>
    <w:rsid w:val="00A35F40"/>
    <w:rsid w:val="00A405F0"/>
    <w:rsid w:val="00A40EAA"/>
    <w:rsid w:val="00A4131F"/>
    <w:rsid w:val="00A41712"/>
    <w:rsid w:val="00A430FB"/>
    <w:rsid w:val="00A43621"/>
    <w:rsid w:val="00A44DF0"/>
    <w:rsid w:val="00A451A1"/>
    <w:rsid w:val="00A47396"/>
    <w:rsid w:val="00A52E90"/>
    <w:rsid w:val="00A6023D"/>
    <w:rsid w:val="00A60D25"/>
    <w:rsid w:val="00A6383F"/>
    <w:rsid w:val="00A6575E"/>
    <w:rsid w:val="00A65E12"/>
    <w:rsid w:val="00A66FC6"/>
    <w:rsid w:val="00A67467"/>
    <w:rsid w:val="00A7196F"/>
    <w:rsid w:val="00A74B2E"/>
    <w:rsid w:val="00A758F4"/>
    <w:rsid w:val="00A77649"/>
    <w:rsid w:val="00A8320D"/>
    <w:rsid w:val="00A8725F"/>
    <w:rsid w:val="00A91D49"/>
    <w:rsid w:val="00A9411B"/>
    <w:rsid w:val="00A95E27"/>
    <w:rsid w:val="00AA2CD4"/>
    <w:rsid w:val="00AA347C"/>
    <w:rsid w:val="00AA51FF"/>
    <w:rsid w:val="00AA6023"/>
    <w:rsid w:val="00AA66A4"/>
    <w:rsid w:val="00AA6CAA"/>
    <w:rsid w:val="00AB248C"/>
    <w:rsid w:val="00AB3041"/>
    <w:rsid w:val="00AB3D2E"/>
    <w:rsid w:val="00AB4415"/>
    <w:rsid w:val="00AB68C7"/>
    <w:rsid w:val="00AB6C79"/>
    <w:rsid w:val="00AB6EB0"/>
    <w:rsid w:val="00AB7B74"/>
    <w:rsid w:val="00AC298F"/>
    <w:rsid w:val="00AC393A"/>
    <w:rsid w:val="00AC5168"/>
    <w:rsid w:val="00AC5F69"/>
    <w:rsid w:val="00AC63BD"/>
    <w:rsid w:val="00AD067A"/>
    <w:rsid w:val="00AD1925"/>
    <w:rsid w:val="00AD26E3"/>
    <w:rsid w:val="00AD31EA"/>
    <w:rsid w:val="00AD5870"/>
    <w:rsid w:val="00AD5C4D"/>
    <w:rsid w:val="00AD6123"/>
    <w:rsid w:val="00AD64D9"/>
    <w:rsid w:val="00AD6B14"/>
    <w:rsid w:val="00AD706A"/>
    <w:rsid w:val="00AE07E9"/>
    <w:rsid w:val="00AE2635"/>
    <w:rsid w:val="00AE35E2"/>
    <w:rsid w:val="00AE407C"/>
    <w:rsid w:val="00AE4B00"/>
    <w:rsid w:val="00AE5259"/>
    <w:rsid w:val="00AE5E39"/>
    <w:rsid w:val="00AE6B15"/>
    <w:rsid w:val="00AF0B6C"/>
    <w:rsid w:val="00AF2763"/>
    <w:rsid w:val="00AF357D"/>
    <w:rsid w:val="00AF6A23"/>
    <w:rsid w:val="00AF6D3A"/>
    <w:rsid w:val="00B0328B"/>
    <w:rsid w:val="00B03E26"/>
    <w:rsid w:val="00B03F76"/>
    <w:rsid w:val="00B0583F"/>
    <w:rsid w:val="00B0669C"/>
    <w:rsid w:val="00B101DC"/>
    <w:rsid w:val="00B11C68"/>
    <w:rsid w:val="00B11E69"/>
    <w:rsid w:val="00B15AE4"/>
    <w:rsid w:val="00B170F1"/>
    <w:rsid w:val="00B1736F"/>
    <w:rsid w:val="00B21245"/>
    <w:rsid w:val="00B222C9"/>
    <w:rsid w:val="00B23578"/>
    <w:rsid w:val="00B26D3F"/>
    <w:rsid w:val="00B303DF"/>
    <w:rsid w:val="00B308A3"/>
    <w:rsid w:val="00B30E42"/>
    <w:rsid w:val="00B31034"/>
    <w:rsid w:val="00B32234"/>
    <w:rsid w:val="00B33815"/>
    <w:rsid w:val="00B347DC"/>
    <w:rsid w:val="00B35096"/>
    <w:rsid w:val="00B35E7F"/>
    <w:rsid w:val="00B36561"/>
    <w:rsid w:val="00B400EA"/>
    <w:rsid w:val="00B40EB9"/>
    <w:rsid w:val="00B41904"/>
    <w:rsid w:val="00B43BD8"/>
    <w:rsid w:val="00B44545"/>
    <w:rsid w:val="00B46129"/>
    <w:rsid w:val="00B46ADD"/>
    <w:rsid w:val="00B47754"/>
    <w:rsid w:val="00B479F5"/>
    <w:rsid w:val="00B5335F"/>
    <w:rsid w:val="00B535E8"/>
    <w:rsid w:val="00B53C43"/>
    <w:rsid w:val="00B564A0"/>
    <w:rsid w:val="00B564BB"/>
    <w:rsid w:val="00B57631"/>
    <w:rsid w:val="00B5779D"/>
    <w:rsid w:val="00B62AED"/>
    <w:rsid w:val="00B630CF"/>
    <w:rsid w:val="00B65358"/>
    <w:rsid w:val="00B65ACE"/>
    <w:rsid w:val="00B65C97"/>
    <w:rsid w:val="00B65CE4"/>
    <w:rsid w:val="00B65EC2"/>
    <w:rsid w:val="00B6616F"/>
    <w:rsid w:val="00B66FE1"/>
    <w:rsid w:val="00B7007B"/>
    <w:rsid w:val="00B71B8D"/>
    <w:rsid w:val="00B73982"/>
    <w:rsid w:val="00B73ECE"/>
    <w:rsid w:val="00B74AB4"/>
    <w:rsid w:val="00B75D74"/>
    <w:rsid w:val="00B77029"/>
    <w:rsid w:val="00B77183"/>
    <w:rsid w:val="00B77590"/>
    <w:rsid w:val="00B817E0"/>
    <w:rsid w:val="00B83155"/>
    <w:rsid w:val="00B83416"/>
    <w:rsid w:val="00B83DAD"/>
    <w:rsid w:val="00B8411F"/>
    <w:rsid w:val="00B843CD"/>
    <w:rsid w:val="00B85A0A"/>
    <w:rsid w:val="00B86B09"/>
    <w:rsid w:val="00B86B7A"/>
    <w:rsid w:val="00B86F50"/>
    <w:rsid w:val="00B87318"/>
    <w:rsid w:val="00B876EF"/>
    <w:rsid w:val="00B909C6"/>
    <w:rsid w:val="00B92014"/>
    <w:rsid w:val="00B922E1"/>
    <w:rsid w:val="00B92380"/>
    <w:rsid w:val="00B94616"/>
    <w:rsid w:val="00B96979"/>
    <w:rsid w:val="00BA11FD"/>
    <w:rsid w:val="00BA19EC"/>
    <w:rsid w:val="00BA2225"/>
    <w:rsid w:val="00BA39C4"/>
    <w:rsid w:val="00BA3A84"/>
    <w:rsid w:val="00BA3BB4"/>
    <w:rsid w:val="00BA474B"/>
    <w:rsid w:val="00BB1137"/>
    <w:rsid w:val="00BB347F"/>
    <w:rsid w:val="00BB3AEE"/>
    <w:rsid w:val="00BB4A8A"/>
    <w:rsid w:val="00BB6334"/>
    <w:rsid w:val="00BC2AA4"/>
    <w:rsid w:val="00BC375A"/>
    <w:rsid w:val="00BC53B3"/>
    <w:rsid w:val="00BC55A1"/>
    <w:rsid w:val="00BC64C9"/>
    <w:rsid w:val="00BD10F4"/>
    <w:rsid w:val="00BD1BF1"/>
    <w:rsid w:val="00BD25BF"/>
    <w:rsid w:val="00BD32FA"/>
    <w:rsid w:val="00BD39F0"/>
    <w:rsid w:val="00BD68D3"/>
    <w:rsid w:val="00BD7FA2"/>
    <w:rsid w:val="00BE0054"/>
    <w:rsid w:val="00BE0F2C"/>
    <w:rsid w:val="00BE0F82"/>
    <w:rsid w:val="00BE309E"/>
    <w:rsid w:val="00BE31C6"/>
    <w:rsid w:val="00BE4B44"/>
    <w:rsid w:val="00BE51FD"/>
    <w:rsid w:val="00BE5673"/>
    <w:rsid w:val="00BE5D49"/>
    <w:rsid w:val="00BF0123"/>
    <w:rsid w:val="00BF032B"/>
    <w:rsid w:val="00BF0778"/>
    <w:rsid w:val="00BF13A5"/>
    <w:rsid w:val="00BF16D6"/>
    <w:rsid w:val="00BF1883"/>
    <w:rsid w:val="00BF1DD6"/>
    <w:rsid w:val="00BF243B"/>
    <w:rsid w:val="00BF2689"/>
    <w:rsid w:val="00BF3213"/>
    <w:rsid w:val="00BF3293"/>
    <w:rsid w:val="00BF44BF"/>
    <w:rsid w:val="00BF45F1"/>
    <w:rsid w:val="00BF760E"/>
    <w:rsid w:val="00BF77EF"/>
    <w:rsid w:val="00C00872"/>
    <w:rsid w:val="00C013BB"/>
    <w:rsid w:val="00C02707"/>
    <w:rsid w:val="00C0489E"/>
    <w:rsid w:val="00C04E48"/>
    <w:rsid w:val="00C05B55"/>
    <w:rsid w:val="00C06124"/>
    <w:rsid w:val="00C0712D"/>
    <w:rsid w:val="00C0725D"/>
    <w:rsid w:val="00C075FE"/>
    <w:rsid w:val="00C07DA7"/>
    <w:rsid w:val="00C10437"/>
    <w:rsid w:val="00C116D2"/>
    <w:rsid w:val="00C126FA"/>
    <w:rsid w:val="00C12952"/>
    <w:rsid w:val="00C13A4A"/>
    <w:rsid w:val="00C14230"/>
    <w:rsid w:val="00C1570A"/>
    <w:rsid w:val="00C167AC"/>
    <w:rsid w:val="00C22776"/>
    <w:rsid w:val="00C22D83"/>
    <w:rsid w:val="00C2476B"/>
    <w:rsid w:val="00C24960"/>
    <w:rsid w:val="00C250DA"/>
    <w:rsid w:val="00C25E5D"/>
    <w:rsid w:val="00C3000A"/>
    <w:rsid w:val="00C309C1"/>
    <w:rsid w:val="00C32997"/>
    <w:rsid w:val="00C32FFF"/>
    <w:rsid w:val="00C33782"/>
    <w:rsid w:val="00C337C0"/>
    <w:rsid w:val="00C41DEB"/>
    <w:rsid w:val="00C430E3"/>
    <w:rsid w:val="00C45F57"/>
    <w:rsid w:val="00C46500"/>
    <w:rsid w:val="00C50250"/>
    <w:rsid w:val="00C504FC"/>
    <w:rsid w:val="00C50631"/>
    <w:rsid w:val="00C51DB8"/>
    <w:rsid w:val="00C5250C"/>
    <w:rsid w:val="00C53508"/>
    <w:rsid w:val="00C600C5"/>
    <w:rsid w:val="00C60A02"/>
    <w:rsid w:val="00C62185"/>
    <w:rsid w:val="00C62342"/>
    <w:rsid w:val="00C62CB0"/>
    <w:rsid w:val="00C63F81"/>
    <w:rsid w:val="00C6673D"/>
    <w:rsid w:val="00C671F1"/>
    <w:rsid w:val="00C67AFD"/>
    <w:rsid w:val="00C700AE"/>
    <w:rsid w:val="00C72DC4"/>
    <w:rsid w:val="00C800FE"/>
    <w:rsid w:val="00C803A5"/>
    <w:rsid w:val="00C8145D"/>
    <w:rsid w:val="00C8399B"/>
    <w:rsid w:val="00C8592B"/>
    <w:rsid w:val="00C90E4D"/>
    <w:rsid w:val="00C90F6E"/>
    <w:rsid w:val="00C94BEE"/>
    <w:rsid w:val="00C95896"/>
    <w:rsid w:val="00C96E80"/>
    <w:rsid w:val="00C97F5B"/>
    <w:rsid w:val="00CA19BF"/>
    <w:rsid w:val="00CA24B0"/>
    <w:rsid w:val="00CA279F"/>
    <w:rsid w:val="00CA2D3F"/>
    <w:rsid w:val="00CA652B"/>
    <w:rsid w:val="00CA6FFD"/>
    <w:rsid w:val="00CA7199"/>
    <w:rsid w:val="00CB0D37"/>
    <w:rsid w:val="00CB16CE"/>
    <w:rsid w:val="00CB1F80"/>
    <w:rsid w:val="00CB26F5"/>
    <w:rsid w:val="00CB303B"/>
    <w:rsid w:val="00CB51B6"/>
    <w:rsid w:val="00CB6995"/>
    <w:rsid w:val="00CB7F74"/>
    <w:rsid w:val="00CC14C1"/>
    <w:rsid w:val="00CC157B"/>
    <w:rsid w:val="00CC25EB"/>
    <w:rsid w:val="00CC3E43"/>
    <w:rsid w:val="00CC4269"/>
    <w:rsid w:val="00CC445C"/>
    <w:rsid w:val="00CC7CE2"/>
    <w:rsid w:val="00CD1819"/>
    <w:rsid w:val="00CD2896"/>
    <w:rsid w:val="00CD57D3"/>
    <w:rsid w:val="00CD6149"/>
    <w:rsid w:val="00CD69B2"/>
    <w:rsid w:val="00CD6FD1"/>
    <w:rsid w:val="00CD7D98"/>
    <w:rsid w:val="00CE06EC"/>
    <w:rsid w:val="00CE1559"/>
    <w:rsid w:val="00CE2CFE"/>
    <w:rsid w:val="00CE3598"/>
    <w:rsid w:val="00CE5A0A"/>
    <w:rsid w:val="00CE5B12"/>
    <w:rsid w:val="00CF18D8"/>
    <w:rsid w:val="00CF23E3"/>
    <w:rsid w:val="00CF328E"/>
    <w:rsid w:val="00CF4762"/>
    <w:rsid w:val="00CF6310"/>
    <w:rsid w:val="00D01398"/>
    <w:rsid w:val="00D0253A"/>
    <w:rsid w:val="00D03688"/>
    <w:rsid w:val="00D04431"/>
    <w:rsid w:val="00D06DA1"/>
    <w:rsid w:val="00D07770"/>
    <w:rsid w:val="00D141BC"/>
    <w:rsid w:val="00D14E9B"/>
    <w:rsid w:val="00D20263"/>
    <w:rsid w:val="00D2121A"/>
    <w:rsid w:val="00D21D89"/>
    <w:rsid w:val="00D21F09"/>
    <w:rsid w:val="00D22E5D"/>
    <w:rsid w:val="00D25A97"/>
    <w:rsid w:val="00D25CC7"/>
    <w:rsid w:val="00D30F98"/>
    <w:rsid w:val="00D363F6"/>
    <w:rsid w:val="00D375B9"/>
    <w:rsid w:val="00D37B8E"/>
    <w:rsid w:val="00D4118C"/>
    <w:rsid w:val="00D43BCF"/>
    <w:rsid w:val="00D44D95"/>
    <w:rsid w:val="00D44FF9"/>
    <w:rsid w:val="00D4654C"/>
    <w:rsid w:val="00D46A75"/>
    <w:rsid w:val="00D46DF1"/>
    <w:rsid w:val="00D46F12"/>
    <w:rsid w:val="00D47987"/>
    <w:rsid w:val="00D51C9A"/>
    <w:rsid w:val="00D541DC"/>
    <w:rsid w:val="00D55A10"/>
    <w:rsid w:val="00D55E58"/>
    <w:rsid w:val="00D56AFD"/>
    <w:rsid w:val="00D60B9D"/>
    <w:rsid w:val="00D6227C"/>
    <w:rsid w:val="00D63C60"/>
    <w:rsid w:val="00D64231"/>
    <w:rsid w:val="00D642FB"/>
    <w:rsid w:val="00D64DD5"/>
    <w:rsid w:val="00D651DD"/>
    <w:rsid w:val="00D66026"/>
    <w:rsid w:val="00D66DD4"/>
    <w:rsid w:val="00D67A7E"/>
    <w:rsid w:val="00D70BC5"/>
    <w:rsid w:val="00D72AAC"/>
    <w:rsid w:val="00D72F25"/>
    <w:rsid w:val="00D75D98"/>
    <w:rsid w:val="00D7649C"/>
    <w:rsid w:val="00D82AD9"/>
    <w:rsid w:val="00D83165"/>
    <w:rsid w:val="00D8376F"/>
    <w:rsid w:val="00D84F2B"/>
    <w:rsid w:val="00D855C0"/>
    <w:rsid w:val="00D87121"/>
    <w:rsid w:val="00D87354"/>
    <w:rsid w:val="00D87E6F"/>
    <w:rsid w:val="00D91114"/>
    <w:rsid w:val="00D91558"/>
    <w:rsid w:val="00D9279B"/>
    <w:rsid w:val="00D92CF3"/>
    <w:rsid w:val="00D94630"/>
    <w:rsid w:val="00D94A98"/>
    <w:rsid w:val="00D94E6E"/>
    <w:rsid w:val="00D95D23"/>
    <w:rsid w:val="00D96227"/>
    <w:rsid w:val="00D96679"/>
    <w:rsid w:val="00D96E89"/>
    <w:rsid w:val="00DA176A"/>
    <w:rsid w:val="00DA3458"/>
    <w:rsid w:val="00DA3D41"/>
    <w:rsid w:val="00DA502B"/>
    <w:rsid w:val="00DA6ACF"/>
    <w:rsid w:val="00DA7026"/>
    <w:rsid w:val="00DB11F4"/>
    <w:rsid w:val="00DB3209"/>
    <w:rsid w:val="00DB6685"/>
    <w:rsid w:val="00DB6C15"/>
    <w:rsid w:val="00DB74DE"/>
    <w:rsid w:val="00DB7C81"/>
    <w:rsid w:val="00DC1CA3"/>
    <w:rsid w:val="00DC25CB"/>
    <w:rsid w:val="00DC393D"/>
    <w:rsid w:val="00DC4349"/>
    <w:rsid w:val="00DC511E"/>
    <w:rsid w:val="00DC619C"/>
    <w:rsid w:val="00DC7803"/>
    <w:rsid w:val="00DD091C"/>
    <w:rsid w:val="00DD0DBF"/>
    <w:rsid w:val="00DD427D"/>
    <w:rsid w:val="00DD61F0"/>
    <w:rsid w:val="00DE2D9A"/>
    <w:rsid w:val="00DE3DFD"/>
    <w:rsid w:val="00DE584B"/>
    <w:rsid w:val="00DF225D"/>
    <w:rsid w:val="00DF3B78"/>
    <w:rsid w:val="00DF6A98"/>
    <w:rsid w:val="00DF7BAD"/>
    <w:rsid w:val="00E04F50"/>
    <w:rsid w:val="00E054BB"/>
    <w:rsid w:val="00E05C4C"/>
    <w:rsid w:val="00E05DE6"/>
    <w:rsid w:val="00E06CC8"/>
    <w:rsid w:val="00E107B3"/>
    <w:rsid w:val="00E10F19"/>
    <w:rsid w:val="00E11250"/>
    <w:rsid w:val="00E1181B"/>
    <w:rsid w:val="00E11E49"/>
    <w:rsid w:val="00E13AF8"/>
    <w:rsid w:val="00E14D21"/>
    <w:rsid w:val="00E156E2"/>
    <w:rsid w:val="00E15791"/>
    <w:rsid w:val="00E1750C"/>
    <w:rsid w:val="00E200B1"/>
    <w:rsid w:val="00E20CA3"/>
    <w:rsid w:val="00E23D18"/>
    <w:rsid w:val="00E240A5"/>
    <w:rsid w:val="00E245B2"/>
    <w:rsid w:val="00E247F0"/>
    <w:rsid w:val="00E25817"/>
    <w:rsid w:val="00E25E6E"/>
    <w:rsid w:val="00E266D4"/>
    <w:rsid w:val="00E26A37"/>
    <w:rsid w:val="00E27AC3"/>
    <w:rsid w:val="00E30BCB"/>
    <w:rsid w:val="00E32037"/>
    <w:rsid w:val="00E336F0"/>
    <w:rsid w:val="00E3399A"/>
    <w:rsid w:val="00E35015"/>
    <w:rsid w:val="00E35694"/>
    <w:rsid w:val="00E3632A"/>
    <w:rsid w:val="00E37B70"/>
    <w:rsid w:val="00E37CEE"/>
    <w:rsid w:val="00E4150F"/>
    <w:rsid w:val="00E43003"/>
    <w:rsid w:val="00E449A7"/>
    <w:rsid w:val="00E465EC"/>
    <w:rsid w:val="00E523EB"/>
    <w:rsid w:val="00E530DB"/>
    <w:rsid w:val="00E5503E"/>
    <w:rsid w:val="00E60F61"/>
    <w:rsid w:val="00E63CFB"/>
    <w:rsid w:val="00E644E0"/>
    <w:rsid w:val="00E65E72"/>
    <w:rsid w:val="00E66D85"/>
    <w:rsid w:val="00E679D7"/>
    <w:rsid w:val="00E70F72"/>
    <w:rsid w:val="00E76C6F"/>
    <w:rsid w:val="00E77246"/>
    <w:rsid w:val="00E80091"/>
    <w:rsid w:val="00E80344"/>
    <w:rsid w:val="00E80672"/>
    <w:rsid w:val="00E80B46"/>
    <w:rsid w:val="00E818AD"/>
    <w:rsid w:val="00E84974"/>
    <w:rsid w:val="00E85EB4"/>
    <w:rsid w:val="00E917E6"/>
    <w:rsid w:val="00E92B2E"/>
    <w:rsid w:val="00E937C7"/>
    <w:rsid w:val="00E93FEA"/>
    <w:rsid w:val="00E94C9F"/>
    <w:rsid w:val="00E97189"/>
    <w:rsid w:val="00EA1510"/>
    <w:rsid w:val="00EA3FCF"/>
    <w:rsid w:val="00EA499B"/>
    <w:rsid w:val="00EA4F20"/>
    <w:rsid w:val="00EA4F5F"/>
    <w:rsid w:val="00EA6050"/>
    <w:rsid w:val="00EA6552"/>
    <w:rsid w:val="00EA73DB"/>
    <w:rsid w:val="00EA77E5"/>
    <w:rsid w:val="00EB0C2C"/>
    <w:rsid w:val="00EB0E5E"/>
    <w:rsid w:val="00EB16AB"/>
    <w:rsid w:val="00EB1EBB"/>
    <w:rsid w:val="00EB23AB"/>
    <w:rsid w:val="00EB298C"/>
    <w:rsid w:val="00EB5E0E"/>
    <w:rsid w:val="00EB6BC3"/>
    <w:rsid w:val="00EB7153"/>
    <w:rsid w:val="00EB7E5E"/>
    <w:rsid w:val="00EC02BF"/>
    <w:rsid w:val="00EC5B6B"/>
    <w:rsid w:val="00EC73BF"/>
    <w:rsid w:val="00ED019F"/>
    <w:rsid w:val="00ED03F3"/>
    <w:rsid w:val="00ED1400"/>
    <w:rsid w:val="00ED1498"/>
    <w:rsid w:val="00ED1FF5"/>
    <w:rsid w:val="00ED4103"/>
    <w:rsid w:val="00ED55F6"/>
    <w:rsid w:val="00EE2230"/>
    <w:rsid w:val="00EE542A"/>
    <w:rsid w:val="00EE5CB2"/>
    <w:rsid w:val="00EE7559"/>
    <w:rsid w:val="00EF5032"/>
    <w:rsid w:val="00EF5D3F"/>
    <w:rsid w:val="00EF6E10"/>
    <w:rsid w:val="00EF712B"/>
    <w:rsid w:val="00EF7D5A"/>
    <w:rsid w:val="00F00B86"/>
    <w:rsid w:val="00F01211"/>
    <w:rsid w:val="00F033C9"/>
    <w:rsid w:val="00F03617"/>
    <w:rsid w:val="00F04EF2"/>
    <w:rsid w:val="00F0541C"/>
    <w:rsid w:val="00F05FA7"/>
    <w:rsid w:val="00F06EAB"/>
    <w:rsid w:val="00F07E63"/>
    <w:rsid w:val="00F07E82"/>
    <w:rsid w:val="00F112EA"/>
    <w:rsid w:val="00F134F5"/>
    <w:rsid w:val="00F13519"/>
    <w:rsid w:val="00F13987"/>
    <w:rsid w:val="00F16C66"/>
    <w:rsid w:val="00F17781"/>
    <w:rsid w:val="00F2078D"/>
    <w:rsid w:val="00F2556A"/>
    <w:rsid w:val="00F25C21"/>
    <w:rsid w:val="00F2615A"/>
    <w:rsid w:val="00F26B4C"/>
    <w:rsid w:val="00F307DA"/>
    <w:rsid w:val="00F320C1"/>
    <w:rsid w:val="00F3263B"/>
    <w:rsid w:val="00F32C8C"/>
    <w:rsid w:val="00F34DA5"/>
    <w:rsid w:val="00F35EC8"/>
    <w:rsid w:val="00F37667"/>
    <w:rsid w:val="00F377A4"/>
    <w:rsid w:val="00F377C1"/>
    <w:rsid w:val="00F41368"/>
    <w:rsid w:val="00F41834"/>
    <w:rsid w:val="00F42447"/>
    <w:rsid w:val="00F44420"/>
    <w:rsid w:val="00F44BEF"/>
    <w:rsid w:val="00F45CFC"/>
    <w:rsid w:val="00F45D51"/>
    <w:rsid w:val="00F469BA"/>
    <w:rsid w:val="00F46C70"/>
    <w:rsid w:val="00F46EE0"/>
    <w:rsid w:val="00F52628"/>
    <w:rsid w:val="00F540E0"/>
    <w:rsid w:val="00F545DD"/>
    <w:rsid w:val="00F546D2"/>
    <w:rsid w:val="00F55FA6"/>
    <w:rsid w:val="00F5774B"/>
    <w:rsid w:val="00F578B8"/>
    <w:rsid w:val="00F60480"/>
    <w:rsid w:val="00F605E7"/>
    <w:rsid w:val="00F613D7"/>
    <w:rsid w:val="00F619CC"/>
    <w:rsid w:val="00F627A7"/>
    <w:rsid w:val="00F6338E"/>
    <w:rsid w:val="00F63896"/>
    <w:rsid w:val="00F6471F"/>
    <w:rsid w:val="00F64D99"/>
    <w:rsid w:val="00F678E0"/>
    <w:rsid w:val="00F703CA"/>
    <w:rsid w:val="00F715E6"/>
    <w:rsid w:val="00F7263B"/>
    <w:rsid w:val="00F7265E"/>
    <w:rsid w:val="00F72E5F"/>
    <w:rsid w:val="00F743FE"/>
    <w:rsid w:val="00F76B51"/>
    <w:rsid w:val="00F76FB5"/>
    <w:rsid w:val="00F774B6"/>
    <w:rsid w:val="00F77655"/>
    <w:rsid w:val="00F779CD"/>
    <w:rsid w:val="00F80A6A"/>
    <w:rsid w:val="00F8267A"/>
    <w:rsid w:val="00F837B8"/>
    <w:rsid w:val="00F84D96"/>
    <w:rsid w:val="00F853A5"/>
    <w:rsid w:val="00F86588"/>
    <w:rsid w:val="00F866BD"/>
    <w:rsid w:val="00F87417"/>
    <w:rsid w:val="00F87EC0"/>
    <w:rsid w:val="00F91422"/>
    <w:rsid w:val="00F9167A"/>
    <w:rsid w:val="00F91B7D"/>
    <w:rsid w:val="00F91D30"/>
    <w:rsid w:val="00F91DBB"/>
    <w:rsid w:val="00F923AE"/>
    <w:rsid w:val="00F937B0"/>
    <w:rsid w:val="00F94C8B"/>
    <w:rsid w:val="00F95FE0"/>
    <w:rsid w:val="00F961B9"/>
    <w:rsid w:val="00FA0E74"/>
    <w:rsid w:val="00FA3EAA"/>
    <w:rsid w:val="00FA71F3"/>
    <w:rsid w:val="00FA7C85"/>
    <w:rsid w:val="00FB085A"/>
    <w:rsid w:val="00FB2B62"/>
    <w:rsid w:val="00FB3398"/>
    <w:rsid w:val="00FB35F3"/>
    <w:rsid w:val="00FB38B9"/>
    <w:rsid w:val="00FB3EF3"/>
    <w:rsid w:val="00FB3EFF"/>
    <w:rsid w:val="00FB4FC4"/>
    <w:rsid w:val="00FB50D6"/>
    <w:rsid w:val="00FB665C"/>
    <w:rsid w:val="00FB668B"/>
    <w:rsid w:val="00FC0143"/>
    <w:rsid w:val="00FC072E"/>
    <w:rsid w:val="00FC1CF5"/>
    <w:rsid w:val="00FC5CB4"/>
    <w:rsid w:val="00FC7941"/>
    <w:rsid w:val="00FD2DC7"/>
    <w:rsid w:val="00FD4511"/>
    <w:rsid w:val="00FD5E24"/>
    <w:rsid w:val="00FD5E5E"/>
    <w:rsid w:val="00FD78D2"/>
    <w:rsid w:val="00FE1080"/>
    <w:rsid w:val="00FE133D"/>
    <w:rsid w:val="00FE4D17"/>
    <w:rsid w:val="00FE4F45"/>
    <w:rsid w:val="00FE54BD"/>
    <w:rsid w:val="00FE63A1"/>
    <w:rsid w:val="00FF021A"/>
    <w:rsid w:val="00FF1AFC"/>
    <w:rsid w:val="00FF23BD"/>
    <w:rsid w:val="00FF3A00"/>
    <w:rsid w:val="00FF44B2"/>
    <w:rsid w:val="00FF536D"/>
    <w:rsid w:val="00FF623A"/>
    <w:rsid w:val="00FF6240"/>
    <w:rsid w:val="00FF680E"/>
    <w:rsid w:val="095048B3"/>
    <w:rsid w:val="16B54AE7"/>
    <w:rsid w:val="21A93A00"/>
    <w:rsid w:val="22972A5C"/>
    <w:rsid w:val="262E3057"/>
    <w:rsid w:val="33DD60C6"/>
    <w:rsid w:val="3842480B"/>
    <w:rsid w:val="3DCF6EFA"/>
    <w:rsid w:val="42F2212D"/>
    <w:rsid w:val="45934027"/>
    <w:rsid w:val="46EC4168"/>
    <w:rsid w:val="4D4453EE"/>
    <w:rsid w:val="57420238"/>
    <w:rsid w:val="5B5B648F"/>
    <w:rsid w:val="5D077621"/>
    <w:rsid w:val="67694667"/>
    <w:rsid w:val="6FCD1A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ocked="1"/>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3"/>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2"/>
    <w:basedOn w:val="1"/>
    <w:next w:val="1"/>
    <w:link w:val="7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4"/>
    <w:qFormat/>
    <w:uiPriority w:val="99"/>
    <w:pPr>
      <w:keepNext/>
      <w:keepLines/>
      <w:spacing w:before="260" w:after="260" w:line="416" w:lineRule="atLeast"/>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locked/>
    <w:uiPriority w:val="99"/>
    <w:pPr>
      <w:widowControl w:val="0"/>
      <w:spacing w:line="240" w:lineRule="auto"/>
      <w:ind w:left="2520" w:leftChars="1200"/>
      <w:textAlignment w:val="auto"/>
    </w:pPr>
    <w:rPr>
      <w:rFonts w:ascii="Calibri" w:hAnsi="Calibri"/>
      <w:color w:val="auto"/>
      <w:kern w:val="2"/>
      <w:szCs w:val="22"/>
    </w:rPr>
  </w:style>
  <w:style w:type="paragraph" w:styleId="6">
    <w:name w:val="annotation text"/>
    <w:basedOn w:val="1"/>
    <w:link w:val="35"/>
    <w:semiHidden/>
    <w:qFormat/>
    <w:locked/>
    <w:uiPriority w:val="99"/>
    <w:pPr>
      <w:jc w:val="left"/>
    </w:pPr>
  </w:style>
  <w:style w:type="paragraph" w:styleId="7">
    <w:name w:val="Body Text"/>
    <w:basedOn w:val="1"/>
    <w:link w:val="80"/>
    <w:semiHidden/>
    <w:unhideWhenUsed/>
    <w:qFormat/>
    <w:locked/>
    <w:uiPriority w:val="99"/>
    <w:pPr>
      <w:spacing w:after="120"/>
    </w:pPr>
  </w:style>
  <w:style w:type="paragraph" w:styleId="8">
    <w:name w:val="Body Text Indent"/>
    <w:basedOn w:val="1"/>
    <w:link w:val="37"/>
    <w:qFormat/>
    <w:uiPriority w:val="99"/>
    <w:pPr>
      <w:widowControl w:val="0"/>
      <w:snapToGrid w:val="0"/>
      <w:spacing w:before="283" w:line="560" w:lineRule="exact"/>
      <w:ind w:firstLine="510"/>
    </w:pPr>
    <w:rPr>
      <w:sz w:val="28"/>
    </w:rPr>
  </w:style>
  <w:style w:type="paragraph" w:styleId="9">
    <w:name w:val="toc 5"/>
    <w:basedOn w:val="1"/>
    <w:next w:val="1"/>
    <w:qFormat/>
    <w:locked/>
    <w:uiPriority w:val="99"/>
    <w:pPr>
      <w:widowControl w:val="0"/>
      <w:spacing w:line="240" w:lineRule="auto"/>
      <w:ind w:left="1680" w:leftChars="800"/>
      <w:textAlignment w:val="auto"/>
    </w:pPr>
    <w:rPr>
      <w:rFonts w:ascii="Calibri" w:hAnsi="Calibri"/>
      <w:color w:val="auto"/>
      <w:kern w:val="2"/>
      <w:szCs w:val="22"/>
    </w:rPr>
  </w:style>
  <w:style w:type="paragraph" w:styleId="10">
    <w:name w:val="toc 3"/>
    <w:basedOn w:val="1"/>
    <w:next w:val="1"/>
    <w:qFormat/>
    <w:locked/>
    <w:uiPriority w:val="99"/>
    <w:pPr>
      <w:widowControl w:val="0"/>
      <w:spacing w:line="240" w:lineRule="auto"/>
      <w:ind w:left="840" w:leftChars="400"/>
      <w:textAlignment w:val="auto"/>
    </w:pPr>
    <w:rPr>
      <w:rFonts w:ascii="Calibri" w:hAnsi="Calibri"/>
      <w:color w:val="auto"/>
      <w:kern w:val="2"/>
      <w:szCs w:val="22"/>
    </w:rPr>
  </w:style>
  <w:style w:type="paragraph" w:styleId="11">
    <w:name w:val="Plain Text"/>
    <w:basedOn w:val="1"/>
    <w:link w:val="61"/>
    <w:qFormat/>
    <w:uiPriority w:val="0"/>
    <w:pPr>
      <w:widowControl w:val="0"/>
      <w:spacing w:line="240" w:lineRule="auto"/>
      <w:textAlignment w:val="auto"/>
    </w:pPr>
    <w:rPr>
      <w:rFonts w:ascii="宋体" w:hAnsi="Courier New"/>
      <w:color w:val="auto"/>
      <w:kern w:val="2"/>
    </w:rPr>
  </w:style>
  <w:style w:type="paragraph" w:styleId="12">
    <w:name w:val="toc 8"/>
    <w:basedOn w:val="1"/>
    <w:next w:val="1"/>
    <w:qFormat/>
    <w:locked/>
    <w:uiPriority w:val="99"/>
    <w:pPr>
      <w:widowControl w:val="0"/>
      <w:spacing w:line="240" w:lineRule="auto"/>
      <w:ind w:left="2940" w:leftChars="1400"/>
      <w:textAlignment w:val="auto"/>
    </w:pPr>
    <w:rPr>
      <w:rFonts w:ascii="Calibri" w:hAnsi="Calibri"/>
      <w:color w:val="auto"/>
      <w:kern w:val="2"/>
      <w:szCs w:val="22"/>
    </w:rPr>
  </w:style>
  <w:style w:type="paragraph" w:styleId="13">
    <w:name w:val="Date"/>
    <w:basedOn w:val="1"/>
    <w:next w:val="1"/>
    <w:link w:val="39"/>
    <w:qFormat/>
    <w:uiPriority w:val="99"/>
    <w:pPr>
      <w:ind w:left="100" w:leftChars="2500"/>
    </w:pPr>
  </w:style>
  <w:style w:type="paragraph" w:styleId="14">
    <w:name w:val="Balloon Text"/>
    <w:basedOn w:val="1"/>
    <w:link w:val="40"/>
    <w:qFormat/>
    <w:uiPriority w:val="99"/>
    <w:pPr>
      <w:spacing w:line="240" w:lineRule="auto"/>
    </w:pPr>
    <w:rPr>
      <w:sz w:val="18"/>
      <w:szCs w:val="18"/>
    </w:rPr>
  </w:style>
  <w:style w:type="paragraph" w:styleId="15">
    <w:name w:val="footer"/>
    <w:basedOn w:val="1"/>
    <w:link w:val="41"/>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toc 4"/>
    <w:basedOn w:val="1"/>
    <w:next w:val="1"/>
    <w:qFormat/>
    <w:locked/>
    <w:uiPriority w:val="99"/>
    <w:pPr>
      <w:widowControl w:val="0"/>
      <w:spacing w:line="240" w:lineRule="auto"/>
      <w:ind w:left="1260" w:leftChars="600"/>
      <w:textAlignment w:val="auto"/>
    </w:pPr>
    <w:rPr>
      <w:rFonts w:ascii="Calibri" w:hAnsi="Calibri"/>
      <w:color w:val="auto"/>
      <w:kern w:val="2"/>
      <w:szCs w:val="22"/>
    </w:rPr>
  </w:style>
  <w:style w:type="paragraph" w:styleId="19">
    <w:name w:val="toc 6"/>
    <w:basedOn w:val="1"/>
    <w:next w:val="1"/>
    <w:qFormat/>
    <w:locked/>
    <w:uiPriority w:val="99"/>
    <w:pPr>
      <w:widowControl w:val="0"/>
      <w:spacing w:line="240" w:lineRule="auto"/>
      <w:ind w:left="2100" w:leftChars="1000"/>
      <w:textAlignment w:val="auto"/>
    </w:pPr>
    <w:rPr>
      <w:rFonts w:ascii="Calibri" w:hAnsi="Calibri"/>
      <w:color w:val="auto"/>
      <w:kern w:val="2"/>
      <w:szCs w:val="22"/>
    </w:rPr>
  </w:style>
  <w:style w:type="paragraph" w:styleId="20">
    <w:name w:val="toc 2"/>
    <w:basedOn w:val="1"/>
    <w:next w:val="1"/>
    <w:qFormat/>
    <w:uiPriority w:val="39"/>
    <w:pPr>
      <w:ind w:left="420" w:leftChars="200"/>
    </w:pPr>
  </w:style>
  <w:style w:type="paragraph" w:styleId="21">
    <w:name w:val="toc 9"/>
    <w:basedOn w:val="1"/>
    <w:next w:val="1"/>
    <w:qFormat/>
    <w:locked/>
    <w:uiPriority w:val="99"/>
    <w:pPr>
      <w:widowControl w:val="0"/>
      <w:spacing w:line="240" w:lineRule="auto"/>
      <w:ind w:left="3360" w:leftChars="1600"/>
      <w:textAlignment w:val="auto"/>
    </w:pPr>
    <w:rPr>
      <w:rFonts w:ascii="Calibri" w:hAnsi="Calibri"/>
      <w:color w:val="auto"/>
      <w:kern w:val="2"/>
      <w:szCs w:val="22"/>
    </w:rPr>
  </w:style>
  <w:style w:type="paragraph" w:styleId="22">
    <w:name w:val="Body Text 2"/>
    <w:basedOn w:val="1"/>
    <w:link w:val="43"/>
    <w:qFormat/>
    <w:uiPriority w:val="99"/>
    <w:pPr>
      <w:spacing w:after="120" w:line="480" w:lineRule="auto"/>
    </w:pPr>
  </w:style>
  <w:style w:type="paragraph" w:styleId="23">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4">
    <w:name w:val="annotation subject"/>
    <w:basedOn w:val="6"/>
    <w:next w:val="6"/>
    <w:link w:val="36"/>
    <w:semiHidden/>
    <w:qFormat/>
    <w:locked/>
    <w:uiPriority w:val="99"/>
    <w:rPr>
      <w:b/>
      <w:bCs/>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rPr>
  </w:style>
  <w:style w:type="character" w:styleId="29">
    <w:name w:val="page number"/>
    <w:basedOn w:val="27"/>
    <w:qFormat/>
    <w:uiPriority w:val="99"/>
    <w:rPr>
      <w:rFonts w:cs="Times New Roman"/>
    </w:rPr>
  </w:style>
  <w:style w:type="character" w:styleId="30">
    <w:name w:val="Emphasis"/>
    <w:basedOn w:val="27"/>
    <w:qFormat/>
    <w:locked/>
    <w:uiPriority w:val="99"/>
    <w:rPr>
      <w:rFonts w:cs="Times New Roman"/>
      <w:color w:val="CC0033"/>
    </w:rPr>
  </w:style>
  <w:style w:type="character" w:styleId="31">
    <w:name w:val="Hyperlink"/>
    <w:basedOn w:val="27"/>
    <w:qFormat/>
    <w:uiPriority w:val="99"/>
    <w:rPr>
      <w:rFonts w:cs="Times New Roman"/>
      <w:color w:val="0368A8"/>
      <w:u w:val="none"/>
    </w:rPr>
  </w:style>
  <w:style w:type="character" w:styleId="32">
    <w:name w:val="annotation reference"/>
    <w:basedOn w:val="27"/>
    <w:semiHidden/>
    <w:qFormat/>
    <w:locked/>
    <w:uiPriority w:val="99"/>
    <w:rPr>
      <w:rFonts w:cs="Times New Roman"/>
      <w:sz w:val="21"/>
      <w:szCs w:val="21"/>
    </w:rPr>
  </w:style>
  <w:style w:type="character" w:customStyle="1" w:styleId="33">
    <w:name w:val="标题 1 Char"/>
    <w:basedOn w:val="27"/>
    <w:link w:val="2"/>
    <w:qFormat/>
    <w:locked/>
    <w:uiPriority w:val="99"/>
    <w:rPr>
      <w:rFonts w:cs="Times New Roman"/>
      <w:b/>
      <w:bCs/>
      <w:color w:val="000000"/>
      <w:kern w:val="44"/>
      <w:sz w:val="44"/>
      <w:szCs w:val="44"/>
      <w:u w:color="000000"/>
    </w:rPr>
  </w:style>
  <w:style w:type="character" w:customStyle="1" w:styleId="34">
    <w:name w:val="标题 3 Char"/>
    <w:basedOn w:val="27"/>
    <w:link w:val="4"/>
    <w:semiHidden/>
    <w:qFormat/>
    <w:locked/>
    <w:uiPriority w:val="99"/>
    <w:rPr>
      <w:rFonts w:cs="Times New Roman"/>
      <w:b/>
      <w:bCs/>
      <w:color w:val="000000"/>
      <w:sz w:val="32"/>
      <w:szCs w:val="32"/>
      <w:u w:color="000000"/>
    </w:rPr>
  </w:style>
  <w:style w:type="character" w:customStyle="1" w:styleId="35">
    <w:name w:val="批注文字 Char"/>
    <w:basedOn w:val="27"/>
    <w:link w:val="6"/>
    <w:semiHidden/>
    <w:qFormat/>
    <w:locked/>
    <w:uiPriority w:val="99"/>
    <w:rPr>
      <w:rFonts w:cs="Times New Roman"/>
      <w:color w:val="000000"/>
      <w:kern w:val="0"/>
      <w:sz w:val="20"/>
      <w:szCs w:val="20"/>
      <w:u w:color="000000"/>
    </w:rPr>
  </w:style>
  <w:style w:type="character" w:customStyle="1" w:styleId="36">
    <w:name w:val="批注主题 Char"/>
    <w:basedOn w:val="35"/>
    <w:link w:val="24"/>
    <w:semiHidden/>
    <w:qFormat/>
    <w:locked/>
    <w:uiPriority w:val="99"/>
    <w:rPr>
      <w:rFonts w:cs="Times New Roman"/>
      <w:b/>
      <w:bCs/>
      <w:color w:val="000000"/>
      <w:kern w:val="0"/>
      <w:sz w:val="20"/>
      <w:szCs w:val="20"/>
      <w:u w:color="000000"/>
    </w:rPr>
  </w:style>
  <w:style w:type="character" w:customStyle="1" w:styleId="37">
    <w:name w:val="正文文本缩进 Char"/>
    <w:basedOn w:val="27"/>
    <w:link w:val="8"/>
    <w:qFormat/>
    <w:locked/>
    <w:uiPriority w:val="99"/>
    <w:rPr>
      <w:rFonts w:cs="Times New Roman"/>
      <w:color w:val="000000"/>
      <w:kern w:val="0"/>
      <w:sz w:val="20"/>
      <w:szCs w:val="20"/>
      <w:u w:color="000000"/>
    </w:rPr>
  </w:style>
  <w:style w:type="character" w:customStyle="1" w:styleId="38">
    <w:name w:val="Plain Text Char"/>
    <w:basedOn w:val="27"/>
    <w:qFormat/>
    <w:locked/>
    <w:uiPriority w:val="99"/>
    <w:rPr>
      <w:rFonts w:ascii="宋体" w:hAnsi="Courier New" w:eastAsia="宋体" w:cs="Times New Roman"/>
      <w:kern w:val="2"/>
      <w:sz w:val="21"/>
      <w:lang w:val="en-US" w:eastAsia="zh-CN"/>
    </w:rPr>
  </w:style>
  <w:style w:type="character" w:customStyle="1" w:styleId="39">
    <w:name w:val="日期 Char"/>
    <w:basedOn w:val="27"/>
    <w:link w:val="13"/>
    <w:qFormat/>
    <w:locked/>
    <w:uiPriority w:val="99"/>
    <w:rPr>
      <w:rFonts w:cs="Times New Roman"/>
      <w:color w:val="000000"/>
      <w:sz w:val="21"/>
      <w:u w:color="000000"/>
    </w:rPr>
  </w:style>
  <w:style w:type="character" w:customStyle="1" w:styleId="40">
    <w:name w:val="批注框文本 Char"/>
    <w:basedOn w:val="27"/>
    <w:link w:val="14"/>
    <w:qFormat/>
    <w:locked/>
    <w:uiPriority w:val="99"/>
    <w:rPr>
      <w:rFonts w:cs="Times New Roman"/>
      <w:color w:val="000000"/>
      <w:sz w:val="18"/>
      <w:szCs w:val="18"/>
      <w:u w:color="000000"/>
    </w:rPr>
  </w:style>
  <w:style w:type="character" w:customStyle="1" w:styleId="41">
    <w:name w:val="页脚 Char"/>
    <w:basedOn w:val="27"/>
    <w:link w:val="15"/>
    <w:semiHidden/>
    <w:qFormat/>
    <w:locked/>
    <w:uiPriority w:val="99"/>
    <w:rPr>
      <w:rFonts w:cs="Times New Roman"/>
      <w:color w:val="000000"/>
      <w:kern w:val="0"/>
      <w:sz w:val="18"/>
      <w:szCs w:val="18"/>
      <w:u w:color="000000"/>
    </w:rPr>
  </w:style>
  <w:style w:type="character" w:customStyle="1" w:styleId="42">
    <w:name w:val="页眉 Char"/>
    <w:basedOn w:val="27"/>
    <w:link w:val="16"/>
    <w:semiHidden/>
    <w:qFormat/>
    <w:locked/>
    <w:uiPriority w:val="99"/>
    <w:rPr>
      <w:rFonts w:cs="Times New Roman"/>
      <w:color w:val="000000"/>
      <w:kern w:val="0"/>
      <w:sz w:val="18"/>
      <w:szCs w:val="18"/>
      <w:u w:color="000000"/>
    </w:rPr>
  </w:style>
  <w:style w:type="character" w:customStyle="1" w:styleId="43">
    <w:name w:val="正文文本 2 Char"/>
    <w:basedOn w:val="27"/>
    <w:link w:val="22"/>
    <w:semiHidden/>
    <w:qFormat/>
    <w:locked/>
    <w:uiPriority w:val="99"/>
    <w:rPr>
      <w:rFonts w:cs="Times New Roman"/>
      <w:color w:val="000000"/>
      <w:kern w:val="0"/>
      <w:sz w:val="20"/>
      <w:szCs w:val="20"/>
      <w:u w:color="000000"/>
    </w:rPr>
  </w:style>
  <w:style w:type="character" w:customStyle="1" w:styleId="44">
    <w:name w:val="链接"/>
    <w:qFormat/>
    <w:uiPriority w:val="99"/>
    <w:rPr>
      <w:rFonts w:ascii="Times New Roman" w:eastAsia="宋体"/>
      <w:color w:val="0000FF"/>
      <w:sz w:val="21"/>
      <w:u w:val="single" w:color="0000FF"/>
      <w:vertAlign w:val="baseline"/>
      <w:lang w:val="en-US" w:eastAsia="zh-CN"/>
    </w:rPr>
  </w:style>
  <w:style w:type="character" w:customStyle="1" w:styleId="45">
    <w:name w:val="超级链接"/>
    <w:qFormat/>
    <w:uiPriority w:val="99"/>
    <w:rPr>
      <w:rFonts w:ascii="Times New Roman" w:eastAsia="宋体"/>
      <w:color w:val="0000FF"/>
      <w:sz w:val="21"/>
      <w:u w:val="single" w:color="0000FF"/>
      <w:vertAlign w:val="baseline"/>
      <w:lang w:val="en-US" w:eastAsia="zh-CN"/>
    </w:rPr>
  </w:style>
  <w:style w:type="character" w:customStyle="1" w:styleId="46">
    <w:name w:val="param_td12"/>
    <w:basedOn w:val="27"/>
    <w:qFormat/>
    <w:uiPriority w:val="99"/>
    <w:rPr>
      <w:rFonts w:cs="Times New Roman"/>
    </w:rPr>
  </w:style>
  <w:style w:type="paragraph" w:customStyle="1" w:styleId="47">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8">
    <w:name w:val="章标题"/>
    <w:basedOn w:val="1"/>
    <w:next w:val="49"/>
    <w:qFormat/>
    <w:uiPriority w:val="99"/>
    <w:pPr>
      <w:spacing w:before="158" w:after="153" w:line="323" w:lineRule="atLeast"/>
      <w:jc w:val="center"/>
    </w:pPr>
    <w:rPr>
      <w:rFonts w:ascii="Arial" w:eastAsia="黑体"/>
      <w:sz w:val="31"/>
    </w:rPr>
  </w:style>
  <w:style w:type="paragraph" w:customStyle="1" w:styleId="49">
    <w:name w:val="节标题"/>
    <w:basedOn w:val="1"/>
    <w:next w:val="50"/>
    <w:qFormat/>
    <w:uiPriority w:val="99"/>
    <w:pPr>
      <w:spacing w:line="289" w:lineRule="atLeast"/>
      <w:jc w:val="center"/>
    </w:pPr>
    <w:rPr>
      <w:sz w:val="28"/>
    </w:rPr>
  </w:style>
  <w:style w:type="paragraph" w:customStyle="1" w:styleId="50">
    <w:name w:val="小节标题"/>
    <w:basedOn w:val="1"/>
    <w:next w:val="1"/>
    <w:qFormat/>
    <w:uiPriority w:val="99"/>
    <w:pPr>
      <w:spacing w:before="175" w:after="102" w:line="351" w:lineRule="atLeast"/>
    </w:pPr>
    <w:rPr>
      <w:rFonts w:eastAsia="黑体"/>
    </w:rPr>
  </w:style>
  <w:style w:type="paragraph" w:customStyle="1" w:styleId="51">
    <w:name w:val="目录2"/>
    <w:basedOn w:val="1"/>
    <w:next w:val="1"/>
    <w:qFormat/>
    <w:uiPriority w:val="99"/>
    <w:pPr>
      <w:tabs>
        <w:tab w:val="left" w:leader="dot" w:pos="8503"/>
      </w:tabs>
      <w:spacing w:line="317" w:lineRule="atLeast"/>
      <w:ind w:firstLine="209"/>
    </w:pPr>
  </w:style>
  <w:style w:type="paragraph" w:customStyle="1" w:styleId="52">
    <w:name w:val="目录4"/>
    <w:basedOn w:val="1"/>
    <w:next w:val="1"/>
    <w:qFormat/>
    <w:uiPriority w:val="99"/>
    <w:pPr>
      <w:tabs>
        <w:tab w:val="left" w:leader="dot" w:pos="8503"/>
      </w:tabs>
      <w:spacing w:line="317" w:lineRule="atLeast"/>
      <w:ind w:firstLine="629"/>
    </w:pPr>
  </w:style>
  <w:style w:type="paragraph" w:customStyle="1" w:styleId="53">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4">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5">
    <w:name w:val="目录3"/>
    <w:basedOn w:val="1"/>
    <w:next w:val="1"/>
    <w:qFormat/>
    <w:uiPriority w:val="99"/>
    <w:pPr>
      <w:tabs>
        <w:tab w:val="left" w:leader="dot" w:pos="8503"/>
      </w:tabs>
      <w:spacing w:line="317" w:lineRule="atLeast"/>
      <w:ind w:firstLine="419"/>
    </w:pPr>
  </w:style>
  <w:style w:type="paragraph" w:customStyle="1" w:styleId="56">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7">
    <w:name w:val="文章总标题"/>
    <w:basedOn w:val="1"/>
    <w:next w:val="58"/>
    <w:qFormat/>
    <w:uiPriority w:val="99"/>
    <w:pPr>
      <w:spacing w:before="566" w:after="544" w:line="566" w:lineRule="atLeast"/>
      <w:jc w:val="center"/>
    </w:pPr>
    <w:rPr>
      <w:rFonts w:ascii="Arial" w:eastAsia="黑体"/>
      <w:sz w:val="54"/>
    </w:rPr>
  </w:style>
  <w:style w:type="paragraph" w:customStyle="1" w:styleId="58">
    <w:name w:val="文章附标题"/>
    <w:basedOn w:val="1"/>
    <w:next w:val="48"/>
    <w:qFormat/>
    <w:uiPriority w:val="99"/>
    <w:pPr>
      <w:spacing w:before="187" w:after="175" w:line="374" w:lineRule="atLeast"/>
      <w:jc w:val="center"/>
    </w:pPr>
    <w:rPr>
      <w:sz w:val="36"/>
    </w:rPr>
  </w:style>
  <w:style w:type="paragraph" w:customStyle="1" w:styleId="59">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60">
    <w:name w:val="Char11"/>
    <w:basedOn w:val="1"/>
    <w:qFormat/>
    <w:uiPriority w:val="99"/>
    <w:pPr>
      <w:widowControl w:val="0"/>
      <w:spacing w:line="240" w:lineRule="auto"/>
      <w:textAlignment w:val="auto"/>
    </w:pPr>
    <w:rPr>
      <w:rFonts w:ascii="Tahoma" w:hAnsi="Tahoma"/>
      <w:color w:val="auto"/>
      <w:kern w:val="2"/>
      <w:sz w:val="24"/>
    </w:rPr>
  </w:style>
  <w:style w:type="character" w:customStyle="1" w:styleId="61">
    <w:name w:val="纯文本 Char"/>
    <w:basedOn w:val="27"/>
    <w:link w:val="11"/>
    <w:qFormat/>
    <w:locked/>
    <w:uiPriority w:val="0"/>
    <w:rPr>
      <w:rFonts w:ascii="宋体" w:hAnsi="Courier New" w:cs="Courier New"/>
      <w:color w:val="000000"/>
      <w:kern w:val="0"/>
      <w:sz w:val="21"/>
      <w:szCs w:val="21"/>
      <w:u w:color="000000"/>
    </w:rPr>
  </w:style>
  <w:style w:type="character" w:customStyle="1" w:styleId="62">
    <w:name w:val="纯文本 Char Char"/>
    <w:qFormat/>
    <w:uiPriority w:val="99"/>
    <w:rPr>
      <w:rFonts w:ascii="宋体" w:hAnsi="Courier New" w:eastAsia="宋体"/>
      <w:kern w:val="2"/>
      <w:sz w:val="21"/>
      <w:lang w:val="en-US" w:eastAsia="zh-CN"/>
    </w:rPr>
  </w:style>
  <w:style w:type="character" w:customStyle="1" w:styleId="63">
    <w:name w:val="Char Char4"/>
    <w:qFormat/>
    <w:uiPriority w:val="99"/>
    <w:rPr>
      <w:rFonts w:ascii="宋体" w:eastAsia="宋体"/>
      <w:kern w:val="2"/>
      <w:sz w:val="28"/>
    </w:rPr>
  </w:style>
  <w:style w:type="paragraph" w:customStyle="1" w:styleId="64">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65">
    <w:name w:val="WPS Plain"/>
    <w:qFormat/>
    <w:uiPriority w:val="99"/>
    <w:rPr>
      <w:rFonts w:ascii="Times New Roman" w:hAnsi="Times New Roman" w:eastAsia="宋体" w:cs="Times New Roman"/>
      <w:lang w:val="en-US" w:eastAsia="zh-CN" w:bidi="ar-SA"/>
    </w:rPr>
  </w:style>
  <w:style w:type="paragraph" w:customStyle="1" w:styleId="66">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9">
    <w:name w:val="列出段落1"/>
    <w:basedOn w:val="1"/>
    <w:qFormat/>
    <w:uiPriority w:val="0"/>
    <w:pPr>
      <w:widowControl w:val="0"/>
      <w:spacing w:line="240" w:lineRule="auto"/>
      <w:ind w:firstLine="420" w:firstLineChars="200"/>
      <w:textAlignment w:val="auto"/>
    </w:pPr>
    <w:rPr>
      <w:rFonts w:ascii="Calibri" w:hAnsi="Calibri"/>
      <w:color w:val="auto"/>
      <w:kern w:val="2"/>
      <w:szCs w:val="22"/>
    </w:rPr>
  </w:style>
  <w:style w:type="character" w:customStyle="1" w:styleId="70">
    <w:name w:val="Char Char2"/>
    <w:qFormat/>
    <w:uiPriority w:val="99"/>
    <w:rPr>
      <w:rFonts w:ascii="宋体" w:hAnsi="Courier New" w:eastAsia="宋体"/>
      <w:kern w:val="2"/>
      <w:sz w:val="21"/>
    </w:rPr>
  </w:style>
  <w:style w:type="character" w:customStyle="1" w:styleId="71">
    <w:name w:val="op-map-singlepoint-info-right1"/>
    <w:basedOn w:val="27"/>
    <w:qFormat/>
    <w:uiPriority w:val="99"/>
    <w:rPr>
      <w:rFonts w:cs="Times New Roman"/>
    </w:rPr>
  </w:style>
  <w:style w:type="character" w:customStyle="1" w:styleId="72">
    <w:name w:val="样式 首行缩进:  0 字符 Char"/>
    <w:link w:val="73"/>
    <w:qFormat/>
    <w:locked/>
    <w:uiPriority w:val="0"/>
    <w:rPr>
      <w:sz w:val="24"/>
    </w:rPr>
  </w:style>
  <w:style w:type="paragraph" w:customStyle="1" w:styleId="73">
    <w:name w:val="样式 首行缩进:  0 字符"/>
    <w:basedOn w:val="1"/>
    <w:link w:val="72"/>
    <w:qFormat/>
    <w:uiPriority w:val="0"/>
    <w:pPr>
      <w:widowControl w:val="0"/>
      <w:spacing w:line="360" w:lineRule="auto"/>
      <w:ind w:firstLine="200" w:firstLineChars="200"/>
      <w:textAlignment w:val="auto"/>
    </w:pPr>
    <w:rPr>
      <w:color w:val="auto"/>
      <w:kern w:val="2"/>
      <w:sz w:val="24"/>
      <w:szCs w:val="22"/>
    </w:rPr>
  </w:style>
  <w:style w:type="paragraph" w:styleId="74">
    <w:name w:val="List Paragraph"/>
    <w:basedOn w:val="1"/>
    <w:unhideWhenUsed/>
    <w:qFormat/>
    <w:uiPriority w:val="99"/>
    <w:pPr>
      <w:ind w:firstLine="420" w:firstLineChars="200"/>
    </w:pPr>
  </w:style>
  <w:style w:type="character" w:customStyle="1" w:styleId="75">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6">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7">
    <w:name w:val="正文文本 (2)"/>
    <w:basedOn w:val="1"/>
    <w:link w:val="78"/>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8">
    <w:name w:val="正文文本 (2)_"/>
    <w:link w:val="77"/>
    <w:qFormat/>
    <w:uiPriority w:val="0"/>
    <w:rPr>
      <w:rFonts w:ascii="MingLiU" w:hAnsi="MingLiU" w:eastAsia="MingLiU" w:cs="MingLiU"/>
      <w:spacing w:val="30"/>
      <w:kern w:val="0"/>
      <w:sz w:val="30"/>
      <w:szCs w:val="30"/>
      <w:u w:color="000000"/>
      <w:shd w:val="clear" w:color="auto" w:fill="FFFFFF"/>
    </w:rPr>
  </w:style>
  <w:style w:type="character" w:customStyle="1" w:styleId="79">
    <w:name w:val="标题 2 Char"/>
    <w:basedOn w:val="27"/>
    <w:link w:val="3"/>
    <w:semiHidden/>
    <w:qFormat/>
    <w:uiPriority w:val="0"/>
    <w:rPr>
      <w:rFonts w:asciiTheme="majorHAnsi" w:hAnsiTheme="majorHAnsi" w:eastAsiaTheme="majorEastAsia" w:cstheme="majorBidi"/>
      <w:b/>
      <w:bCs/>
      <w:color w:val="000000"/>
      <w:kern w:val="0"/>
      <w:sz w:val="32"/>
      <w:szCs w:val="32"/>
      <w:u w:color="000000"/>
    </w:rPr>
  </w:style>
  <w:style w:type="character" w:customStyle="1" w:styleId="80">
    <w:name w:val="正文文本 Char"/>
    <w:basedOn w:val="27"/>
    <w:link w:val="7"/>
    <w:semiHidden/>
    <w:qFormat/>
    <w:uiPriority w:val="99"/>
    <w:rPr>
      <w:color w:val="000000"/>
      <w:kern w:val="0"/>
      <w:szCs w:val="20"/>
      <w:u w:color="000000"/>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Table Text"/>
    <w:basedOn w:val="1"/>
    <w:semiHidden/>
    <w:qFormat/>
    <w:uiPriority w:val="0"/>
    <w:pPr>
      <w:kinsoku w:val="0"/>
      <w:autoSpaceDE w:val="0"/>
      <w:autoSpaceDN w:val="0"/>
      <w:adjustRightInd w:val="0"/>
      <w:snapToGrid w:val="0"/>
      <w:spacing w:line="240" w:lineRule="auto"/>
      <w:jc w:val="left"/>
    </w:pPr>
    <w:rPr>
      <w:rFonts w:ascii="仿宋" w:hAnsi="仿宋" w:eastAsia="仿宋" w:cs="仿宋"/>
      <w:snapToGrid w:val="0"/>
      <w:sz w:val="24"/>
      <w:szCs w:val="24"/>
      <w:lang w:eastAsia="en-US"/>
    </w:rPr>
  </w:style>
  <w:style w:type="character" w:customStyle="1" w:styleId="83">
    <w:name w:val="font31"/>
    <w:basedOn w:val="27"/>
    <w:qFormat/>
    <w:uiPriority w:val="0"/>
    <w:rPr>
      <w:rFonts w:hint="eastAsia" w:ascii="宋体" w:hAnsi="宋体" w:eastAsia="宋体" w:cs="宋体"/>
      <w:color w:val="000000"/>
      <w:sz w:val="24"/>
      <w:szCs w:val="24"/>
      <w:u w:val="single"/>
    </w:rPr>
  </w:style>
  <w:style w:type="character" w:customStyle="1" w:styleId="84">
    <w:name w:val="font01"/>
    <w:basedOn w:val="27"/>
    <w:qFormat/>
    <w:uiPriority w:val="0"/>
    <w:rPr>
      <w:rFonts w:hint="eastAsia" w:ascii="宋体" w:hAnsi="宋体" w:eastAsia="宋体" w:cs="宋体"/>
      <w:color w:val="000000"/>
      <w:sz w:val="24"/>
      <w:szCs w:val="24"/>
      <w:u w:val="none"/>
    </w:rPr>
  </w:style>
  <w:style w:type="table" w:customStyle="1" w:styleId="85">
    <w:name w:val="Table Normal"/>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86">
    <w:name w:val="Table Paragraph"/>
    <w:basedOn w:val="1"/>
    <w:qFormat/>
    <w:uiPriority w:val="1"/>
    <w:pPr>
      <w:widowControl w:val="0"/>
      <w:autoSpaceDE w:val="0"/>
      <w:autoSpaceDN w:val="0"/>
      <w:spacing w:line="240" w:lineRule="auto"/>
      <w:jc w:val="left"/>
      <w:textAlignment w:val="auto"/>
    </w:pPr>
    <w:rPr>
      <w:rFonts w:ascii="宋体" w:hAnsi="宋体" w:cs="宋体"/>
      <w:color w:val="auto"/>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88</Pages>
  <Words>46897</Words>
  <Characters>50496</Characters>
  <Lines>102</Lines>
  <Paragraphs>117</Paragraphs>
  <TotalTime>4</TotalTime>
  <ScaleCrop>false</ScaleCrop>
  <LinksUpToDate>false</LinksUpToDate>
  <CharactersWithSpaces>53761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2025-12-17T06:40:00Z</dcterms:created>
  <dc:creator>ZM</dc:creator>
  <cp:lastModifiedBy>Administrator</cp:lastModifiedBy>
  <cp:lastPrinted>2019-12-09T07:17:00Z</cp:lastPrinted>
  <dcterms:modified xsi:type="dcterms:W3CDTF">2026-01-04T04:24:09Z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eyJoZGlkIjoiMzkzMDdjZWM2YjY2YTQ0YTA2YTk1NzgyZTJmNzM5Y2MiLCJ1c2VySWQiOiI2NzYzNzE4NDcifQ==</vt:lpwstr>
  </property>
  <property fmtid="{D5CDD505-2E9C-101B-9397-08002B2CF9AE}" pid="4" name="ICV">
    <vt:lpwstr>3EC1F7B35906424793E009FA7B669011_13</vt:lpwstr>
  </property>
</Properties>
</file>