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560" w:lineRule="exact"/>
        <w:ind w:firstLine="241" w:firstLineChars="50"/>
        <w:rPr>
          <w:rFonts w:eastAsia="黑体"/>
          <w:b/>
          <w:color w:val="auto"/>
          <w:spacing w:val="40"/>
          <w:sz w:val="40"/>
          <w:szCs w:val="40"/>
        </w:rPr>
      </w:pPr>
      <w:bookmarkStart w:id="51" w:name="_GoBack"/>
      <w:bookmarkEnd w:id="51"/>
    </w:p>
    <w:p>
      <w:pPr>
        <w:widowControl w:val="0"/>
        <w:snapToGrid w:val="0"/>
        <w:spacing w:line="560" w:lineRule="exact"/>
        <w:ind w:firstLine="241" w:firstLineChars="50"/>
        <w:jc w:val="center"/>
        <w:rPr>
          <w:rFonts w:eastAsia="黑体"/>
          <w:b/>
          <w:color w:val="auto"/>
          <w:spacing w:val="40"/>
          <w:sz w:val="40"/>
          <w:szCs w:val="40"/>
        </w:rPr>
      </w:pPr>
    </w:p>
    <w:p>
      <w:pPr>
        <w:widowControl w:val="0"/>
        <w:snapToGrid w:val="0"/>
        <w:spacing w:line="560" w:lineRule="exact"/>
        <w:ind w:firstLine="241" w:firstLineChars="50"/>
        <w:jc w:val="center"/>
        <w:rPr>
          <w:rFonts w:eastAsia="黑体"/>
          <w:b/>
          <w:color w:val="auto"/>
          <w:spacing w:val="40"/>
          <w:sz w:val="40"/>
          <w:szCs w:val="40"/>
        </w:rPr>
      </w:pPr>
    </w:p>
    <w:p>
      <w:pPr>
        <w:widowControl w:val="0"/>
        <w:snapToGrid w:val="0"/>
        <w:spacing w:line="560" w:lineRule="exact"/>
        <w:ind w:firstLine="221" w:firstLineChars="50"/>
        <w:jc w:val="center"/>
        <w:rPr>
          <w:rFonts w:ascii="黑体" w:eastAsia="黑体"/>
          <w:b/>
          <w:color w:val="auto"/>
          <w:spacing w:val="40"/>
          <w:sz w:val="44"/>
          <w:szCs w:val="44"/>
        </w:rPr>
      </w:pPr>
      <w:r>
        <w:rPr>
          <w:rFonts w:hint="eastAsia" w:ascii="黑体" w:eastAsia="黑体"/>
          <w:b/>
          <w:color w:val="auto"/>
          <w:sz w:val="44"/>
          <w:szCs w:val="44"/>
        </w:rPr>
        <w:t>安阳市生态环境局2022年安阳市乡镇环境空气自动站升级改造项目</w:t>
      </w:r>
    </w:p>
    <w:p>
      <w:pPr>
        <w:widowControl w:val="0"/>
        <w:snapToGrid w:val="0"/>
        <w:spacing w:line="560" w:lineRule="exact"/>
        <w:ind w:firstLine="261" w:firstLineChars="50"/>
        <w:jc w:val="center"/>
        <w:rPr>
          <w:rFonts w:ascii="黑体" w:eastAsia="黑体"/>
          <w:b/>
          <w:color w:val="auto"/>
          <w:spacing w:val="40"/>
          <w:sz w:val="44"/>
          <w:szCs w:val="44"/>
        </w:rPr>
      </w:pPr>
    </w:p>
    <w:p>
      <w:pPr>
        <w:widowControl w:val="0"/>
        <w:snapToGrid w:val="0"/>
        <w:spacing w:beforeLines="100" w:line="560" w:lineRule="exact"/>
        <w:jc w:val="center"/>
        <w:rPr>
          <w:rFonts w:eastAsia="黑体"/>
          <w:b/>
          <w:color w:val="auto"/>
          <w:sz w:val="44"/>
        </w:rPr>
      </w:pPr>
    </w:p>
    <w:p>
      <w:pPr>
        <w:widowControl w:val="0"/>
        <w:snapToGrid w:val="0"/>
        <w:spacing w:beforeLines="100" w:line="240" w:lineRule="auto"/>
        <w:jc w:val="center"/>
        <w:rPr>
          <w:rFonts w:eastAsia="黑体"/>
          <w:b/>
          <w:color w:val="auto"/>
          <w:sz w:val="44"/>
        </w:rPr>
      </w:pPr>
    </w:p>
    <w:p>
      <w:pPr>
        <w:widowControl w:val="0"/>
        <w:snapToGrid w:val="0"/>
        <w:spacing w:beforeLines="100" w:line="240" w:lineRule="auto"/>
        <w:jc w:val="center"/>
        <w:rPr>
          <w:rFonts w:eastAsia="黑体"/>
          <w:b/>
          <w:color w:val="auto"/>
          <w:sz w:val="44"/>
        </w:rPr>
      </w:pPr>
    </w:p>
    <w:p>
      <w:pPr>
        <w:widowControl w:val="0"/>
        <w:snapToGrid w:val="0"/>
        <w:spacing w:beforeLines="100" w:line="240" w:lineRule="auto"/>
        <w:jc w:val="center"/>
        <w:rPr>
          <w:rFonts w:ascii="华文新魏" w:hAnsi="微软雅黑" w:eastAsia="华文新魏"/>
          <w:b/>
          <w:color w:val="auto"/>
          <w:sz w:val="116"/>
          <w:szCs w:val="116"/>
        </w:rPr>
      </w:pPr>
      <w:r>
        <w:rPr>
          <w:rFonts w:hint="eastAsia" w:ascii="华文新魏" w:hAnsi="微软雅黑" w:eastAsia="华文新魏"/>
          <w:b/>
          <w:color w:val="auto"/>
          <w:sz w:val="116"/>
          <w:szCs w:val="116"/>
        </w:rPr>
        <w:t>招</w:t>
      </w:r>
      <w:r>
        <w:rPr>
          <w:rFonts w:ascii="华文新魏" w:hAnsi="微软雅黑" w:eastAsia="华文新魏"/>
          <w:b/>
          <w:color w:val="auto"/>
          <w:sz w:val="116"/>
          <w:szCs w:val="116"/>
        </w:rPr>
        <w:t xml:space="preserve"> </w:t>
      </w:r>
      <w:r>
        <w:rPr>
          <w:rFonts w:hint="eastAsia" w:ascii="华文新魏" w:hAnsi="微软雅黑" w:eastAsia="华文新魏"/>
          <w:b/>
          <w:color w:val="auto"/>
          <w:sz w:val="116"/>
          <w:szCs w:val="116"/>
        </w:rPr>
        <w:t>标</w:t>
      </w:r>
      <w:r>
        <w:rPr>
          <w:rFonts w:ascii="华文新魏" w:hAnsi="微软雅黑" w:eastAsia="华文新魏"/>
          <w:b/>
          <w:color w:val="auto"/>
          <w:sz w:val="116"/>
          <w:szCs w:val="116"/>
        </w:rPr>
        <w:t xml:space="preserve"> </w:t>
      </w:r>
      <w:r>
        <w:rPr>
          <w:rFonts w:hint="eastAsia" w:ascii="华文新魏" w:hAnsi="微软雅黑" w:eastAsia="华文新魏"/>
          <w:b/>
          <w:color w:val="auto"/>
          <w:sz w:val="116"/>
          <w:szCs w:val="116"/>
        </w:rPr>
        <w:t>文</w:t>
      </w:r>
      <w:r>
        <w:rPr>
          <w:rFonts w:ascii="华文新魏" w:hAnsi="微软雅黑" w:eastAsia="华文新魏"/>
          <w:b/>
          <w:color w:val="auto"/>
          <w:sz w:val="116"/>
          <w:szCs w:val="116"/>
        </w:rPr>
        <w:t xml:space="preserve"> </w:t>
      </w:r>
      <w:r>
        <w:rPr>
          <w:rFonts w:hint="eastAsia" w:ascii="华文新魏" w:hAnsi="微软雅黑" w:eastAsia="华文新魏"/>
          <w:b/>
          <w:color w:val="auto"/>
          <w:sz w:val="116"/>
          <w:szCs w:val="116"/>
        </w:rPr>
        <w:t>件</w:t>
      </w:r>
    </w:p>
    <w:p>
      <w:pPr>
        <w:widowControl w:val="0"/>
        <w:snapToGrid w:val="0"/>
        <w:spacing w:beforeLines="100" w:line="560" w:lineRule="exact"/>
        <w:jc w:val="center"/>
        <w:rPr>
          <w:rFonts w:ascii="宋体" w:hAnsi="宋体"/>
          <w:color w:val="auto"/>
          <w:sz w:val="32"/>
          <w:szCs w:val="32"/>
        </w:rPr>
      </w:pPr>
      <w:r>
        <w:rPr>
          <w:rFonts w:hint="eastAsia" w:ascii="宋体" w:hAnsi="宋体"/>
          <w:color w:val="auto"/>
          <w:sz w:val="32"/>
          <w:szCs w:val="32"/>
        </w:rPr>
        <w:t>项目编号：安财招标采购-2022-36</w:t>
      </w:r>
    </w:p>
    <w:p>
      <w:pPr>
        <w:widowControl w:val="0"/>
        <w:snapToGrid w:val="0"/>
        <w:spacing w:beforeLines="100" w:line="560" w:lineRule="exact"/>
        <w:jc w:val="center"/>
        <w:rPr>
          <w:rFonts w:eastAsia="黑体"/>
          <w:b/>
          <w:color w:val="auto"/>
          <w:sz w:val="44"/>
        </w:rPr>
      </w:pPr>
    </w:p>
    <w:p>
      <w:pPr>
        <w:widowControl w:val="0"/>
        <w:snapToGrid w:val="0"/>
        <w:spacing w:beforeLines="100" w:line="560" w:lineRule="exact"/>
        <w:jc w:val="center"/>
        <w:rPr>
          <w:rFonts w:eastAsia="黑体"/>
          <w:b/>
          <w:color w:val="auto"/>
          <w:sz w:val="44"/>
        </w:rPr>
      </w:pPr>
    </w:p>
    <w:p>
      <w:pPr>
        <w:widowControl w:val="0"/>
        <w:snapToGrid w:val="0"/>
        <w:spacing w:beforeLines="100" w:line="560" w:lineRule="exact"/>
        <w:jc w:val="center"/>
        <w:rPr>
          <w:rFonts w:eastAsia="黑体"/>
          <w:b/>
          <w:color w:val="auto"/>
          <w:sz w:val="44"/>
        </w:rPr>
      </w:pPr>
    </w:p>
    <w:p>
      <w:pPr>
        <w:widowControl w:val="0"/>
        <w:snapToGrid w:val="0"/>
        <w:spacing w:beforeLines="100" w:line="560" w:lineRule="exact"/>
        <w:rPr>
          <w:rFonts w:eastAsia="黑体"/>
          <w:b/>
          <w:color w:val="auto"/>
          <w:sz w:val="44"/>
        </w:rPr>
      </w:pPr>
    </w:p>
    <w:p>
      <w:pPr>
        <w:widowControl w:val="0"/>
        <w:snapToGrid w:val="0"/>
        <w:spacing w:line="660" w:lineRule="exact"/>
        <w:ind w:firstLine="540" w:firstLineChars="168"/>
        <w:rPr>
          <w:rFonts w:ascii="黑体" w:hAnsi="黑体" w:eastAsia="黑体"/>
          <w:b/>
          <w:color w:val="auto"/>
          <w:sz w:val="32"/>
          <w:szCs w:val="32"/>
        </w:rPr>
      </w:pPr>
      <w:r>
        <w:rPr>
          <w:rFonts w:hint="eastAsia" w:ascii="黑体" w:hAnsi="黑体" w:eastAsia="黑体"/>
          <w:b/>
          <w:color w:val="auto"/>
          <w:sz w:val="32"/>
          <w:szCs w:val="32"/>
        </w:rPr>
        <w:t>采购人：安阳市生态环境局</w:t>
      </w:r>
    </w:p>
    <w:p>
      <w:pPr>
        <w:widowControl w:val="0"/>
        <w:snapToGrid w:val="0"/>
        <w:spacing w:line="660" w:lineRule="exact"/>
        <w:ind w:firstLine="540" w:firstLineChars="168"/>
        <w:rPr>
          <w:rFonts w:ascii="黑体" w:hAnsi="黑体" w:eastAsia="黑体"/>
          <w:b/>
          <w:color w:val="auto"/>
          <w:sz w:val="32"/>
          <w:szCs w:val="32"/>
        </w:rPr>
      </w:pPr>
      <w:r>
        <w:rPr>
          <w:rFonts w:hint="eastAsia" w:ascii="黑体" w:hAnsi="黑体" w:eastAsia="黑体"/>
          <w:b/>
          <w:color w:val="auto"/>
          <w:sz w:val="32"/>
          <w:szCs w:val="32"/>
        </w:rPr>
        <w:t>代理机构：安阳市方正招标采购服务有限责任公司</w:t>
      </w:r>
    </w:p>
    <w:p>
      <w:pPr>
        <w:widowControl w:val="0"/>
        <w:snapToGrid w:val="0"/>
        <w:spacing w:line="660" w:lineRule="exact"/>
        <w:rPr>
          <w:rFonts w:ascii="黑体" w:hAnsi="黑体" w:eastAsia="黑体"/>
          <w:b/>
          <w:color w:val="auto"/>
          <w:sz w:val="36"/>
          <w:szCs w:val="36"/>
        </w:rPr>
        <w:sectPr>
          <w:headerReference r:id="rId7" w:type="first"/>
          <w:footerReference r:id="rId10" w:type="first"/>
          <w:headerReference r:id="rId5" w:type="default"/>
          <w:footerReference r:id="rId8" w:type="default"/>
          <w:headerReference r:id="rId6" w:type="even"/>
          <w:footerReference r:id="rId9" w:type="even"/>
          <w:pgSz w:w="11905" w:h="16837"/>
          <w:pgMar w:top="1418" w:right="1106" w:bottom="1418" w:left="1418" w:header="567" w:footer="567" w:gutter="0"/>
          <w:pgNumType w:fmt="numberInDash" w:start="0"/>
          <w:cols w:space="720" w:num="1"/>
          <w:titlePg/>
        </w:sectPr>
      </w:pPr>
    </w:p>
    <w:p>
      <w:pPr>
        <w:widowControl w:val="0"/>
        <w:snapToGrid w:val="0"/>
        <w:spacing w:line="660" w:lineRule="exact"/>
        <w:rPr>
          <w:rFonts w:ascii="黑体" w:hAnsi="黑体" w:eastAsia="黑体"/>
          <w:b/>
          <w:color w:val="auto"/>
          <w:sz w:val="36"/>
          <w:szCs w:val="36"/>
        </w:rPr>
      </w:pPr>
    </w:p>
    <w:p>
      <w:pPr>
        <w:pStyle w:val="55"/>
        <w:jc w:val="center"/>
        <w:rPr>
          <w:color w:val="auto"/>
        </w:rPr>
      </w:pPr>
      <w:r>
        <w:rPr>
          <w:rFonts w:hint="eastAsia" w:ascii="黑体" w:hAnsi="黑体" w:eastAsia="黑体"/>
          <w:color w:val="auto"/>
          <w:sz w:val="36"/>
          <w:szCs w:val="36"/>
          <w:lang w:val="zh-CN"/>
        </w:rPr>
        <w:t>目</w:t>
      </w:r>
      <w:r>
        <w:rPr>
          <w:rFonts w:ascii="黑体" w:hAnsi="黑体" w:eastAsia="黑体"/>
          <w:color w:val="auto"/>
          <w:sz w:val="36"/>
          <w:szCs w:val="36"/>
          <w:lang w:val="zh-CN"/>
        </w:rPr>
        <w:t xml:space="preserve"> </w:t>
      </w:r>
      <w:r>
        <w:rPr>
          <w:rFonts w:hint="eastAsia" w:ascii="黑体" w:hAnsi="黑体" w:eastAsia="黑体"/>
          <w:color w:val="auto"/>
          <w:sz w:val="36"/>
          <w:szCs w:val="36"/>
          <w:lang w:val="zh-CN"/>
        </w:rPr>
        <w:t>录</w:t>
      </w:r>
      <w:r>
        <w:rPr>
          <w:color w:val="auto"/>
        </w:rPr>
        <w:fldChar w:fldCharType="begin"/>
      </w:r>
      <w:r>
        <w:rPr>
          <w:color w:val="auto"/>
        </w:rPr>
        <w:instrText xml:space="preserve"> TOC \o "1-3" \h \z \u </w:instrText>
      </w:r>
      <w:r>
        <w:rPr>
          <w:color w:val="auto"/>
        </w:rPr>
        <w:fldChar w:fldCharType="separate"/>
      </w:r>
    </w:p>
    <w:p>
      <w:pPr>
        <w:pStyle w:val="13"/>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"_Toc114740080" </w:instrText>
      </w:r>
      <w:r>
        <w:fldChar w:fldCharType="separate"/>
      </w:r>
      <w:r>
        <w:rPr>
          <w:rStyle w:val="24"/>
          <w:rFonts w:hint="eastAsia" w:eastAsia="黑体"/>
          <w:b/>
          <w:color w:val="auto"/>
        </w:rPr>
        <w:t>第一章</w:t>
      </w:r>
      <w:r>
        <w:rPr>
          <w:rStyle w:val="24"/>
          <w:rFonts w:eastAsia="黑体"/>
          <w:b/>
          <w:color w:val="auto"/>
        </w:rPr>
        <w:t xml:space="preserve">  </w:t>
      </w:r>
      <w:r>
        <w:rPr>
          <w:rStyle w:val="24"/>
          <w:rFonts w:hint="eastAsia" w:eastAsia="黑体"/>
          <w:b/>
          <w:color w:val="auto"/>
        </w:rPr>
        <w:t>招标公告</w:t>
      </w:r>
      <w:r>
        <w:rPr>
          <w:color w:val="auto"/>
        </w:rPr>
        <w:tab/>
      </w:r>
      <w:r>
        <w:rPr>
          <w:color w:val="auto"/>
        </w:rPr>
        <w:fldChar w:fldCharType="begin"/>
      </w:r>
      <w:r>
        <w:rPr>
          <w:color w:val="auto"/>
        </w:rPr>
        <w:instrText xml:space="preserve"> PAGEREF _Toc114740080 \h </w:instrText>
      </w:r>
      <w:r>
        <w:rPr>
          <w:color w:val="auto"/>
        </w:rPr>
        <w:fldChar w:fldCharType="separate"/>
      </w:r>
      <w:r>
        <w:rPr>
          <w:color w:val="auto"/>
        </w:rPr>
        <w:t>- 1 -</w:t>
      </w:r>
      <w:r>
        <w:rPr>
          <w:color w:val="auto"/>
        </w:rPr>
        <w:fldChar w:fldCharType="end"/>
      </w:r>
      <w:r>
        <w:rPr>
          <w:color w:val="auto"/>
        </w:rPr>
        <w:fldChar w:fldCharType="end"/>
      </w:r>
    </w:p>
    <w:p>
      <w:pPr>
        <w:pStyle w:val="13"/>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"_Toc114740081" </w:instrText>
      </w:r>
      <w:r>
        <w:fldChar w:fldCharType="separate"/>
      </w:r>
      <w:r>
        <w:rPr>
          <w:rStyle w:val="24"/>
          <w:rFonts w:hint="eastAsia" w:eastAsia="黑体"/>
          <w:b/>
          <w:color w:val="auto"/>
        </w:rPr>
        <w:t>第二章</w:t>
      </w:r>
      <w:r>
        <w:rPr>
          <w:rStyle w:val="24"/>
          <w:rFonts w:eastAsia="黑体"/>
          <w:b/>
          <w:color w:val="auto"/>
        </w:rPr>
        <w:t xml:space="preserve">  </w:t>
      </w:r>
      <w:r>
        <w:rPr>
          <w:rStyle w:val="24"/>
          <w:rFonts w:hint="eastAsia" w:eastAsia="黑体"/>
          <w:b/>
          <w:color w:val="auto"/>
        </w:rPr>
        <w:t>招标项目要求及采购需求</w:t>
      </w:r>
      <w:r>
        <w:rPr>
          <w:color w:val="auto"/>
        </w:rPr>
        <w:tab/>
      </w:r>
      <w:r>
        <w:rPr>
          <w:color w:val="auto"/>
        </w:rPr>
        <w:fldChar w:fldCharType="begin"/>
      </w:r>
      <w:r>
        <w:rPr>
          <w:color w:val="auto"/>
        </w:rPr>
        <w:instrText xml:space="preserve"> PAGEREF _Toc114740081 \h </w:instrText>
      </w:r>
      <w:r>
        <w:rPr>
          <w:color w:val="auto"/>
        </w:rPr>
        <w:fldChar w:fldCharType="separate"/>
      </w:r>
      <w:r>
        <w:rPr>
          <w:color w:val="auto"/>
        </w:rPr>
        <w:t>- 6 -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"_Toc114740082" </w:instrText>
      </w:r>
      <w:r>
        <w:fldChar w:fldCharType="separate"/>
      </w:r>
      <w:r>
        <w:rPr>
          <w:rStyle w:val="24"/>
          <w:rFonts w:ascii="黑体" w:hAnsi="黑体" w:eastAsia="黑体"/>
          <w:b/>
          <w:color w:val="auto"/>
        </w:rPr>
        <w:t xml:space="preserve">1. </w:t>
      </w:r>
      <w:r>
        <w:rPr>
          <w:rStyle w:val="24"/>
          <w:rFonts w:hint="eastAsia" w:ascii="黑体" w:hAnsi="黑体" w:eastAsia="黑体"/>
          <w:b/>
          <w:color w:val="auto"/>
        </w:rPr>
        <w:t>招标项目、标段（包）划分、投标报价</w:t>
      </w:r>
      <w:r>
        <w:rPr>
          <w:color w:val="auto"/>
        </w:rPr>
        <w:tab/>
      </w:r>
      <w:r>
        <w:rPr>
          <w:color w:val="auto"/>
        </w:rPr>
        <w:fldChar w:fldCharType="begin"/>
      </w:r>
      <w:r>
        <w:rPr>
          <w:color w:val="auto"/>
        </w:rPr>
        <w:instrText xml:space="preserve"> PAGEREF _Toc114740082 \h </w:instrText>
      </w:r>
      <w:r>
        <w:rPr>
          <w:color w:val="auto"/>
        </w:rPr>
        <w:fldChar w:fldCharType="separate"/>
      </w:r>
      <w:r>
        <w:rPr>
          <w:color w:val="auto"/>
        </w:rPr>
        <w:t>- 6 -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"_Toc114740083" </w:instrText>
      </w:r>
      <w:r>
        <w:fldChar w:fldCharType="separate"/>
      </w:r>
      <w:r>
        <w:rPr>
          <w:rStyle w:val="24"/>
          <w:rFonts w:ascii="黑体" w:hAnsi="黑体" w:eastAsia="黑体"/>
          <w:b/>
          <w:color w:val="auto"/>
        </w:rPr>
        <w:t xml:space="preserve">2. </w:t>
      </w:r>
      <w:r>
        <w:rPr>
          <w:rStyle w:val="24"/>
          <w:rFonts w:hint="eastAsia" w:ascii="黑体" w:hAnsi="黑体" w:eastAsia="黑体"/>
          <w:b/>
          <w:color w:val="auto"/>
        </w:rPr>
        <w:t>标段（包）内容（范围）及具体采购需求</w:t>
      </w:r>
      <w:r>
        <w:rPr>
          <w:color w:val="auto"/>
        </w:rPr>
        <w:tab/>
      </w:r>
      <w:r>
        <w:rPr>
          <w:color w:val="auto"/>
        </w:rPr>
        <w:fldChar w:fldCharType="begin"/>
      </w:r>
      <w:r>
        <w:rPr>
          <w:color w:val="auto"/>
        </w:rPr>
        <w:instrText xml:space="preserve"> PAGEREF _Toc114740083 \h </w:instrText>
      </w:r>
      <w:r>
        <w:rPr>
          <w:color w:val="auto"/>
        </w:rPr>
        <w:fldChar w:fldCharType="separate"/>
      </w:r>
      <w:r>
        <w:rPr>
          <w:color w:val="auto"/>
        </w:rPr>
        <w:t>- 7 -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"_Toc114740084" </w:instrText>
      </w:r>
      <w:r>
        <w:fldChar w:fldCharType="separate"/>
      </w:r>
      <w:r>
        <w:rPr>
          <w:rStyle w:val="24"/>
          <w:rFonts w:ascii="黑体" w:hAnsi="黑体" w:eastAsia="黑体"/>
          <w:b/>
          <w:color w:val="auto"/>
        </w:rPr>
        <w:t xml:space="preserve">3. </w:t>
      </w:r>
      <w:r>
        <w:rPr>
          <w:rStyle w:val="24"/>
          <w:rFonts w:hint="eastAsia" w:ascii="黑体" w:hAnsi="黑体" w:eastAsia="黑体"/>
          <w:b/>
          <w:color w:val="auto"/>
        </w:rPr>
        <w:t>项目其他要求</w:t>
      </w:r>
      <w:r>
        <w:rPr>
          <w:color w:val="auto"/>
        </w:rPr>
        <w:tab/>
      </w:r>
      <w:r>
        <w:rPr>
          <w:color w:val="auto"/>
        </w:rPr>
        <w:fldChar w:fldCharType="begin"/>
      </w:r>
      <w:r>
        <w:rPr>
          <w:color w:val="auto"/>
        </w:rPr>
        <w:instrText xml:space="preserve"> PAGEREF _Toc114740084 \h </w:instrText>
      </w:r>
      <w:r>
        <w:rPr>
          <w:color w:val="auto"/>
        </w:rPr>
        <w:fldChar w:fldCharType="separate"/>
      </w:r>
      <w:r>
        <w:rPr>
          <w:color w:val="auto"/>
        </w:rPr>
        <w:t>- 22 -</w:t>
      </w:r>
      <w:r>
        <w:rPr>
          <w:color w:val="auto"/>
        </w:rPr>
        <w:fldChar w:fldCharType="end"/>
      </w:r>
      <w:r>
        <w:rPr>
          <w:color w:val="auto"/>
        </w:rPr>
        <w:fldChar w:fldCharType="end"/>
      </w:r>
    </w:p>
    <w:p>
      <w:pPr>
        <w:pStyle w:val="13"/>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"_Toc114740085" </w:instrText>
      </w:r>
      <w:r>
        <w:fldChar w:fldCharType="separate"/>
      </w:r>
      <w:r>
        <w:rPr>
          <w:rStyle w:val="24"/>
          <w:rFonts w:hint="eastAsia" w:eastAsia="黑体"/>
          <w:b/>
          <w:color w:val="auto"/>
        </w:rPr>
        <w:t>第三章</w:t>
      </w:r>
      <w:r>
        <w:rPr>
          <w:rStyle w:val="24"/>
          <w:rFonts w:eastAsia="黑体"/>
          <w:b/>
          <w:color w:val="auto"/>
        </w:rPr>
        <w:t xml:space="preserve">  </w:t>
      </w:r>
      <w:r>
        <w:rPr>
          <w:rStyle w:val="24"/>
          <w:rFonts w:hint="eastAsia" w:eastAsia="黑体"/>
          <w:b/>
          <w:color w:val="auto"/>
        </w:rPr>
        <w:t>投标人须知</w:t>
      </w:r>
      <w:r>
        <w:rPr>
          <w:color w:val="auto"/>
        </w:rPr>
        <w:tab/>
      </w:r>
      <w:r>
        <w:rPr>
          <w:color w:val="auto"/>
        </w:rPr>
        <w:fldChar w:fldCharType="begin"/>
      </w:r>
      <w:r>
        <w:rPr>
          <w:color w:val="auto"/>
        </w:rPr>
        <w:instrText xml:space="preserve"> PAGEREF _Toc114740085 \h </w:instrText>
      </w:r>
      <w:r>
        <w:rPr>
          <w:color w:val="auto"/>
        </w:rPr>
        <w:fldChar w:fldCharType="separate"/>
      </w:r>
      <w:r>
        <w:rPr>
          <w:color w:val="auto"/>
        </w:rPr>
        <w:t>- 23 -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"_Toc114740086" </w:instrText>
      </w:r>
      <w:r>
        <w:fldChar w:fldCharType="separate"/>
      </w:r>
      <w:r>
        <w:rPr>
          <w:rStyle w:val="24"/>
          <w:rFonts w:hint="eastAsia" w:eastAsia="黑体"/>
          <w:b/>
          <w:color w:val="auto"/>
        </w:rPr>
        <w:t>投标人须知前附表</w:t>
      </w:r>
      <w:r>
        <w:rPr>
          <w:color w:val="auto"/>
        </w:rPr>
        <w:tab/>
      </w:r>
      <w:r>
        <w:rPr>
          <w:color w:val="auto"/>
        </w:rPr>
        <w:fldChar w:fldCharType="begin"/>
      </w:r>
      <w:r>
        <w:rPr>
          <w:color w:val="auto"/>
        </w:rPr>
        <w:instrText xml:space="preserve"> PAGEREF _Toc114740086 \h </w:instrText>
      </w:r>
      <w:r>
        <w:rPr>
          <w:color w:val="auto"/>
        </w:rPr>
        <w:fldChar w:fldCharType="separate"/>
      </w:r>
      <w:r>
        <w:rPr>
          <w:color w:val="auto"/>
        </w:rPr>
        <w:t>- 23 -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"_Toc114740087" </w:instrText>
      </w:r>
      <w:r>
        <w:fldChar w:fldCharType="separate"/>
      </w:r>
      <w:r>
        <w:rPr>
          <w:rStyle w:val="24"/>
          <w:rFonts w:ascii="黑体" w:hAnsi="黑体" w:eastAsia="黑体" w:cs="楷体_GB2312"/>
          <w:b/>
          <w:bCs/>
          <w:color w:val="auto"/>
          <w:lang w:val="zh-CN"/>
        </w:rPr>
        <w:t xml:space="preserve">1 </w:t>
      </w:r>
      <w:r>
        <w:rPr>
          <w:rStyle w:val="24"/>
          <w:rFonts w:hint="eastAsia" w:ascii="黑体" w:hAnsi="黑体" w:eastAsia="黑体" w:cs="楷体_GB2312"/>
          <w:b/>
          <w:bCs/>
          <w:color w:val="auto"/>
          <w:lang w:val="zh-CN"/>
        </w:rPr>
        <w:t>总则</w:t>
      </w:r>
      <w:r>
        <w:rPr>
          <w:color w:val="auto"/>
        </w:rPr>
        <w:tab/>
      </w:r>
      <w:r>
        <w:rPr>
          <w:color w:val="auto"/>
        </w:rPr>
        <w:fldChar w:fldCharType="begin"/>
      </w:r>
      <w:r>
        <w:rPr>
          <w:color w:val="auto"/>
        </w:rPr>
        <w:instrText xml:space="preserve"> PAGEREF _Toc114740087 \h </w:instrText>
      </w:r>
      <w:r>
        <w:rPr>
          <w:color w:val="auto"/>
        </w:rPr>
        <w:fldChar w:fldCharType="separate"/>
      </w:r>
      <w:r>
        <w:rPr>
          <w:color w:val="auto"/>
        </w:rPr>
        <w:t>- 26 -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"_Toc114740088" </w:instrText>
      </w:r>
      <w:r>
        <w:fldChar w:fldCharType="separate"/>
      </w:r>
      <w:r>
        <w:rPr>
          <w:rStyle w:val="24"/>
          <w:rFonts w:ascii="黑体" w:hAnsi="黑体" w:eastAsia="黑体" w:cs="楷体_GB2312"/>
          <w:b/>
          <w:bCs/>
          <w:color w:val="auto"/>
          <w:lang w:val="zh-CN"/>
        </w:rPr>
        <w:t xml:space="preserve">2 </w:t>
      </w:r>
      <w:r>
        <w:rPr>
          <w:rStyle w:val="24"/>
          <w:rFonts w:hint="eastAsia" w:ascii="黑体" w:hAnsi="黑体" w:eastAsia="黑体" w:cs="楷体_GB2312"/>
          <w:b/>
          <w:bCs/>
          <w:color w:val="auto"/>
          <w:lang w:val="zh-CN"/>
        </w:rPr>
        <w:t>招标文件</w:t>
      </w:r>
      <w:r>
        <w:rPr>
          <w:color w:val="auto"/>
        </w:rPr>
        <w:tab/>
      </w:r>
      <w:r>
        <w:rPr>
          <w:color w:val="auto"/>
        </w:rPr>
        <w:fldChar w:fldCharType="begin"/>
      </w:r>
      <w:r>
        <w:rPr>
          <w:color w:val="auto"/>
        </w:rPr>
        <w:instrText xml:space="preserve"> PAGEREF _Toc114740088 \h </w:instrText>
      </w:r>
      <w:r>
        <w:rPr>
          <w:color w:val="auto"/>
        </w:rPr>
        <w:fldChar w:fldCharType="separate"/>
      </w:r>
      <w:r>
        <w:rPr>
          <w:color w:val="auto"/>
        </w:rPr>
        <w:t>- 29 -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"_Toc114740089" </w:instrText>
      </w:r>
      <w:r>
        <w:fldChar w:fldCharType="separate"/>
      </w:r>
      <w:r>
        <w:rPr>
          <w:rStyle w:val="24"/>
          <w:rFonts w:ascii="黑体" w:hAnsi="黑体" w:eastAsia="黑体" w:cs="楷体_GB2312"/>
          <w:b/>
          <w:bCs/>
          <w:color w:val="auto"/>
          <w:lang w:val="zh-CN"/>
        </w:rPr>
        <w:t xml:space="preserve">3 </w:t>
      </w:r>
      <w:r>
        <w:rPr>
          <w:rStyle w:val="24"/>
          <w:rFonts w:hint="eastAsia" w:ascii="黑体" w:hAnsi="黑体" w:eastAsia="黑体" w:cs="楷体_GB2312"/>
          <w:b/>
          <w:bCs/>
          <w:color w:val="auto"/>
          <w:lang w:val="zh-CN"/>
        </w:rPr>
        <w:t>投标文件</w:t>
      </w:r>
      <w:r>
        <w:rPr>
          <w:color w:val="auto"/>
        </w:rPr>
        <w:tab/>
      </w:r>
      <w:r>
        <w:rPr>
          <w:color w:val="auto"/>
        </w:rPr>
        <w:fldChar w:fldCharType="begin"/>
      </w:r>
      <w:r>
        <w:rPr>
          <w:color w:val="auto"/>
        </w:rPr>
        <w:instrText xml:space="preserve"> PAGEREF _Toc114740089 \h </w:instrText>
      </w:r>
      <w:r>
        <w:rPr>
          <w:color w:val="auto"/>
        </w:rPr>
        <w:fldChar w:fldCharType="separate"/>
      </w:r>
      <w:r>
        <w:rPr>
          <w:color w:val="auto"/>
        </w:rPr>
        <w:t>- 30 -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"_Toc114740090" </w:instrText>
      </w:r>
      <w:r>
        <w:fldChar w:fldCharType="separate"/>
      </w:r>
      <w:r>
        <w:rPr>
          <w:rStyle w:val="24"/>
          <w:rFonts w:ascii="黑体" w:hAnsi="黑体" w:eastAsia="黑体" w:cs="楷体_GB2312"/>
          <w:b/>
          <w:bCs/>
          <w:color w:val="auto"/>
          <w:lang w:val="zh-CN"/>
        </w:rPr>
        <w:t xml:space="preserve">4 </w:t>
      </w:r>
      <w:r>
        <w:rPr>
          <w:rStyle w:val="24"/>
          <w:rFonts w:hint="eastAsia" w:ascii="黑体" w:hAnsi="黑体" w:eastAsia="黑体" w:cs="楷体_GB2312"/>
          <w:b/>
          <w:bCs/>
          <w:color w:val="auto"/>
          <w:lang w:val="zh-CN"/>
        </w:rPr>
        <w:t>投标</w:t>
      </w:r>
      <w:r>
        <w:rPr>
          <w:color w:val="auto"/>
        </w:rPr>
        <w:tab/>
      </w:r>
      <w:r>
        <w:rPr>
          <w:color w:val="auto"/>
        </w:rPr>
        <w:fldChar w:fldCharType="begin"/>
      </w:r>
      <w:r>
        <w:rPr>
          <w:color w:val="auto"/>
        </w:rPr>
        <w:instrText xml:space="preserve"> PAGEREF _Toc114740090 \h </w:instrText>
      </w:r>
      <w:r>
        <w:rPr>
          <w:color w:val="auto"/>
        </w:rPr>
        <w:fldChar w:fldCharType="separate"/>
      </w:r>
      <w:r>
        <w:rPr>
          <w:color w:val="auto"/>
        </w:rPr>
        <w:t>- 33 -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"_Toc114740091" </w:instrText>
      </w:r>
      <w:r>
        <w:fldChar w:fldCharType="separate"/>
      </w:r>
      <w:r>
        <w:rPr>
          <w:rStyle w:val="24"/>
          <w:rFonts w:ascii="黑体" w:hAnsi="黑体" w:eastAsia="黑体" w:cs="楷体_GB2312"/>
          <w:b/>
          <w:bCs/>
          <w:color w:val="auto"/>
          <w:lang w:val="zh-CN"/>
        </w:rPr>
        <w:t xml:space="preserve">5 </w:t>
      </w:r>
      <w:r>
        <w:rPr>
          <w:rStyle w:val="24"/>
          <w:rFonts w:hint="eastAsia" w:ascii="黑体" w:hAnsi="黑体" w:eastAsia="黑体" w:cs="楷体_GB2312"/>
          <w:b/>
          <w:bCs/>
          <w:color w:val="auto"/>
          <w:lang w:val="zh-CN"/>
        </w:rPr>
        <w:t>开标</w:t>
      </w:r>
      <w:r>
        <w:rPr>
          <w:color w:val="auto"/>
        </w:rPr>
        <w:tab/>
      </w:r>
      <w:r>
        <w:rPr>
          <w:color w:val="auto"/>
        </w:rPr>
        <w:fldChar w:fldCharType="begin"/>
      </w:r>
      <w:r>
        <w:rPr>
          <w:color w:val="auto"/>
        </w:rPr>
        <w:instrText xml:space="preserve"> PAGEREF _Toc114740091 \h </w:instrText>
      </w:r>
      <w:r>
        <w:rPr>
          <w:color w:val="auto"/>
        </w:rPr>
        <w:fldChar w:fldCharType="separate"/>
      </w:r>
      <w:r>
        <w:rPr>
          <w:color w:val="auto"/>
        </w:rPr>
        <w:t>- 34 -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"_Toc114740092" </w:instrText>
      </w:r>
      <w:r>
        <w:fldChar w:fldCharType="separate"/>
      </w:r>
      <w:r>
        <w:rPr>
          <w:rStyle w:val="24"/>
          <w:rFonts w:ascii="黑体" w:hAnsi="黑体" w:eastAsia="黑体" w:cs="楷体_GB2312"/>
          <w:b/>
          <w:bCs/>
          <w:color w:val="auto"/>
          <w:lang w:val="zh-CN"/>
        </w:rPr>
        <w:t xml:space="preserve">6 </w:t>
      </w:r>
      <w:r>
        <w:rPr>
          <w:rStyle w:val="24"/>
          <w:rFonts w:hint="eastAsia" w:ascii="黑体" w:hAnsi="黑体" w:eastAsia="黑体" w:cs="楷体_GB2312"/>
          <w:b/>
          <w:bCs/>
          <w:color w:val="auto"/>
          <w:lang w:val="zh-CN"/>
        </w:rPr>
        <w:t>资格性审查</w:t>
      </w:r>
      <w:r>
        <w:rPr>
          <w:color w:val="auto"/>
        </w:rPr>
        <w:tab/>
      </w:r>
      <w:r>
        <w:rPr>
          <w:color w:val="auto"/>
        </w:rPr>
        <w:fldChar w:fldCharType="begin"/>
      </w:r>
      <w:r>
        <w:rPr>
          <w:color w:val="auto"/>
        </w:rPr>
        <w:instrText xml:space="preserve"> PAGEREF _Toc114740092 \h </w:instrText>
      </w:r>
      <w:r>
        <w:rPr>
          <w:color w:val="auto"/>
        </w:rPr>
        <w:fldChar w:fldCharType="separate"/>
      </w:r>
      <w:r>
        <w:rPr>
          <w:color w:val="auto"/>
        </w:rPr>
        <w:t>- 35 -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"_Toc114740093" </w:instrText>
      </w:r>
      <w:r>
        <w:fldChar w:fldCharType="separate"/>
      </w:r>
      <w:r>
        <w:rPr>
          <w:rStyle w:val="24"/>
          <w:rFonts w:ascii="黑体" w:hAnsi="黑体" w:eastAsia="黑体" w:cs="楷体_GB2312"/>
          <w:b/>
          <w:bCs/>
          <w:color w:val="auto"/>
          <w:lang w:val="zh-CN"/>
        </w:rPr>
        <w:t xml:space="preserve">7 </w:t>
      </w:r>
      <w:r>
        <w:rPr>
          <w:rStyle w:val="24"/>
          <w:rFonts w:hint="eastAsia" w:ascii="黑体" w:hAnsi="黑体" w:eastAsia="黑体" w:cs="楷体_GB2312"/>
          <w:b/>
          <w:bCs/>
          <w:color w:val="auto"/>
          <w:lang w:val="zh-CN"/>
        </w:rPr>
        <w:t>评审</w:t>
      </w:r>
      <w:r>
        <w:rPr>
          <w:color w:val="auto"/>
        </w:rPr>
        <w:tab/>
      </w:r>
      <w:r>
        <w:rPr>
          <w:color w:val="auto"/>
        </w:rPr>
        <w:fldChar w:fldCharType="begin"/>
      </w:r>
      <w:r>
        <w:rPr>
          <w:color w:val="auto"/>
        </w:rPr>
        <w:instrText xml:space="preserve"> PAGEREF _Toc114740093 \h </w:instrText>
      </w:r>
      <w:r>
        <w:rPr>
          <w:color w:val="auto"/>
        </w:rPr>
        <w:fldChar w:fldCharType="separate"/>
      </w:r>
      <w:r>
        <w:rPr>
          <w:color w:val="auto"/>
        </w:rPr>
        <w:t>- 35 -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"_Toc114740094" </w:instrText>
      </w:r>
      <w:r>
        <w:fldChar w:fldCharType="separate"/>
      </w:r>
      <w:r>
        <w:rPr>
          <w:rStyle w:val="24"/>
          <w:rFonts w:ascii="黑体" w:hAnsi="黑体" w:eastAsia="黑体" w:cs="楷体_GB2312"/>
          <w:b/>
          <w:bCs/>
          <w:color w:val="auto"/>
          <w:lang w:val="zh-CN"/>
        </w:rPr>
        <w:t xml:space="preserve">8 </w:t>
      </w:r>
      <w:r>
        <w:rPr>
          <w:rStyle w:val="24"/>
          <w:rFonts w:hint="eastAsia" w:ascii="黑体" w:hAnsi="黑体" w:eastAsia="黑体" w:cs="楷体_GB2312"/>
          <w:b/>
          <w:bCs/>
          <w:color w:val="auto"/>
          <w:lang w:val="zh-CN"/>
        </w:rPr>
        <w:t>授予合同</w:t>
      </w:r>
      <w:r>
        <w:rPr>
          <w:color w:val="auto"/>
        </w:rPr>
        <w:tab/>
      </w:r>
      <w:r>
        <w:rPr>
          <w:color w:val="auto"/>
        </w:rPr>
        <w:fldChar w:fldCharType="begin"/>
      </w:r>
      <w:r>
        <w:rPr>
          <w:color w:val="auto"/>
        </w:rPr>
        <w:instrText xml:space="preserve"> PAGEREF _Toc114740094 \h </w:instrText>
      </w:r>
      <w:r>
        <w:rPr>
          <w:color w:val="auto"/>
        </w:rPr>
        <w:fldChar w:fldCharType="separate"/>
      </w:r>
      <w:r>
        <w:rPr>
          <w:color w:val="auto"/>
        </w:rPr>
        <w:t>- 36 -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"_Toc114740095" </w:instrText>
      </w:r>
      <w:r>
        <w:fldChar w:fldCharType="separate"/>
      </w:r>
      <w:r>
        <w:rPr>
          <w:rStyle w:val="24"/>
          <w:rFonts w:ascii="黑体" w:hAnsi="黑体" w:eastAsia="黑体" w:cs="楷体_GB2312"/>
          <w:b/>
          <w:bCs/>
          <w:color w:val="auto"/>
          <w:lang w:val="zh-CN"/>
        </w:rPr>
        <w:t xml:space="preserve">9 </w:t>
      </w:r>
      <w:r>
        <w:rPr>
          <w:rStyle w:val="24"/>
          <w:rFonts w:hint="eastAsia" w:ascii="黑体" w:hAnsi="黑体" w:eastAsia="黑体" w:cs="楷体_GB2312"/>
          <w:b/>
          <w:bCs/>
          <w:color w:val="auto"/>
          <w:lang w:val="zh-CN"/>
        </w:rPr>
        <w:t>验收</w:t>
      </w:r>
      <w:r>
        <w:rPr>
          <w:color w:val="auto"/>
        </w:rPr>
        <w:tab/>
      </w:r>
      <w:r>
        <w:rPr>
          <w:color w:val="auto"/>
        </w:rPr>
        <w:fldChar w:fldCharType="begin"/>
      </w:r>
      <w:r>
        <w:rPr>
          <w:color w:val="auto"/>
        </w:rPr>
        <w:instrText xml:space="preserve"> PAGEREF _Toc114740095 \h </w:instrText>
      </w:r>
      <w:r>
        <w:rPr>
          <w:color w:val="auto"/>
        </w:rPr>
        <w:fldChar w:fldCharType="separate"/>
      </w:r>
      <w:r>
        <w:rPr>
          <w:color w:val="auto"/>
        </w:rPr>
        <w:t>- 37 -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"_Toc114740096" </w:instrText>
      </w:r>
      <w:r>
        <w:fldChar w:fldCharType="separate"/>
      </w:r>
      <w:r>
        <w:rPr>
          <w:rStyle w:val="24"/>
          <w:rFonts w:ascii="黑体" w:hAnsi="黑体" w:eastAsia="黑体" w:cs="楷体_GB2312"/>
          <w:b/>
          <w:bCs/>
          <w:color w:val="auto"/>
          <w:lang w:val="zh-CN"/>
        </w:rPr>
        <w:t xml:space="preserve">10 </w:t>
      </w:r>
      <w:r>
        <w:rPr>
          <w:rStyle w:val="24"/>
          <w:rFonts w:hint="eastAsia" w:ascii="黑体" w:hAnsi="黑体" w:eastAsia="黑体" w:cs="楷体_GB2312"/>
          <w:b/>
          <w:bCs/>
          <w:color w:val="auto"/>
          <w:lang w:val="zh-CN"/>
        </w:rPr>
        <w:t>付款</w:t>
      </w:r>
      <w:r>
        <w:rPr>
          <w:color w:val="auto"/>
        </w:rPr>
        <w:tab/>
      </w:r>
      <w:r>
        <w:rPr>
          <w:color w:val="auto"/>
        </w:rPr>
        <w:fldChar w:fldCharType="begin"/>
      </w:r>
      <w:r>
        <w:rPr>
          <w:color w:val="auto"/>
        </w:rPr>
        <w:instrText xml:space="preserve"> PAGEREF _Toc114740096 \h </w:instrText>
      </w:r>
      <w:r>
        <w:rPr>
          <w:color w:val="auto"/>
        </w:rPr>
        <w:fldChar w:fldCharType="separate"/>
      </w:r>
      <w:r>
        <w:rPr>
          <w:color w:val="auto"/>
        </w:rPr>
        <w:t>- 38 -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"_Toc114740097" </w:instrText>
      </w:r>
      <w:r>
        <w:fldChar w:fldCharType="separate"/>
      </w:r>
      <w:r>
        <w:rPr>
          <w:rStyle w:val="24"/>
          <w:rFonts w:ascii="黑体" w:hAnsi="黑体" w:eastAsia="黑体" w:cs="楷体_GB2312"/>
          <w:b/>
          <w:bCs/>
          <w:color w:val="auto"/>
          <w:lang w:val="zh-CN"/>
        </w:rPr>
        <w:t xml:space="preserve">11 </w:t>
      </w:r>
      <w:r>
        <w:rPr>
          <w:rStyle w:val="24"/>
          <w:rFonts w:hint="eastAsia" w:ascii="黑体" w:hAnsi="黑体" w:eastAsia="黑体" w:cs="楷体_GB2312"/>
          <w:b/>
          <w:bCs/>
          <w:color w:val="auto"/>
          <w:lang w:val="zh-CN"/>
        </w:rPr>
        <w:t>其他</w:t>
      </w:r>
      <w:r>
        <w:rPr>
          <w:color w:val="auto"/>
        </w:rPr>
        <w:tab/>
      </w:r>
      <w:r>
        <w:rPr>
          <w:color w:val="auto"/>
        </w:rPr>
        <w:fldChar w:fldCharType="begin"/>
      </w:r>
      <w:r>
        <w:rPr>
          <w:color w:val="auto"/>
        </w:rPr>
        <w:instrText xml:space="preserve"> PAGEREF _Toc114740097 \h </w:instrText>
      </w:r>
      <w:r>
        <w:rPr>
          <w:color w:val="auto"/>
        </w:rPr>
        <w:fldChar w:fldCharType="separate"/>
      </w:r>
      <w:r>
        <w:rPr>
          <w:color w:val="auto"/>
        </w:rPr>
        <w:t>- 38 -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"_Toc114740098" </w:instrText>
      </w:r>
      <w:r>
        <w:fldChar w:fldCharType="separate"/>
      </w:r>
      <w:r>
        <w:rPr>
          <w:rStyle w:val="24"/>
          <w:rFonts w:ascii="黑体" w:hAnsi="黑体" w:eastAsia="黑体" w:cs="楷体_GB2312"/>
          <w:b/>
          <w:bCs/>
          <w:color w:val="auto"/>
          <w:lang w:val="zh-CN"/>
        </w:rPr>
        <w:t xml:space="preserve">12 </w:t>
      </w:r>
      <w:r>
        <w:rPr>
          <w:rStyle w:val="24"/>
          <w:rFonts w:hint="eastAsia" w:ascii="黑体" w:hAnsi="黑体" w:eastAsia="黑体" w:cs="楷体_GB2312"/>
          <w:b/>
          <w:bCs/>
          <w:color w:val="auto"/>
          <w:lang w:val="zh-CN"/>
        </w:rPr>
        <w:t>河南省政府采购合同融资政策告知函</w:t>
      </w:r>
      <w:r>
        <w:rPr>
          <w:color w:val="auto"/>
        </w:rPr>
        <w:tab/>
      </w:r>
      <w:r>
        <w:rPr>
          <w:color w:val="auto"/>
        </w:rPr>
        <w:fldChar w:fldCharType="begin"/>
      </w:r>
      <w:r>
        <w:rPr>
          <w:color w:val="auto"/>
        </w:rPr>
        <w:instrText xml:space="preserve"> PAGEREF _Toc114740098 \h </w:instrText>
      </w:r>
      <w:r>
        <w:rPr>
          <w:color w:val="auto"/>
        </w:rPr>
        <w:fldChar w:fldCharType="separate"/>
      </w:r>
      <w:r>
        <w:rPr>
          <w:color w:val="auto"/>
        </w:rPr>
        <w:t>- 39 -</w:t>
      </w:r>
      <w:r>
        <w:rPr>
          <w:color w:val="auto"/>
        </w:rPr>
        <w:fldChar w:fldCharType="end"/>
      </w:r>
      <w:r>
        <w:rPr>
          <w:color w:val="auto"/>
        </w:rPr>
        <w:fldChar w:fldCharType="end"/>
      </w:r>
    </w:p>
    <w:p>
      <w:pPr>
        <w:pStyle w:val="13"/>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"_Toc114740099" </w:instrText>
      </w:r>
      <w:r>
        <w:fldChar w:fldCharType="separate"/>
      </w:r>
      <w:r>
        <w:rPr>
          <w:rStyle w:val="24"/>
          <w:rFonts w:hint="eastAsia" w:ascii="黑体" w:hAnsi="黑体" w:eastAsia="黑体"/>
          <w:b/>
          <w:bCs/>
          <w:color w:val="auto"/>
          <w:kern w:val="44"/>
          <w:lang w:val="zh-CN"/>
        </w:rPr>
        <w:t>第四章</w:t>
      </w:r>
      <w:r>
        <w:rPr>
          <w:rStyle w:val="24"/>
          <w:rFonts w:ascii="黑体" w:hAnsi="黑体" w:eastAsia="黑体"/>
          <w:b/>
          <w:bCs/>
          <w:color w:val="auto"/>
          <w:kern w:val="44"/>
          <w:lang w:val="zh-CN"/>
        </w:rPr>
        <w:t xml:space="preserve">  </w:t>
      </w:r>
      <w:r>
        <w:rPr>
          <w:rStyle w:val="24"/>
          <w:rFonts w:hint="eastAsia" w:ascii="黑体" w:hAnsi="黑体" w:eastAsia="黑体"/>
          <w:b/>
          <w:bCs/>
          <w:color w:val="auto"/>
          <w:kern w:val="44"/>
          <w:lang w:val="zh-CN"/>
        </w:rPr>
        <w:t>评标办法（综合评分法）</w:t>
      </w:r>
      <w:r>
        <w:rPr>
          <w:color w:val="auto"/>
        </w:rPr>
        <w:tab/>
      </w:r>
      <w:r>
        <w:rPr>
          <w:color w:val="auto"/>
        </w:rPr>
        <w:fldChar w:fldCharType="begin"/>
      </w:r>
      <w:r>
        <w:rPr>
          <w:color w:val="auto"/>
        </w:rPr>
        <w:instrText xml:space="preserve"> PAGEREF _Toc114740099 \h </w:instrText>
      </w:r>
      <w:r>
        <w:rPr>
          <w:color w:val="auto"/>
        </w:rPr>
        <w:fldChar w:fldCharType="separate"/>
      </w:r>
      <w:r>
        <w:rPr>
          <w:color w:val="auto"/>
        </w:rPr>
        <w:t>- 40 -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"_Toc114740100" </w:instrText>
      </w:r>
      <w:r>
        <w:fldChar w:fldCharType="separate"/>
      </w:r>
      <w:r>
        <w:rPr>
          <w:rStyle w:val="24"/>
          <w:rFonts w:hint="eastAsia" w:ascii="黑体" w:hAnsi="黑体" w:eastAsia="黑体"/>
          <w:b/>
          <w:color w:val="auto"/>
        </w:rPr>
        <w:t>评标办法前附表</w:t>
      </w:r>
      <w:r>
        <w:rPr>
          <w:color w:val="auto"/>
        </w:rPr>
        <w:tab/>
      </w:r>
      <w:r>
        <w:rPr>
          <w:color w:val="auto"/>
        </w:rPr>
        <w:fldChar w:fldCharType="begin"/>
      </w:r>
      <w:r>
        <w:rPr>
          <w:color w:val="auto"/>
        </w:rPr>
        <w:instrText xml:space="preserve"> PAGEREF _Toc114740100 \h </w:instrText>
      </w:r>
      <w:r>
        <w:rPr>
          <w:color w:val="auto"/>
        </w:rPr>
        <w:fldChar w:fldCharType="separate"/>
      </w:r>
      <w:r>
        <w:rPr>
          <w:color w:val="auto"/>
        </w:rPr>
        <w:t>- 40 -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"_Toc114740101" </w:instrText>
      </w:r>
      <w:r>
        <w:fldChar w:fldCharType="separate"/>
      </w:r>
      <w:r>
        <w:rPr>
          <w:rStyle w:val="24"/>
          <w:rFonts w:ascii="黑体" w:hAnsi="黑体" w:eastAsia="黑体" w:cs="楷体_GB2312"/>
          <w:b/>
          <w:bCs/>
          <w:color w:val="auto"/>
          <w:lang w:val="zh-CN"/>
        </w:rPr>
        <w:t xml:space="preserve">1. </w:t>
      </w:r>
      <w:r>
        <w:rPr>
          <w:rStyle w:val="24"/>
          <w:rFonts w:hint="eastAsia" w:ascii="黑体" w:hAnsi="黑体" w:eastAsia="黑体" w:cs="楷体_GB2312"/>
          <w:b/>
          <w:bCs/>
          <w:color w:val="auto"/>
          <w:lang w:val="zh-CN"/>
        </w:rPr>
        <w:t>评标方法</w:t>
      </w:r>
      <w:r>
        <w:rPr>
          <w:color w:val="auto"/>
        </w:rPr>
        <w:tab/>
      </w:r>
      <w:r>
        <w:rPr>
          <w:color w:val="auto"/>
        </w:rPr>
        <w:fldChar w:fldCharType="begin"/>
      </w:r>
      <w:r>
        <w:rPr>
          <w:color w:val="auto"/>
        </w:rPr>
        <w:instrText xml:space="preserve"> PAGEREF _Toc114740101 \h </w:instrText>
      </w:r>
      <w:r>
        <w:rPr>
          <w:color w:val="auto"/>
        </w:rPr>
        <w:fldChar w:fldCharType="separate"/>
      </w:r>
      <w:r>
        <w:rPr>
          <w:color w:val="auto"/>
        </w:rPr>
        <w:t>- 44 -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"_Toc114740102" </w:instrText>
      </w:r>
      <w:r>
        <w:fldChar w:fldCharType="separate"/>
      </w:r>
      <w:r>
        <w:rPr>
          <w:rStyle w:val="24"/>
          <w:rFonts w:ascii="黑体" w:hAnsi="黑体" w:eastAsia="黑体" w:cs="楷体_GB2312"/>
          <w:b/>
          <w:bCs/>
          <w:color w:val="auto"/>
          <w:lang w:val="zh-CN"/>
        </w:rPr>
        <w:t xml:space="preserve">2. </w:t>
      </w:r>
      <w:r>
        <w:rPr>
          <w:rStyle w:val="24"/>
          <w:rFonts w:hint="eastAsia" w:ascii="黑体" w:hAnsi="黑体" w:eastAsia="黑体" w:cs="楷体_GB2312"/>
          <w:b/>
          <w:bCs/>
          <w:color w:val="auto"/>
          <w:lang w:val="zh-CN"/>
        </w:rPr>
        <w:t>评标标准</w:t>
      </w:r>
      <w:r>
        <w:rPr>
          <w:color w:val="auto"/>
        </w:rPr>
        <w:tab/>
      </w:r>
      <w:r>
        <w:rPr>
          <w:color w:val="auto"/>
        </w:rPr>
        <w:fldChar w:fldCharType="begin"/>
      </w:r>
      <w:r>
        <w:rPr>
          <w:color w:val="auto"/>
        </w:rPr>
        <w:instrText xml:space="preserve"> PAGEREF _Toc114740102 \h </w:instrText>
      </w:r>
      <w:r>
        <w:rPr>
          <w:color w:val="auto"/>
        </w:rPr>
        <w:fldChar w:fldCharType="separate"/>
      </w:r>
      <w:r>
        <w:rPr>
          <w:color w:val="auto"/>
        </w:rPr>
        <w:t>- 44 -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"_Toc114740103" </w:instrText>
      </w:r>
      <w:r>
        <w:fldChar w:fldCharType="separate"/>
      </w:r>
      <w:r>
        <w:rPr>
          <w:rStyle w:val="24"/>
          <w:rFonts w:ascii="黑体" w:hAnsi="黑体" w:eastAsia="黑体" w:cs="楷体_GB2312"/>
          <w:b/>
          <w:bCs/>
          <w:color w:val="auto"/>
          <w:lang w:val="zh-CN"/>
        </w:rPr>
        <w:t xml:space="preserve">3. </w:t>
      </w:r>
      <w:r>
        <w:rPr>
          <w:rStyle w:val="24"/>
          <w:rFonts w:hint="eastAsia" w:ascii="黑体" w:hAnsi="黑体" w:eastAsia="黑体" w:cs="楷体_GB2312"/>
          <w:b/>
          <w:bCs/>
          <w:color w:val="auto"/>
          <w:lang w:val="zh-CN"/>
        </w:rPr>
        <w:t>评标程序</w:t>
      </w:r>
      <w:r>
        <w:rPr>
          <w:color w:val="auto"/>
        </w:rPr>
        <w:tab/>
      </w:r>
      <w:r>
        <w:rPr>
          <w:color w:val="auto"/>
        </w:rPr>
        <w:fldChar w:fldCharType="begin"/>
      </w:r>
      <w:r>
        <w:rPr>
          <w:color w:val="auto"/>
        </w:rPr>
        <w:instrText xml:space="preserve"> PAGEREF _Toc114740103 \h </w:instrText>
      </w:r>
      <w:r>
        <w:rPr>
          <w:color w:val="auto"/>
        </w:rPr>
        <w:fldChar w:fldCharType="separate"/>
      </w:r>
      <w:r>
        <w:rPr>
          <w:color w:val="auto"/>
        </w:rPr>
        <w:t>- 44 -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"_Toc114740104" </w:instrText>
      </w:r>
      <w:r>
        <w:fldChar w:fldCharType="separate"/>
      </w:r>
      <w:r>
        <w:rPr>
          <w:rStyle w:val="24"/>
          <w:rFonts w:ascii="黑体" w:hAnsi="黑体" w:eastAsia="黑体" w:cs="楷体_GB2312"/>
          <w:b/>
          <w:bCs/>
          <w:color w:val="auto"/>
          <w:lang w:val="zh-CN"/>
        </w:rPr>
        <w:t xml:space="preserve">4. </w:t>
      </w:r>
      <w:r>
        <w:rPr>
          <w:rStyle w:val="24"/>
          <w:rFonts w:hint="eastAsia" w:ascii="黑体" w:hAnsi="黑体" w:eastAsia="黑体" w:cs="楷体_GB2312"/>
          <w:b/>
          <w:bCs/>
          <w:color w:val="auto"/>
          <w:lang w:val="zh-CN"/>
        </w:rPr>
        <w:t>政府采购促进中小企业发展扶持政策</w:t>
      </w:r>
      <w:r>
        <w:rPr>
          <w:color w:val="auto"/>
        </w:rPr>
        <w:tab/>
      </w:r>
      <w:r>
        <w:rPr>
          <w:color w:val="auto"/>
        </w:rPr>
        <w:fldChar w:fldCharType="begin"/>
      </w:r>
      <w:r>
        <w:rPr>
          <w:color w:val="auto"/>
        </w:rPr>
        <w:instrText xml:space="preserve"> PAGEREF _Toc114740104 \h </w:instrText>
      </w:r>
      <w:r>
        <w:rPr>
          <w:color w:val="auto"/>
        </w:rPr>
        <w:fldChar w:fldCharType="separate"/>
      </w:r>
      <w:r>
        <w:rPr>
          <w:color w:val="auto"/>
        </w:rPr>
        <w:t>- 48 -</w:t>
      </w:r>
      <w:r>
        <w:rPr>
          <w:color w:val="auto"/>
        </w:rPr>
        <w:fldChar w:fldCharType="end"/>
      </w:r>
      <w:r>
        <w:rPr>
          <w:color w:val="auto"/>
        </w:rPr>
        <w:fldChar w:fldCharType="end"/>
      </w:r>
    </w:p>
    <w:p>
      <w:pPr>
        <w:pStyle w:val="13"/>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"_Toc114740105" </w:instrText>
      </w:r>
      <w:r>
        <w:fldChar w:fldCharType="separate"/>
      </w:r>
      <w:r>
        <w:rPr>
          <w:rStyle w:val="24"/>
          <w:rFonts w:hint="eastAsia" w:ascii="黑体" w:eastAsia="黑体"/>
          <w:b/>
          <w:color w:val="auto"/>
        </w:rPr>
        <w:t>第五章</w:t>
      </w:r>
      <w:r>
        <w:rPr>
          <w:rStyle w:val="24"/>
          <w:rFonts w:ascii="黑体" w:eastAsia="黑体"/>
          <w:b/>
          <w:color w:val="auto"/>
        </w:rPr>
        <w:t xml:space="preserve">  </w:t>
      </w:r>
      <w:r>
        <w:rPr>
          <w:rStyle w:val="24"/>
          <w:rFonts w:hint="eastAsia" w:ascii="黑体" w:eastAsia="黑体"/>
          <w:b/>
          <w:color w:val="auto"/>
        </w:rPr>
        <w:t>合同主要条款</w:t>
      </w:r>
      <w:r>
        <w:rPr>
          <w:color w:val="auto"/>
        </w:rPr>
        <w:tab/>
      </w:r>
      <w:r>
        <w:rPr>
          <w:color w:val="auto"/>
        </w:rPr>
        <w:fldChar w:fldCharType="begin"/>
      </w:r>
      <w:r>
        <w:rPr>
          <w:color w:val="auto"/>
        </w:rPr>
        <w:instrText xml:space="preserve"> PAGEREF _Toc114740105 \h </w:instrText>
      </w:r>
      <w:r>
        <w:rPr>
          <w:color w:val="auto"/>
        </w:rPr>
        <w:fldChar w:fldCharType="separate"/>
      </w:r>
      <w:r>
        <w:rPr>
          <w:color w:val="auto"/>
        </w:rPr>
        <w:t>- 52 -</w:t>
      </w:r>
      <w:r>
        <w:rPr>
          <w:color w:val="auto"/>
        </w:rPr>
        <w:fldChar w:fldCharType="end"/>
      </w:r>
      <w:r>
        <w:rPr>
          <w:color w:val="auto"/>
        </w:rPr>
        <w:fldChar w:fldCharType="end"/>
      </w:r>
    </w:p>
    <w:p>
      <w:pPr>
        <w:pStyle w:val="13"/>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"_Toc114740106" </w:instrText>
      </w:r>
      <w:r>
        <w:fldChar w:fldCharType="separate"/>
      </w:r>
      <w:r>
        <w:rPr>
          <w:rStyle w:val="24"/>
          <w:rFonts w:hint="eastAsia" w:ascii="黑体" w:hAnsi="黑体" w:eastAsia="黑体"/>
          <w:b/>
          <w:color w:val="auto"/>
          <w:lang w:val="zh-CN"/>
        </w:rPr>
        <w:t>第六章</w:t>
      </w:r>
      <w:r>
        <w:rPr>
          <w:rStyle w:val="24"/>
          <w:rFonts w:ascii="黑体" w:hAnsi="黑体" w:eastAsia="黑体"/>
          <w:b/>
          <w:color w:val="auto"/>
          <w:lang w:val="zh-CN"/>
        </w:rPr>
        <w:t xml:space="preserve">  </w:t>
      </w:r>
      <w:r>
        <w:rPr>
          <w:rStyle w:val="24"/>
          <w:rFonts w:hint="eastAsia" w:ascii="黑体" w:hAnsi="黑体" w:eastAsia="黑体"/>
          <w:b/>
          <w:color w:val="auto"/>
          <w:lang w:val="zh-CN"/>
        </w:rPr>
        <w:t>投标文件格式</w:t>
      </w:r>
      <w:r>
        <w:rPr>
          <w:color w:val="auto"/>
        </w:rPr>
        <w:tab/>
      </w:r>
      <w:r>
        <w:rPr>
          <w:color w:val="auto"/>
        </w:rPr>
        <w:fldChar w:fldCharType="begin"/>
      </w:r>
      <w:r>
        <w:rPr>
          <w:color w:val="auto"/>
        </w:rPr>
        <w:instrText xml:space="preserve"> PAGEREF _Toc114740106 \h </w:instrText>
      </w:r>
      <w:r>
        <w:rPr>
          <w:color w:val="auto"/>
        </w:rPr>
        <w:fldChar w:fldCharType="separate"/>
      </w:r>
      <w:r>
        <w:rPr>
          <w:color w:val="auto"/>
        </w:rPr>
        <w:t>- 56 -</w:t>
      </w:r>
      <w:r>
        <w:rPr>
          <w:color w:val="auto"/>
        </w:rPr>
        <w:fldChar w:fldCharType="end"/>
      </w:r>
      <w:r>
        <w:rPr>
          <w:color w:val="auto"/>
        </w:rPr>
        <w:fldChar w:fldCharType="end"/>
      </w:r>
    </w:p>
    <w:p>
      <w:pPr>
        <w:rPr>
          <w:color w:val="auto"/>
        </w:rPr>
        <w:sectPr>
          <w:pgSz w:w="11905" w:h="16837"/>
          <w:pgMar w:top="1418" w:right="1106" w:bottom="1418" w:left="1418" w:header="567" w:footer="567" w:gutter="0"/>
          <w:pgNumType w:fmt="numberInDash" w:start="0"/>
          <w:cols w:space="720" w:num="1"/>
          <w:titlePg/>
        </w:sectPr>
      </w:pPr>
      <w:r>
        <w:rPr>
          <w:color w:val="auto"/>
        </w:rPr>
        <w:fldChar w:fldCharType="end"/>
      </w:r>
    </w:p>
    <w:p>
      <w:pPr>
        <w:widowControl w:val="0"/>
        <w:snapToGrid w:val="0"/>
        <w:spacing w:line="560" w:lineRule="exact"/>
        <w:jc w:val="left"/>
        <w:rPr>
          <w:rFonts w:ascii="宋体"/>
          <w:color w:val="auto"/>
          <w:sz w:val="24"/>
          <w:szCs w:val="24"/>
        </w:rPr>
      </w:pPr>
    </w:p>
    <w:p>
      <w:pPr>
        <w:widowControl w:val="0"/>
        <w:snapToGrid w:val="0"/>
        <w:spacing w:line="560" w:lineRule="exact"/>
        <w:jc w:val="center"/>
        <w:outlineLvl w:val="0"/>
        <w:rPr>
          <w:color w:val="auto"/>
          <w:sz w:val="36"/>
          <w:szCs w:val="36"/>
        </w:rPr>
      </w:pPr>
      <w:bookmarkStart w:id="0" w:name="_Toc114740080"/>
      <w:r>
        <w:rPr>
          <w:rFonts w:hint="eastAsia" w:eastAsia="黑体"/>
          <w:b/>
          <w:color w:val="auto"/>
          <w:sz w:val="36"/>
          <w:szCs w:val="36"/>
        </w:rPr>
        <w:t>第一章</w:t>
      </w:r>
      <w:r>
        <w:rPr>
          <w:rFonts w:eastAsia="黑体"/>
          <w:b/>
          <w:color w:val="auto"/>
          <w:sz w:val="36"/>
          <w:szCs w:val="36"/>
        </w:rPr>
        <w:t xml:space="preserve">  </w:t>
      </w:r>
      <w:r>
        <w:rPr>
          <w:rFonts w:hint="eastAsia" w:eastAsia="黑体"/>
          <w:b/>
          <w:color w:val="auto"/>
          <w:sz w:val="36"/>
          <w:szCs w:val="36"/>
        </w:rPr>
        <w:t>招标公告</w:t>
      </w:r>
      <w:bookmarkEnd w:id="0"/>
    </w:p>
    <w:p>
      <w:pPr>
        <w:widowControl w:val="0"/>
        <w:snapToGrid w:val="0"/>
        <w:spacing w:line="360" w:lineRule="auto"/>
        <w:ind w:firstLine="566"/>
        <w:rPr>
          <w:color w:val="auto"/>
          <w:sz w:val="28"/>
          <w:szCs w:val="28"/>
        </w:rPr>
      </w:pPr>
    </w:p>
    <w:p>
      <w:pPr>
        <w:widowControl w:val="0"/>
        <w:adjustRightInd w:val="0"/>
        <w:snapToGrid w:val="0"/>
        <w:spacing w:line="360" w:lineRule="auto"/>
        <w:ind w:firstLine="632" w:firstLineChars="225"/>
        <w:jc w:val="left"/>
        <w:rPr>
          <w:rFonts w:ascii="黑体" w:hAnsi="黑体" w:eastAsia="黑体"/>
          <w:b/>
          <w:color w:val="auto"/>
          <w:sz w:val="28"/>
          <w:szCs w:val="28"/>
        </w:rPr>
      </w:pPr>
      <w:r>
        <w:rPr>
          <w:rFonts w:hint="eastAsia" w:ascii="黑体" w:hAnsi="黑体" w:eastAsia="黑体"/>
          <w:b/>
          <w:color w:val="auto"/>
          <w:sz w:val="28"/>
          <w:szCs w:val="28"/>
        </w:rPr>
        <w:t>1.项目基本情况</w:t>
      </w:r>
    </w:p>
    <w:p>
      <w:pPr>
        <w:widowControl w:val="0"/>
        <w:adjustRightInd w:val="0"/>
        <w:snapToGrid w:val="0"/>
        <w:spacing w:line="360" w:lineRule="auto"/>
        <w:ind w:firstLine="540" w:firstLineChars="225"/>
        <w:jc w:val="left"/>
        <w:rPr>
          <w:rFonts w:ascii="宋体" w:hAnsi="宋体"/>
          <w:color w:val="auto"/>
          <w:sz w:val="24"/>
          <w:szCs w:val="24"/>
        </w:rPr>
      </w:pPr>
      <w:r>
        <w:rPr>
          <w:rFonts w:ascii="宋体" w:hAnsi="宋体"/>
          <w:color w:val="auto"/>
          <w:sz w:val="24"/>
          <w:szCs w:val="24"/>
        </w:rPr>
        <w:t>1.1</w:t>
      </w:r>
      <w:r>
        <w:rPr>
          <w:rFonts w:hint="eastAsia" w:ascii="宋体" w:hAnsi="宋体"/>
          <w:color w:val="auto"/>
          <w:sz w:val="24"/>
          <w:szCs w:val="24"/>
        </w:rPr>
        <w:t>项目编号：安财招标采购-2022-36</w:t>
      </w:r>
    </w:p>
    <w:p>
      <w:pPr>
        <w:widowControl w:val="0"/>
        <w:adjustRightInd w:val="0"/>
        <w:snapToGrid w:val="0"/>
        <w:spacing w:line="360" w:lineRule="auto"/>
        <w:ind w:firstLine="540" w:firstLineChars="225"/>
        <w:jc w:val="left"/>
        <w:rPr>
          <w:rFonts w:ascii="宋体" w:hAnsi="宋体"/>
          <w:color w:val="auto"/>
          <w:sz w:val="24"/>
          <w:szCs w:val="24"/>
        </w:rPr>
      </w:pPr>
      <w:r>
        <w:rPr>
          <w:rFonts w:ascii="宋体" w:hAnsi="宋体"/>
          <w:color w:val="auto"/>
          <w:sz w:val="24"/>
          <w:szCs w:val="24"/>
        </w:rPr>
        <w:t>1.2</w:t>
      </w:r>
      <w:r>
        <w:rPr>
          <w:rFonts w:hint="eastAsia" w:ascii="宋体" w:hAnsi="宋体"/>
          <w:color w:val="auto"/>
          <w:sz w:val="24"/>
          <w:szCs w:val="24"/>
        </w:rPr>
        <w:t>项目名称：安阳市生态环境局2022年安阳市乡镇环境空气自动站升级改造项目</w:t>
      </w:r>
    </w:p>
    <w:p>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1.3 采购方式：公开招标</w:t>
      </w:r>
    </w:p>
    <w:p>
      <w:pPr>
        <w:widowControl w:val="0"/>
        <w:adjustRightInd w:val="0"/>
        <w:snapToGrid w:val="0"/>
        <w:spacing w:line="360" w:lineRule="auto"/>
        <w:ind w:firstLine="540" w:firstLineChars="225"/>
        <w:jc w:val="left"/>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4 预算金额：1620万元</w:t>
      </w:r>
    </w:p>
    <w:tbl>
      <w:tblPr>
        <w:tblStyle w:val="19"/>
        <w:tblW w:w="485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78"/>
        <w:gridCol w:w="567"/>
        <w:gridCol w:w="4782"/>
        <w:gridCol w:w="1368"/>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tblCellSpacing w:w="0" w:type="dxa"/>
          <w:jc w:val="center"/>
        </w:trPr>
        <w:tc>
          <w:tcPr>
            <w:tcW w:w="317" w:type="pct"/>
            <w:vAlign w:val="center"/>
          </w:tcPr>
          <w:p>
            <w:pPr>
              <w:jc w:val="center"/>
              <w:rPr>
                <w:rFonts w:ascii="宋体" w:hAnsi="宋体"/>
                <w:color w:val="auto"/>
                <w:sz w:val="24"/>
                <w:szCs w:val="24"/>
              </w:rPr>
            </w:pPr>
            <w:r>
              <w:rPr>
                <w:rFonts w:hint="eastAsia" w:ascii="宋体" w:hAnsi="宋体"/>
                <w:color w:val="auto"/>
                <w:sz w:val="24"/>
                <w:szCs w:val="24"/>
              </w:rPr>
              <w:t>序号</w:t>
            </w:r>
          </w:p>
        </w:tc>
        <w:tc>
          <w:tcPr>
            <w:tcW w:w="311" w:type="pct"/>
            <w:vAlign w:val="center"/>
          </w:tcPr>
          <w:p>
            <w:pPr>
              <w:jc w:val="center"/>
              <w:rPr>
                <w:rFonts w:ascii="宋体" w:hAnsi="宋体"/>
                <w:color w:val="auto"/>
                <w:sz w:val="24"/>
                <w:szCs w:val="24"/>
              </w:rPr>
            </w:pPr>
            <w:r>
              <w:rPr>
                <w:rFonts w:hint="eastAsia" w:ascii="宋体" w:hAnsi="宋体"/>
                <w:color w:val="auto"/>
                <w:sz w:val="24"/>
                <w:szCs w:val="24"/>
              </w:rPr>
              <w:t>包号</w:t>
            </w:r>
          </w:p>
        </w:tc>
        <w:tc>
          <w:tcPr>
            <w:tcW w:w="2622" w:type="pct"/>
            <w:vAlign w:val="center"/>
          </w:tcPr>
          <w:p>
            <w:pPr>
              <w:jc w:val="center"/>
              <w:rPr>
                <w:rFonts w:ascii="宋体" w:hAnsi="宋体"/>
                <w:color w:val="auto"/>
                <w:sz w:val="24"/>
                <w:szCs w:val="24"/>
              </w:rPr>
            </w:pPr>
            <w:r>
              <w:rPr>
                <w:rFonts w:hint="eastAsia" w:ascii="宋体" w:hAnsi="宋体"/>
                <w:color w:val="auto"/>
                <w:sz w:val="24"/>
                <w:szCs w:val="24"/>
              </w:rPr>
              <w:t>包名称</w:t>
            </w:r>
          </w:p>
        </w:tc>
        <w:tc>
          <w:tcPr>
            <w:tcW w:w="750" w:type="pct"/>
            <w:vAlign w:val="center"/>
          </w:tcPr>
          <w:p>
            <w:pPr>
              <w:jc w:val="center"/>
              <w:rPr>
                <w:rFonts w:ascii="宋体" w:hAnsi="宋体"/>
                <w:color w:val="auto"/>
                <w:sz w:val="24"/>
                <w:szCs w:val="24"/>
              </w:rPr>
            </w:pPr>
            <w:r>
              <w:rPr>
                <w:rFonts w:hint="eastAsia" w:ascii="宋体" w:hAnsi="宋体"/>
                <w:color w:val="auto"/>
                <w:sz w:val="24"/>
                <w:szCs w:val="24"/>
              </w:rPr>
              <w:t>包预算（元）</w:t>
            </w:r>
          </w:p>
        </w:tc>
        <w:tc>
          <w:tcPr>
            <w:tcW w:w="1000" w:type="pct"/>
            <w:vAlign w:val="center"/>
          </w:tcPr>
          <w:p>
            <w:pPr>
              <w:jc w:val="center"/>
              <w:rPr>
                <w:rFonts w:ascii="宋体" w:hAnsi="宋体"/>
                <w:color w:val="auto"/>
                <w:sz w:val="24"/>
                <w:szCs w:val="24"/>
              </w:rPr>
            </w:pPr>
            <w:r>
              <w:rPr>
                <w:rFonts w:hint="eastAsia" w:ascii="宋体" w:hAnsi="宋体"/>
                <w:color w:val="auto"/>
                <w:sz w:val="24"/>
                <w:szCs w:val="24"/>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tblCellSpacing w:w="0" w:type="dxa"/>
          <w:jc w:val="center"/>
        </w:trPr>
        <w:tc>
          <w:tcPr>
            <w:tcW w:w="317" w:type="pct"/>
            <w:vAlign w:val="center"/>
          </w:tcPr>
          <w:p>
            <w:pPr>
              <w:jc w:val="center"/>
              <w:rPr>
                <w:rFonts w:ascii="宋体" w:hAnsi="宋体"/>
                <w:color w:val="auto"/>
                <w:sz w:val="24"/>
                <w:szCs w:val="24"/>
              </w:rPr>
            </w:pPr>
            <w:r>
              <w:rPr>
                <w:rFonts w:hint="eastAsia" w:ascii="宋体" w:hAnsi="宋体"/>
                <w:color w:val="auto"/>
                <w:sz w:val="24"/>
                <w:szCs w:val="24"/>
              </w:rPr>
              <w:t>1</w:t>
            </w:r>
          </w:p>
        </w:tc>
        <w:tc>
          <w:tcPr>
            <w:tcW w:w="311" w:type="pct"/>
            <w:vAlign w:val="center"/>
          </w:tcPr>
          <w:p>
            <w:pPr>
              <w:jc w:val="center"/>
              <w:rPr>
                <w:rFonts w:ascii="宋体" w:hAnsi="宋体"/>
                <w:color w:val="auto"/>
                <w:sz w:val="24"/>
                <w:szCs w:val="24"/>
              </w:rPr>
            </w:pPr>
            <w:r>
              <w:rPr>
                <w:rFonts w:hint="eastAsia" w:ascii="宋体" w:hAnsi="宋体"/>
                <w:color w:val="auto"/>
                <w:sz w:val="24"/>
                <w:szCs w:val="24"/>
              </w:rPr>
              <w:t>1</w:t>
            </w:r>
          </w:p>
        </w:tc>
        <w:tc>
          <w:tcPr>
            <w:tcW w:w="2622" w:type="pct"/>
            <w:vAlign w:val="center"/>
          </w:tcPr>
          <w:p>
            <w:pPr>
              <w:jc w:val="center"/>
              <w:rPr>
                <w:rFonts w:ascii="宋体" w:hAnsi="宋体"/>
                <w:color w:val="auto"/>
                <w:sz w:val="24"/>
                <w:szCs w:val="24"/>
              </w:rPr>
            </w:pPr>
            <w:r>
              <w:rPr>
                <w:rFonts w:hint="eastAsia" w:ascii="宋体" w:hAnsi="宋体"/>
                <w:color w:val="auto"/>
                <w:sz w:val="24"/>
                <w:szCs w:val="24"/>
              </w:rPr>
              <w:t>安阳市生态环境局2022年安阳市乡镇环境空气自动站升级改造项目 (包1)</w:t>
            </w:r>
          </w:p>
        </w:tc>
        <w:tc>
          <w:tcPr>
            <w:tcW w:w="0" w:type="auto"/>
            <w:vAlign w:val="center"/>
          </w:tcPr>
          <w:p>
            <w:pPr>
              <w:jc w:val="center"/>
              <w:rPr>
                <w:rFonts w:ascii="宋体" w:hAnsi="宋体"/>
                <w:color w:val="auto"/>
                <w:sz w:val="24"/>
                <w:szCs w:val="24"/>
              </w:rPr>
            </w:pPr>
            <w:r>
              <w:rPr>
                <w:rFonts w:ascii="宋体" w:hAnsi="宋体"/>
                <w:color w:val="auto"/>
                <w:sz w:val="24"/>
                <w:szCs w:val="24"/>
              </w:rPr>
              <w:t>5580000</w:t>
            </w:r>
          </w:p>
        </w:tc>
        <w:tc>
          <w:tcPr>
            <w:tcW w:w="0" w:type="auto"/>
            <w:vAlign w:val="center"/>
          </w:tcPr>
          <w:p>
            <w:pPr>
              <w:jc w:val="center"/>
              <w:rPr>
                <w:rFonts w:ascii="宋体" w:hAnsi="宋体"/>
                <w:color w:val="auto"/>
                <w:sz w:val="24"/>
                <w:szCs w:val="24"/>
              </w:rPr>
            </w:pPr>
            <w:r>
              <w:rPr>
                <w:rFonts w:ascii="宋体" w:hAnsi="宋体"/>
                <w:color w:val="auto"/>
                <w:sz w:val="24"/>
                <w:szCs w:val="24"/>
              </w:rPr>
              <w:t>5580000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tblCellSpacing w:w="0" w:type="dxa"/>
          <w:jc w:val="center"/>
        </w:trPr>
        <w:tc>
          <w:tcPr>
            <w:tcW w:w="317" w:type="pct"/>
            <w:vAlign w:val="center"/>
          </w:tcPr>
          <w:p>
            <w:pPr>
              <w:spacing w:line="432" w:lineRule="auto"/>
              <w:jc w:val="center"/>
              <w:textAlignment w:val="auto"/>
              <w:rPr>
                <w:rFonts w:ascii="宋体" w:hAnsi="宋体" w:cs="宋体"/>
                <w:color w:val="auto"/>
                <w:sz w:val="24"/>
                <w:szCs w:val="24"/>
              </w:rPr>
            </w:pPr>
            <w:r>
              <w:rPr>
                <w:rFonts w:hint="eastAsia" w:ascii="宋体" w:hAnsi="宋体" w:cs="宋体"/>
                <w:color w:val="auto"/>
                <w:sz w:val="24"/>
                <w:szCs w:val="24"/>
              </w:rPr>
              <w:t>2</w:t>
            </w:r>
          </w:p>
        </w:tc>
        <w:tc>
          <w:tcPr>
            <w:tcW w:w="311" w:type="pct"/>
            <w:vAlign w:val="center"/>
          </w:tcPr>
          <w:p>
            <w:pPr>
              <w:spacing w:line="432" w:lineRule="auto"/>
              <w:jc w:val="center"/>
              <w:textAlignment w:val="auto"/>
              <w:rPr>
                <w:rFonts w:ascii="宋体" w:hAnsi="宋体" w:cs="宋体"/>
                <w:color w:val="auto"/>
                <w:sz w:val="24"/>
                <w:szCs w:val="24"/>
              </w:rPr>
            </w:pPr>
            <w:r>
              <w:rPr>
                <w:rFonts w:hint="eastAsia" w:ascii="宋体" w:hAnsi="宋体" w:cs="宋体"/>
                <w:color w:val="auto"/>
                <w:sz w:val="24"/>
                <w:szCs w:val="24"/>
              </w:rPr>
              <w:t>2</w:t>
            </w:r>
          </w:p>
        </w:tc>
        <w:tc>
          <w:tcPr>
            <w:tcW w:w="2622" w:type="pct"/>
            <w:vAlign w:val="center"/>
          </w:tcPr>
          <w:p>
            <w:pPr>
              <w:jc w:val="center"/>
              <w:rPr>
                <w:rFonts w:ascii="宋体" w:hAnsi="宋体"/>
                <w:color w:val="auto"/>
                <w:sz w:val="24"/>
                <w:szCs w:val="24"/>
              </w:rPr>
            </w:pPr>
            <w:r>
              <w:rPr>
                <w:rFonts w:hint="eastAsia" w:ascii="宋体" w:hAnsi="宋体"/>
                <w:color w:val="auto"/>
                <w:sz w:val="24"/>
                <w:szCs w:val="24"/>
              </w:rPr>
              <w:t>安阳市生态环境局2022年安阳市乡镇环境空气自动站升级改造项目（包2）</w:t>
            </w:r>
          </w:p>
        </w:tc>
        <w:tc>
          <w:tcPr>
            <w:tcW w:w="0" w:type="auto"/>
            <w:vAlign w:val="center"/>
          </w:tcPr>
          <w:p>
            <w:pPr>
              <w:jc w:val="center"/>
              <w:rPr>
                <w:rFonts w:ascii="宋体" w:hAnsi="宋体"/>
                <w:color w:val="auto"/>
                <w:sz w:val="24"/>
                <w:szCs w:val="24"/>
              </w:rPr>
            </w:pPr>
            <w:r>
              <w:rPr>
                <w:rFonts w:ascii="宋体" w:hAnsi="宋体"/>
                <w:color w:val="auto"/>
                <w:sz w:val="24"/>
                <w:szCs w:val="24"/>
              </w:rPr>
              <w:t>5310000</w:t>
            </w:r>
          </w:p>
        </w:tc>
        <w:tc>
          <w:tcPr>
            <w:tcW w:w="0" w:type="auto"/>
            <w:vAlign w:val="center"/>
          </w:tcPr>
          <w:p>
            <w:pPr>
              <w:jc w:val="center"/>
              <w:rPr>
                <w:rFonts w:ascii="宋体" w:hAnsi="宋体"/>
                <w:color w:val="auto"/>
                <w:sz w:val="24"/>
                <w:szCs w:val="24"/>
              </w:rPr>
            </w:pPr>
            <w:r>
              <w:rPr>
                <w:rFonts w:ascii="宋体" w:hAnsi="宋体"/>
                <w:color w:val="auto"/>
                <w:sz w:val="24"/>
                <w:szCs w:val="24"/>
              </w:rPr>
              <w:t>5310000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tblCellSpacing w:w="0" w:type="dxa"/>
          <w:jc w:val="center"/>
        </w:trPr>
        <w:tc>
          <w:tcPr>
            <w:tcW w:w="317" w:type="pct"/>
            <w:vAlign w:val="center"/>
          </w:tcPr>
          <w:p>
            <w:pPr>
              <w:spacing w:line="432" w:lineRule="auto"/>
              <w:jc w:val="center"/>
              <w:textAlignment w:val="auto"/>
              <w:rPr>
                <w:rFonts w:ascii="宋体" w:hAnsi="宋体" w:cs="宋体"/>
                <w:color w:val="auto"/>
                <w:sz w:val="24"/>
                <w:szCs w:val="24"/>
              </w:rPr>
            </w:pPr>
            <w:r>
              <w:rPr>
                <w:rFonts w:hint="eastAsia" w:ascii="宋体" w:hAnsi="宋体" w:cs="宋体"/>
                <w:color w:val="auto"/>
                <w:sz w:val="24"/>
                <w:szCs w:val="24"/>
              </w:rPr>
              <w:t>3</w:t>
            </w:r>
          </w:p>
        </w:tc>
        <w:tc>
          <w:tcPr>
            <w:tcW w:w="311" w:type="pct"/>
            <w:vAlign w:val="center"/>
          </w:tcPr>
          <w:p>
            <w:pPr>
              <w:spacing w:line="432" w:lineRule="auto"/>
              <w:jc w:val="center"/>
              <w:textAlignment w:val="auto"/>
              <w:rPr>
                <w:rFonts w:ascii="宋体" w:hAnsi="宋体" w:cs="宋体"/>
                <w:color w:val="auto"/>
                <w:sz w:val="24"/>
                <w:szCs w:val="24"/>
              </w:rPr>
            </w:pPr>
            <w:r>
              <w:rPr>
                <w:rFonts w:hint="eastAsia" w:ascii="宋体" w:hAnsi="宋体" w:cs="宋体"/>
                <w:color w:val="auto"/>
                <w:sz w:val="24"/>
                <w:szCs w:val="24"/>
              </w:rPr>
              <w:t>3</w:t>
            </w:r>
          </w:p>
        </w:tc>
        <w:tc>
          <w:tcPr>
            <w:tcW w:w="2622" w:type="pct"/>
            <w:vAlign w:val="center"/>
          </w:tcPr>
          <w:p>
            <w:pPr>
              <w:jc w:val="center"/>
              <w:rPr>
                <w:rFonts w:ascii="宋体" w:hAnsi="宋体"/>
                <w:color w:val="auto"/>
                <w:sz w:val="24"/>
                <w:szCs w:val="24"/>
              </w:rPr>
            </w:pPr>
            <w:r>
              <w:rPr>
                <w:rFonts w:hint="eastAsia" w:ascii="宋体" w:hAnsi="宋体"/>
                <w:color w:val="auto"/>
                <w:sz w:val="24"/>
                <w:szCs w:val="24"/>
              </w:rPr>
              <w:t>安阳市生态环境局2022年安阳市乡镇环境空气自动站升级改造项目（包3）</w:t>
            </w:r>
          </w:p>
        </w:tc>
        <w:tc>
          <w:tcPr>
            <w:tcW w:w="0" w:type="auto"/>
            <w:vAlign w:val="center"/>
          </w:tcPr>
          <w:p>
            <w:pPr>
              <w:jc w:val="center"/>
              <w:rPr>
                <w:rFonts w:ascii="宋体" w:hAnsi="宋体"/>
                <w:color w:val="auto"/>
                <w:sz w:val="24"/>
                <w:szCs w:val="24"/>
              </w:rPr>
            </w:pPr>
            <w:r>
              <w:rPr>
                <w:rFonts w:ascii="宋体" w:hAnsi="宋体"/>
                <w:color w:val="auto"/>
                <w:sz w:val="24"/>
                <w:szCs w:val="24"/>
              </w:rPr>
              <w:t>5310000</w:t>
            </w:r>
          </w:p>
        </w:tc>
        <w:tc>
          <w:tcPr>
            <w:tcW w:w="0" w:type="auto"/>
            <w:vAlign w:val="center"/>
          </w:tcPr>
          <w:p>
            <w:pPr>
              <w:jc w:val="center"/>
              <w:rPr>
                <w:rFonts w:ascii="宋体" w:hAnsi="宋体"/>
                <w:color w:val="auto"/>
                <w:sz w:val="24"/>
                <w:szCs w:val="24"/>
              </w:rPr>
            </w:pPr>
            <w:r>
              <w:rPr>
                <w:rFonts w:ascii="宋体" w:hAnsi="宋体"/>
                <w:color w:val="auto"/>
                <w:sz w:val="24"/>
                <w:szCs w:val="24"/>
              </w:rPr>
              <w:t>5310000</w:t>
            </w:r>
          </w:p>
        </w:tc>
      </w:tr>
    </w:tbl>
    <w:p>
      <w:pPr>
        <w:widowControl w:val="0"/>
        <w:adjustRightInd w:val="0"/>
        <w:snapToGrid w:val="0"/>
        <w:spacing w:line="360" w:lineRule="auto"/>
        <w:ind w:firstLine="540" w:firstLineChars="225"/>
        <w:jc w:val="left"/>
        <w:rPr>
          <w:rFonts w:ascii="宋体" w:hAnsi="宋体"/>
          <w:color w:val="auto"/>
          <w:sz w:val="24"/>
          <w:szCs w:val="24"/>
        </w:rPr>
      </w:pPr>
    </w:p>
    <w:p>
      <w:pPr>
        <w:adjustRightInd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1.5采购需求（详见法定媒体公告附件）：</w:t>
      </w:r>
    </w:p>
    <w:p>
      <w:pPr>
        <w:adjustRightInd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包</w:t>
      </w:r>
      <w:r>
        <w:rPr>
          <w:rFonts w:ascii="宋体" w:hAnsi="宋体"/>
          <w:color w:val="auto"/>
          <w:sz w:val="24"/>
          <w:szCs w:val="24"/>
        </w:rPr>
        <w:t>1</w:t>
      </w:r>
      <w:r>
        <w:rPr>
          <w:rFonts w:hint="eastAsia" w:ascii="宋体" w:hAnsi="宋体"/>
          <w:color w:val="auto"/>
          <w:sz w:val="24"/>
          <w:szCs w:val="24"/>
        </w:rPr>
        <w:t>：滑县桑村乡、老店镇、小铺乡、白道口镇、半坡店乡、王庄镇、留固镇和内黄县中召乡、后河镇等9个乡镇点位环境空气自动站升级改造；</w:t>
      </w:r>
    </w:p>
    <w:p>
      <w:pPr>
        <w:adjustRightInd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包</w:t>
      </w:r>
      <w:r>
        <w:rPr>
          <w:rFonts w:ascii="宋体" w:hAnsi="宋体"/>
          <w:color w:val="auto"/>
          <w:sz w:val="24"/>
          <w:szCs w:val="24"/>
        </w:rPr>
        <w:t>2</w:t>
      </w:r>
      <w:r>
        <w:rPr>
          <w:rFonts w:hint="eastAsia" w:ascii="宋体" w:hAnsi="宋体"/>
          <w:color w:val="auto"/>
          <w:sz w:val="24"/>
          <w:szCs w:val="24"/>
        </w:rPr>
        <w:t>：汤阴县五陵镇、任固镇、古贤镇、韩庄镇、宜沟镇、瓦岗乡、伏道镇和安阳县辛村镇、殷都区西郊乡等9个乡镇点位环境空气自动站升级改造；</w:t>
      </w:r>
    </w:p>
    <w:p>
      <w:pPr>
        <w:adjustRightInd w:val="0"/>
        <w:snapToGrid w:val="0"/>
        <w:spacing w:line="360" w:lineRule="auto"/>
        <w:ind w:firstLine="540" w:firstLineChars="225"/>
        <w:rPr>
          <w:rFonts w:ascii="宋体"/>
          <w:b/>
          <w:color w:val="auto"/>
          <w:szCs w:val="21"/>
        </w:rPr>
      </w:pPr>
      <w:r>
        <w:rPr>
          <w:rFonts w:hint="eastAsia" w:ascii="宋体" w:hAnsi="宋体"/>
          <w:color w:val="auto"/>
          <w:sz w:val="24"/>
          <w:szCs w:val="24"/>
        </w:rPr>
        <w:t>包3：内黄县东庄镇、二安镇、田氏镇、楚旺镇、井店镇、张龙乡和安阳县北郭乡、吕村镇、永和镇等9个乡镇点位环境空气自动站升级改造。</w:t>
      </w:r>
    </w:p>
    <w:p>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1.6合同履行期限：详见第二章</w:t>
      </w:r>
    </w:p>
    <w:p>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1.7本项目（是/否）接受联合体投标：否</w:t>
      </w:r>
    </w:p>
    <w:p>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1.8是否接受进口产品：否</w:t>
      </w:r>
    </w:p>
    <w:p>
      <w:pPr>
        <w:widowControl w:val="0"/>
        <w:adjustRightInd w:val="0"/>
        <w:snapToGrid w:val="0"/>
        <w:spacing w:line="360" w:lineRule="auto"/>
        <w:ind w:firstLine="540" w:firstLineChars="225"/>
        <w:jc w:val="left"/>
        <w:rPr>
          <w:rFonts w:ascii="宋体"/>
          <w:color w:val="auto"/>
          <w:sz w:val="24"/>
          <w:szCs w:val="24"/>
        </w:rPr>
      </w:pPr>
    </w:p>
    <w:p>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包1、2、3：</w:t>
      </w:r>
    </w:p>
    <w:p>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2.申请人的资格要求：</w:t>
      </w:r>
    </w:p>
    <w:p>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2.1满足《中华人民共和国政府采购法》第二十二条规定；</w:t>
      </w:r>
    </w:p>
    <w:p>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2.</w:t>
      </w:r>
      <w:r>
        <w:rPr>
          <w:rFonts w:ascii="宋体" w:hAnsi="宋体"/>
          <w:color w:val="auto"/>
          <w:sz w:val="24"/>
          <w:szCs w:val="24"/>
        </w:rPr>
        <w:t>2</w:t>
      </w:r>
      <w:r>
        <w:rPr>
          <w:rFonts w:hint="eastAsia" w:ascii="宋体" w:hAnsi="宋体"/>
          <w:color w:val="auto"/>
          <w:sz w:val="24"/>
          <w:szCs w:val="24"/>
        </w:rPr>
        <w:t>落实政府采购政策需满足的资格要求：本标段（包）无专项资格要求。</w:t>
      </w:r>
    </w:p>
    <w:p>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2.3本项目的特定资格要求：</w:t>
      </w:r>
    </w:p>
    <w:p>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2.3</w:t>
      </w:r>
      <w:r>
        <w:rPr>
          <w:rFonts w:ascii="宋体" w:hAnsi="宋体"/>
          <w:color w:val="auto"/>
          <w:sz w:val="24"/>
          <w:szCs w:val="24"/>
        </w:rPr>
        <w:t>.1</w:t>
      </w:r>
      <w:r>
        <w:rPr>
          <w:rFonts w:hint="eastAsia" w:ascii="宋体" w:hAnsi="宋体"/>
          <w:color w:val="auto"/>
          <w:sz w:val="24"/>
          <w:szCs w:val="24"/>
        </w:rPr>
        <w:t>满足《中华人民共和国政府采购法》第二十二条第</w:t>
      </w:r>
      <w:r>
        <w:rPr>
          <w:rFonts w:ascii="宋体" w:hAnsi="宋体"/>
          <w:color w:val="auto"/>
          <w:sz w:val="24"/>
          <w:szCs w:val="24"/>
        </w:rPr>
        <w:t>一款</w:t>
      </w:r>
      <w:r>
        <w:rPr>
          <w:rFonts w:hint="eastAsia" w:ascii="宋体" w:hAnsi="宋体"/>
          <w:color w:val="auto"/>
          <w:sz w:val="24"/>
          <w:szCs w:val="24"/>
        </w:rPr>
        <w:t>规定的</w:t>
      </w:r>
      <w:r>
        <w:rPr>
          <w:rFonts w:ascii="宋体" w:hAnsi="宋体"/>
          <w:color w:val="auto"/>
          <w:sz w:val="24"/>
          <w:szCs w:val="24"/>
        </w:rPr>
        <w:t>供应商基础性</w:t>
      </w:r>
      <w:r>
        <w:rPr>
          <w:rFonts w:hint="eastAsia" w:ascii="宋体" w:hAnsi="宋体"/>
          <w:color w:val="auto"/>
          <w:sz w:val="24"/>
          <w:szCs w:val="24"/>
        </w:rPr>
        <w:t>资格要求；供应商自行承诺并承担后果，承诺书不实的，按《政府采购法》有关提供虚假材料的有关规定给予处罚。</w:t>
      </w:r>
    </w:p>
    <w:p>
      <w:pPr>
        <w:widowControl w:val="0"/>
        <w:snapToGrid w:val="0"/>
        <w:spacing w:line="360" w:lineRule="auto"/>
        <w:rPr>
          <w:rFonts w:ascii="宋体"/>
          <w:color w:val="auto"/>
          <w:sz w:val="24"/>
          <w:szCs w:val="24"/>
        </w:rPr>
      </w:pP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2.3</w:t>
      </w:r>
      <w:r>
        <w:rPr>
          <w:rFonts w:ascii="宋体" w:hAnsi="宋体"/>
          <w:color w:val="auto"/>
          <w:sz w:val="24"/>
          <w:szCs w:val="24"/>
        </w:rPr>
        <w:t>.</w:t>
      </w:r>
      <w:r>
        <w:rPr>
          <w:rFonts w:hint="eastAsia" w:ascii="宋体" w:hAnsi="宋体"/>
          <w:color w:val="auto"/>
          <w:sz w:val="24"/>
          <w:szCs w:val="24"/>
        </w:rPr>
        <w:t>2对供</w:t>
      </w:r>
      <w:r>
        <w:rPr>
          <w:rFonts w:ascii="宋体" w:hAnsi="宋体"/>
          <w:color w:val="auto"/>
          <w:sz w:val="24"/>
          <w:szCs w:val="24"/>
        </w:rPr>
        <w:t>应商的限制性规定</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（1）供应商应当无不良信用记录。</w:t>
      </w:r>
      <w:r>
        <w:rPr>
          <w:rFonts w:ascii="宋体" w:hAnsi="宋体"/>
          <w:color w:val="auto"/>
          <w:sz w:val="24"/>
          <w:szCs w:val="24"/>
        </w:rPr>
        <w:t>(</w:t>
      </w:r>
      <w:r>
        <w:rPr>
          <w:rFonts w:hint="eastAsia" w:ascii="宋体" w:hAnsi="宋体"/>
          <w:color w:val="auto"/>
          <w:sz w:val="24"/>
          <w:szCs w:val="24"/>
        </w:rPr>
        <w:t>未列入“信用中国”</w:t>
      </w:r>
      <w:r>
        <w:rPr>
          <w:rFonts w:ascii="宋体" w:hAnsi="宋体"/>
          <w:color w:val="auto"/>
          <w:sz w:val="24"/>
          <w:szCs w:val="24"/>
        </w:rPr>
        <w:t>&lt;www.creditchina.gov.cn&gt;</w:t>
      </w:r>
      <w:r>
        <w:rPr>
          <w:rFonts w:hint="eastAsia" w:ascii="宋体" w:hAnsi="宋体"/>
          <w:color w:val="auto"/>
          <w:sz w:val="24"/>
          <w:szCs w:val="24"/>
        </w:rPr>
        <w:t>网站的“失信被执行人”和“重大税收违法案件当事人名单”及“中国政府采购网”</w:t>
      </w:r>
      <w:r>
        <w:rPr>
          <w:rFonts w:ascii="宋体" w:hAnsi="宋体"/>
          <w:color w:val="auto"/>
          <w:sz w:val="24"/>
          <w:szCs w:val="24"/>
        </w:rPr>
        <w:t>&lt;www.ccgp.gov.cn&gt;</w:t>
      </w:r>
      <w:r>
        <w:rPr>
          <w:rFonts w:hint="eastAsia" w:ascii="宋体" w:hAnsi="宋体"/>
          <w:color w:val="auto"/>
          <w:sz w:val="24"/>
          <w:szCs w:val="24"/>
        </w:rPr>
        <w:t>网站的“政府采购严重违法失信行为记录名单”</w:t>
      </w:r>
      <w:r>
        <w:rPr>
          <w:rFonts w:ascii="宋体" w:hAnsi="宋体"/>
          <w:color w:val="auto"/>
          <w:sz w:val="24"/>
          <w:szCs w:val="24"/>
        </w:rPr>
        <w:t>)</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供应商递交投标文件后，采购人或者采购代理机构将按以上信用信息查询渠道在解密投标文件之前对参加本项目的投标人信用记录进行查询，投标人有上述任一不良信用记录的，其</w:t>
      </w:r>
      <w:r>
        <w:rPr>
          <w:rFonts w:ascii="宋体" w:hAnsi="宋体"/>
          <w:color w:val="auto"/>
          <w:sz w:val="24"/>
          <w:szCs w:val="24"/>
        </w:rPr>
        <w:t>投标将被</w:t>
      </w:r>
      <w:r>
        <w:rPr>
          <w:rFonts w:hint="eastAsia" w:ascii="宋体" w:hAnsi="宋体"/>
          <w:color w:val="auto"/>
          <w:sz w:val="24"/>
          <w:szCs w:val="24"/>
        </w:rPr>
        <w:t>拒</w:t>
      </w:r>
      <w:r>
        <w:rPr>
          <w:rFonts w:ascii="宋体" w:hAnsi="宋体"/>
          <w:color w:val="auto"/>
          <w:sz w:val="24"/>
          <w:szCs w:val="24"/>
        </w:rPr>
        <w:t>绝</w:t>
      </w:r>
      <w:r>
        <w:rPr>
          <w:rFonts w:hint="eastAsia" w:ascii="宋体" w:hAnsi="宋体"/>
          <w:color w:val="auto"/>
          <w:sz w:val="24"/>
          <w:szCs w:val="24"/>
        </w:rPr>
        <w:t>、</w:t>
      </w:r>
      <w:r>
        <w:rPr>
          <w:rFonts w:ascii="宋体" w:hAnsi="宋体"/>
          <w:color w:val="auto"/>
          <w:sz w:val="24"/>
          <w:szCs w:val="24"/>
        </w:rPr>
        <w:t>为无效投</w:t>
      </w:r>
      <w:r>
        <w:rPr>
          <w:rFonts w:hint="eastAsia" w:ascii="宋体" w:hAnsi="宋体"/>
          <w:color w:val="auto"/>
          <w:sz w:val="24"/>
          <w:szCs w:val="24"/>
        </w:rPr>
        <w:t>标。查询的网页内容将以截图或者拍照作为证据留存。</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2）单位负责人为同一人或者存在直接控股、管理关系的不同供应商，不得参加本合同项下的政府采购活动。供应商自行承诺并承担后果，承诺书不实的，按《政府采购法》有关提供虚假材料的有关规定给予处罚。</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3）为本招标项目提供整体设计、规范编制或者项目管理、监理、检测等服务的供应商，不得再参加本招标项目。供应商自行承诺并承担后果，承诺书不实的，按《政府采购法》有关提供虚假材料的有关规定给予处罚。</w:t>
      </w:r>
    </w:p>
    <w:p>
      <w:pPr>
        <w:widowControl w:val="0"/>
        <w:snapToGrid w:val="0"/>
        <w:spacing w:beforeLines="50" w:line="360" w:lineRule="auto"/>
        <w:ind w:firstLine="472" w:firstLineChars="225"/>
        <w:rPr>
          <w:color w:val="auto"/>
          <w:szCs w:val="21"/>
        </w:rPr>
      </w:pPr>
    </w:p>
    <w:p>
      <w:pPr>
        <w:widowControl w:val="0"/>
        <w:snapToGrid w:val="0"/>
        <w:spacing w:line="360" w:lineRule="auto"/>
        <w:ind w:firstLine="540" w:firstLineChars="225"/>
        <w:rPr>
          <w:color w:val="auto"/>
        </w:rPr>
      </w:pPr>
      <w:r>
        <w:rPr>
          <w:rFonts w:hint="eastAsia" w:ascii="宋体" w:hAnsi="宋体"/>
          <w:color w:val="auto"/>
          <w:sz w:val="24"/>
          <w:szCs w:val="24"/>
        </w:rPr>
        <w:t>2.3</w:t>
      </w:r>
      <w:r>
        <w:rPr>
          <w:rFonts w:ascii="宋体" w:hAnsi="宋体"/>
          <w:color w:val="auto"/>
          <w:sz w:val="24"/>
          <w:szCs w:val="24"/>
        </w:rPr>
        <w:t>.</w:t>
      </w:r>
      <w:r>
        <w:rPr>
          <w:rFonts w:hint="eastAsia" w:ascii="宋体" w:hAnsi="宋体"/>
          <w:color w:val="auto"/>
          <w:sz w:val="24"/>
          <w:szCs w:val="24"/>
        </w:rPr>
        <w:t>3项目的特定资格要求：</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（1）具备法律、行政法规规定的其他条件。</w:t>
      </w:r>
    </w:p>
    <w:p>
      <w:pPr>
        <w:widowControl w:val="0"/>
        <w:snapToGrid w:val="0"/>
        <w:spacing w:beforeLines="50" w:line="360" w:lineRule="auto"/>
        <w:ind w:firstLine="540" w:firstLineChars="225"/>
        <w:rPr>
          <w:rFonts w:ascii="宋体" w:hAnsi="宋体"/>
          <w:color w:val="auto"/>
          <w:sz w:val="24"/>
          <w:szCs w:val="24"/>
        </w:rPr>
      </w:pPr>
      <w:r>
        <w:rPr>
          <w:rFonts w:hint="eastAsia" w:ascii="宋体" w:hAnsi="宋体"/>
          <w:color w:val="auto"/>
          <w:sz w:val="24"/>
          <w:szCs w:val="24"/>
        </w:rPr>
        <w:t>（2）本项目（是/否）接受联合体投标：同“项目基本情况”1.7款要求</w:t>
      </w:r>
    </w:p>
    <w:p>
      <w:pPr>
        <w:widowControl w:val="0"/>
        <w:adjustRightInd w:val="0"/>
        <w:spacing w:beforeLines="50" w:line="300" w:lineRule="auto"/>
        <w:ind w:firstLine="540" w:firstLineChars="225"/>
        <w:rPr>
          <w:color w:val="auto"/>
          <w:sz w:val="24"/>
          <w:szCs w:val="24"/>
        </w:rPr>
      </w:pPr>
      <w:r>
        <w:rPr>
          <w:rFonts w:hint="eastAsia"/>
          <w:color w:val="auto"/>
          <w:sz w:val="24"/>
          <w:szCs w:val="24"/>
        </w:rPr>
        <w:t>注：（1）所有证照均应为有效的证照；文中“近”、“前”指距投标截止时间。</w:t>
      </w:r>
    </w:p>
    <w:p>
      <w:pPr>
        <w:widowControl w:val="0"/>
        <w:adjustRightInd w:val="0"/>
        <w:spacing w:beforeLines="50" w:line="300" w:lineRule="auto"/>
        <w:ind w:firstLine="540" w:firstLineChars="225"/>
        <w:rPr>
          <w:color w:val="auto"/>
          <w:sz w:val="24"/>
          <w:szCs w:val="24"/>
        </w:rPr>
      </w:pPr>
      <w:r>
        <w:rPr>
          <w:rFonts w:hint="eastAsia"/>
          <w:color w:val="auto"/>
          <w:sz w:val="24"/>
          <w:szCs w:val="24"/>
        </w:rPr>
        <w:t>（2）资格证明材料（文件）应附于投标文件中并经投</w:t>
      </w:r>
      <w:r>
        <w:rPr>
          <w:color w:val="auto"/>
          <w:sz w:val="24"/>
          <w:szCs w:val="24"/>
        </w:rPr>
        <w:t>标人</w:t>
      </w:r>
      <w:r>
        <w:rPr>
          <w:rFonts w:hint="eastAsia" w:ascii="宋体" w:hAnsi="宋体" w:cs="楷体_GB2312"/>
          <w:color w:val="auto"/>
          <w:sz w:val="24"/>
        </w:rPr>
        <w:t>电子签章</w:t>
      </w:r>
      <w:r>
        <w:rPr>
          <w:rFonts w:hint="eastAsia"/>
          <w:color w:val="auto"/>
          <w:sz w:val="24"/>
          <w:szCs w:val="24"/>
        </w:rPr>
        <w:t>。投标人对资格证明文件真实性有效合规承担责任，提供虚假材料的为无效投标并将进一步追究其责任。</w:t>
      </w:r>
    </w:p>
    <w:p>
      <w:pPr>
        <w:pStyle w:val="16"/>
        <w:shd w:val="clear" w:color="auto" w:fill="FFFFFF"/>
        <w:adjustRightInd w:val="0"/>
        <w:spacing w:before="50" w:beforeAutospacing="0" w:after="0" w:afterAutospacing="0" w:line="300" w:lineRule="auto"/>
        <w:ind w:firstLine="540" w:firstLineChars="225"/>
        <w:rPr>
          <w:color w:val="auto"/>
        </w:rPr>
      </w:pPr>
      <w:r>
        <w:rPr>
          <w:rFonts w:hint="eastAsia"/>
          <w:color w:val="auto"/>
        </w:rPr>
        <w:t>（3）</w:t>
      </w:r>
      <w:r>
        <w:rPr>
          <w:color w:val="auto"/>
        </w:rPr>
        <w:t xml:space="preserve"> </w:t>
      </w:r>
      <w:r>
        <w:rPr>
          <w:rFonts w:hint="eastAsia"/>
          <w:color w:val="auto"/>
        </w:rPr>
        <w:t>本项目采取资格后审，开标后，将由采购人或者采购代理机构对投标人的资格证明材料（文件）等进行资格审核，未按要求逐一提供、或资格审查不合格的为无效投标，投标人应自负其风险费用。</w:t>
      </w:r>
    </w:p>
    <w:p>
      <w:pPr>
        <w:pStyle w:val="16"/>
        <w:shd w:val="clear" w:color="auto" w:fill="FFFFFF"/>
        <w:adjustRightInd w:val="0"/>
        <w:spacing w:before="50" w:beforeAutospacing="0" w:after="0" w:afterAutospacing="0" w:line="300" w:lineRule="auto"/>
        <w:rPr>
          <w:b/>
          <w:color w:val="auto"/>
        </w:rPr>
      </w:pPr>
    </w:p>
    <w:p>
      <w:pPr>
        <w:widowControl w:val="0"/>
        <w:snapToGrid w:val="0"/>
        <w:spacing w:line="360" w:lineRule="auto"/>
        <w:ind w:firstLine="562" w:firstLineChars="200"/>
        <w:rPr>
          <w:rFonts w:ascii="黑体" w:hAnsi="黑体" w:eastAsia="黑体"/>
          <w:b/>
          <w:color w:val="auto"/>
          <w:sz w:val="28"/>
          <w:szCs w:val="28"/>
        </w:rPr>
      </w:pPr>
      <w:bookmarkStart w:id="1" w:name="_Toc35393792"/>
      <w:bookmarkStart w:id="2" w:name="_Toc35393623"/>
      <w:r>
        <w:rPr>
          <w:rFonts w:hint="eastAsia" w:ascii="黑体" w:hAnsi="黑体" w:eastAsia="黑体"/>
          <w:b/>
          <w:color w:val="auto"/>
          <w:sz w:val="28"/>
          <w:szCs w:val="28"/>
        </w:rPr>
        <w:t>3.获取招标文件</w:t>
      </w:r>
      <w:bookmarkEnd w:id="1"/>
      <w:bookmarkEnd w:id="2"/>
    </w:p>
    <w:p>
      <w:pPr>
        <w:snapToGrid w:val="0"/>
        <w:spacing w:line="360" w:lineRule="auto"/>
        <w:ind w:firstLine="540" w:firstLineChars="225"/>
        <w:jc w:val="left"/>
        <w:rPr>
          <w:b/>
          <w:bCs/>
          <w:color w:val="auto"/>
          <w:sz w:val="24"/>
          <w:szCs w:val="24"/>
        </w:rPr>
      </w:pPr>
      <w:r>
        <w:rPr>
          <w:rFonts w:hint="eastAsia" w:ascii="宋体" w:hAnsi="宋体"/>
          <w:color w:val="auto"/>
          <w:sz w:val="24"/>
          <w:szCs w:val="24"/>
        </w:rPr>
        <w:t>3.1</w:t>
      </w:r>
      <w:r>
        <w:rPr>
          <w:rFonts w:hint="eastAsia"/>
          <w:color w:val="auto"/>
          <w:sz w:val="24"/>
          <w:szCs w:val="24"/>
        </w:rPr>
        <w:t>时间：</w:t>
      </w:r>
      <w:r>
        <w:rPr>
          <w:rFonts w:hint="eastAsia"/>
          <w:color w:val="auto"/>
          <w:sz w:val="24"/>
          <w:szCs w:val="24"/>
          <w:u w:val="single"/>
        </w:rPr>
        <w:t>2022</w:t>
      </w:r>
      <w:r>
        <w:rPr>
          <w:rFonts w:hint="eastAsia"/>
          <w:color w:val="auto"/>
          <w:sz w:val="24"/>
          <w:szCs w:val="24"/>
        </w:rPr>
        <w:t>年</w:t>
      </w:r>
      <w:r>
        <w:rPr>
          <w:rFonts w:hint="eastAsia"/>
          <w:color w:val="auto"/>
          <w:sz w:val="24"/>
          <w:szCs w:val="24"/>
          <w:u w:val="single"/>
        </w:rPr>
        <w:t>9</w:t>
      </w:r>
      <w:r>
        <w:rPr>
          <w:rFonts w:hint="eastAsia"/>
          <w:color w:val="auto"/>
          <w:sz w:val="24"/>
          <w:szCs w:val="24"/>
        </w:rPr>
        <w:t>月</w:t>
      </w:r>
      <w:r>
        <w:rPr>
          <w:rFonts w:hint="eastAsia"/>
          <w:color w:val="auto"/>
          <w:sz w:val="24"/>
          <w:szCs w:val="24"/>
          <w:u w:val="single"/>
        </w:rPr>
        <w:t>24</w:t>
      </w:r>
      <w:r>
        <w:rPr>
          <w:rFonts w:hint="eastAsia"/>
          <w:color w:val="auto"/>
          <w:sz w:val="24"/>
          <w:szCs w:val="24"/>
        </w:rPr>
        <w:t>日至</w:t>
      </w:r>
      <w:r>
        <w:rPr>
          <w:rFonts w:hint="eastAsia"/>
          <w:color w:val="auto"/>
          <w:sz w:val="24"/>
          <w:szCs w:val="24"/>
          <w:u w:val="single"/>
        </w:rPr>
        <w:t>2022</w:t>
      </w:r>
      <w:r>
        <w:rPr>
          <w:rFonts w:hint="eastAsia"/>
          <w:color w:val="auto"/>
          <w:sz w:val="24"/>
          <w:szCs w:val="24"/>
        </w:rPr>
        <w:t>年</w:t>
      </w:r>
      <w:r>
        <w:rPr>
          <w:rFonts w:hint="eastAsia"/>
          <w:color w:val="auto"/>
          <w:sz w:val="24"/>
          <w:szCs w:val="24"/>
          <w:u w:val="single"/>
        </w:rPr>
        <w:t>9</w:t>
      </w:r>
      <w:r>
        <w:rPr>
          <w:rFonts w:hint="eastAsia"/>
          <w:color w:val="auto"/>
          <w:sz w:val="24"/>
          <w:szCs w:val="24"/>
        </w:rPr>
        <w:t>月</w:t>
      </w:r>
      <w:r>
        <w:rPr>
          <w:rFonts w:hint="eastAsia"/>
          <w:color w:val="auto"/>
          <w:sz w:val="24"/>
          <w:szCs w:val="24"/>
          <w:u w:val="single"/>
        </w:rPr>
        <w:t>30</w:t>
      </w:r>
      <w:r>
        <w:rPr>
          <w:rFonts w:hint="eastAsia"/>
          <w:color w:val="auto"/>
          <w:sz w:val="24"/>
          <w:szCs w:val="24"/>
        </w:rPr>
        <w:t>日，每天上午</w:t>
      </w:r>
      <w:r>
        <w:rPr>
          <w:rFonts w:hint="eastAsia"/>
          <w:color w:val="auto"/>
          <w:sz w:val="24"/>
          <w:szCs w:val="24"/>
          <w:u w:val="single"/>
        </w:rPr>
        <w:t>00:00</w:t>
      </w:r>
      <w:r>
        <w:rPr>
          <w:rFonts w:hint="eastAsia"/>
          <w:color w:val="auto"/>
          <w:sz w:val="24"/>
          <w:szCs w:val="24"/>
        </w:rPr>
        <w:t>至</w:t>
      </w:r>
      <w:r>
        <w:rPr>
          <w:rFonts w:hint="eastAsia"/>
          <w:color w:val="auto"/>
          <w:sz w:val="24"/>
          <w:szCs w:val="24"/>
          <w:u w:val="single"/>
        </w:rPr>
        <w:t>12:00</w:t>
      </w:r>
      <w:r>
        <w:rPr>
          <w:rFonts w:hint="eastAsia"/>
          <w:color w:val="auto"/>
          <w:sz w:val="24"/>
          <w:szCs w:val="24"/>
        </w:rPr>
        <w:t>，下午</w:t>
      </w:r>
      <w:r>
        <w:rPr>
          <w:rFonts w:hint="eastAsia"/>
          <w:color w:val="auto"/>
          <w:sz w:val="24"/>
          <w:szCs w:val="24"/>
          <w:u w:val="single"/>
        </w:rPr>
        <w:t>12:00</w:t>
      </w:r>
      <w:r>
        <w:rPr>
          <w:rFonts w:hint="eastAsia"/>
          <w:color w:val="auto"/>
          <w:sz w:val="24"/>
          <w:szCs w:val="24"/>
        </w:rPr>
        <w:t>至</w:t>
      </w:r>
      <w:r>
        <w:rPr>
          <w:rFonts w:hint="eastAsia"/>
          <w:color w:val="auto"/>
          <w:sz w:val="24"/>
          <w:szCs w:val="24"/>
          <w:u w:val="single"/>
        </w:rPr>
        <w:t>23:59</w:t>
      </w:r>
      <w:r>
        <w:rPr>
          <w:rFonts w:hint="eastAsia"/>
          <w:color w:val="auto"/>
          <w:sz w:val="24"/>
          <w:szCs w:val="24"/>
        </w:rPr>
        <w:t>（北京时间，</w:t>
      </w:r>
      <w:r>
        <w:rPr>
          <w:color w:val="auto"/>
          <w:sz w:val="24"/>
          <w:szCs w:val="24"/>
        </w:rPr>
        <w:t>法定节假日</w:t>
      </w:r>
      <w:r>
        <w:rPr>
          <w:rFonts w:hint="eastAsia"/>
          <w:color w:val="auto"/>
          <w:sz w:val="24"/>
          <w:szCs w:val="24"/>
        </w:rPr>
        <w:t>除外）</w:t>
      </w:r>
    </w:p>
    <w:p>
      <w:pPr>
        <w:widowControl w:val="0"/>
        <w:snapToGrid w:val="0"/>
        <w:spacing w:line="360" w:lineRule="auto"/>
        <w:ind w:left="55" w:leftChars="26" w:firstLine="540" w:firstLineChars="225"/>
        <w:rPr>
          <w:rFonts w:ascii="宋体" w:hAnsi="宋体"/>
          <w:b/>
          <w:color w:val="auto"/>
          <w:sz w:val="24"/>
          <w:szCs w:val="24"/>
        </w:rPr>
      </w:pPr>
      <w:r>
        <w:rPr>
          <w:rFonts w:hint="eastAsia" w:ascii="宋体" w:hAnsi="宋体"/>
          <w:color w:val="auto"/>
          <w:sz w:val="24"/>
          <w:szCs w:val="24"/>
        </w:rPr>
        <w:t>3.2地点</w:t>
      </w:r>
      <w:r>
        <w:rPr>
          <w:rFonts w:hint="eastAsia"/>
          <w:color w:val="auto"/>
          <w:sz w:val="24"/>
          <w:szCs w:val="24"/>
        </w:rPr>
        <w:t>：</w:t>
      </w:r>
      <w:r>
        <w:rPr>
          <w:rFonts w:hint="eastAsia"/>
          <w:b/>
          <w:bCs/>
          <w:color w:val="auto"/>
          <w:sz w:val="24"/>
          <w:szCs w:val="24"/>
        </w:rPr>
        <w:t>登陆安阳市公共资源交易中心网站（</w:t>
      </w:r>
      <w:r>
        <w:rPr>
          <w:b/>
          <w:bCs/>
          <w:color w:val="auto"/>
          <w:sz w:val="24"/>
          <w:szCs w:val="24"/>
        </w:rPr>
        <w:t>http://ggzy.anyang.gov.cn/</w:t>
      </w:r>
      <w:r>
        <w:rPr>
          <w:rFonts w:hint="eastAsia"/>
          <w:b/>
          <w:bCs/>
          <w:color w:val="auto"/>
          <w:sz w:val="24"/>
          <w:szCs w:val="24"/>
        </w:rPr>
        <w:t>），完成用户注册后、</w:t>
      </w:r>
      <w:r>
        <w:rPr>
          <w:rFonts w:hint="eastAsia" w:ascii="宋体" w:hAnsi="宋体"/>
          <w:b/>
          <w:color w:val="auto"/>
          <w:sz w:val="24"/>
          <w:szCs w:val="24"/>
        </w:rPr>
        <w:t>凭企业数字证书点击“投标用户入口”登录“政府采购”系统，获取电子版招标文件及其它资料。</w:t>
      </w:r>
    </w:p>
    <w:p>
      <w:pPr>
        <w:spacing w:line="360" w:lineRule="auto"/>
        <w:ind w:firstLine="540"/>
        <w:rPr>
          <w:rFonts w:ascii="仿宋" w:hAnsi="仿宋" w:eastAsia="仿宋" w:cs="宋体"/>
          <w:color w:val="auto"/>
          <w:sz w:val="28"/>
          <w:szCs w:val="28"/>
          <w:u w:val="single"/>
        </w:rPr>
      </w:pPr>
      <w:r>
        <w:rPr>
          <w:rFonts w:hint="eastAsia" w:ascii="宋体" w:hAnsi="宋体"/>
          <w:color w:val="auto"/>
          <w:sz w:val="24"/>
          <w:szCs w:val="24"/>
        </w:rPr>
        <w:t>3.3方式：</w:t>
      </w:r>
      <w:r>
        <w:rPr>
          <w:rFonts w:hint="eastAsia"/>
          <w:b/>
          <w:bCs/>
          <w:color w:val="auto"/>
          <w:sz w:val="24"/>
          <w:szCs w:val="24"/>
        </w:rPr>
        <w:t>网上</w:t>
      </w:r>
      <w:r>
        <w:rPr>
          <w:b/>
          <w:bCs/>
          <w:color w:val="auto"/>
          <w:sz w:val="24"/>
          <w:szCs w:val="24"/>
        </w:rPr>
        <w:t>下载</w:t>
      </w:r>
      <w:r>
        <w:rPr>
          <w:rFonts w:hint="eastAsia"/>
          <w:b/>
          <w:bCs/>
          <w:color w:val="auto"/>
          <w:sz w:val="24"/>
          <w:szCs w:val="24"/>
        </w:rPr>
        <w:t>；</w:t>
      </w:r>
    </w:p>
    <w:p>
      <w:pPr>
        <w:spacing w:line="360" w:lineRule="auto"/>
        <w:ind w:firstLine="540"/>
        <w:rPr>
          <w:rFonts w:ascii="宋体" w:hAnsi="宋体" w:cs="宋体"/>
          <w:color w:val="auto"/>
          <w:sz w:val="24"/>
          <w:szCs w:val="24"/>
        </w:rPr>
      </w:pPr>
      <w:r>
        <w:rPr>
          <w:rFonts w:hint="eastAsia" w:ascii="宋体" w:hAnsi="宋体"/>
          <w:color w:val="auto"/>
          <w:sz w:val="24"/>
          <w:szCs w:val="24"/>
        </w:rPr>
        <w:t>3.4售价：</w:t>
      </w:r>
      <w:r>
        <w:rPr>
          <w:rFonts w:hint="eastAsia" w:ascii="宋体" w:hAnsi="宋体" w:cs="宋体"/>
          <w:color w:val="auto"/>
          <w:sz w:val="24"/>
          <w:szCs w:val="24"/>
        </w:rPr>
        <w:t>0元</w:t>
      </w:r>
    </w:p>
    <w:p>
      <w:pPr>
        <w:pStyle w:val="16"/>
        <w:shd w:val="clear" w:color="auto" w:fill="FFFFFF"/>
        <w:adjustRightInd w:val="0"/>
        <w:spacing w:before="50" w:beforeAutospacing="0" w:after="0" w:afterAutospacing="0" w:line="300" w:lineRule="auto"/>
        <w:ind w:firstLine="540" w:firstLineChars="225"/>
        <w:rPr>
          <w:rFonts w:cs="Times New Roman"/>
          <w:color w:val="auto"/>
        </w:rPr>
      </w:pPr>
    </w:p>
    <w:p>
      <w:pPr>
        <w:widowControl w:val="0"/>
        <w:snapToGrid w:val="0"/>
        <w:spacing w:line="360" w:lineRule="auto"/>
        <w:ind w:firstLine="562" w:firstLineChars="200"/>
        <w:rPr>
          <w:rFonts w:ascii="黑体" w:hAnsi="黑体" w:eastAsia="黑体"/>
          <w:b/>
          <w:color w:val="auto"/>
          <w:sz w:val="28"/>
          <w:szCs w:val="28"/>
        </w:rPr>
      </w:pPr>
      <w:bookmarkStart w:id="3" w:name="_Toc28359082"/>
      <w:bookmarkStart w:id="4" w:name="_Toc28359005"/>
      <w:bookmarkStart w:id="5" w:name="_Toc35393624"/>
      <w:bookmarkStart w:id="6" w:name="_Toc35393793"/>
      <w:r>
        <w:rPr>
          <w:rFonts w:hint="eastAsia" w:ascii="黑体" w:hAnsi="黑体" w:eastAsia="黑体"/>
          <w:b/>
          <w:color w:val="auto"/>
          <w:sz w:val="28"/>
          <w:szCs w:val="28"/>
        </w:rPr>
        <w:t>4.提交投标文件</w:t>
      </w:r>
      <w:bookmarkEnd w:id="3"/>
      <w:bookmarkEnd w:id="4"/>
      <w:r>
        <w:rPr>
          <w:rFonts w:hint="eastAsia" w:ascii="黑体" w:hAnsi="黑体" w:eastAsia="黑体"/>
          <w:b/>
          <w:color w:val="auto"/>
          <w:sz w:val="28"/>
          <w:szCs w:val="28"/>
        </w:rPr>
        <w:t>截止时间</w:t>
      </w:r>
      <w:bookmarkEnd w:id="5"/>
      <w:bookmarkEnd w:id="6"/>
      <w:r>
        <w:rPr>
          <w:rFonts w:hint="eastAsia" w:ascii="黑体" w:hAnsi="黑体" w:eastAsia="黑体"/>
          <w:b/>
          <w:color w:val="auto"/>
          <w:sz w:val="28"/>
          <w:szCs w:val="28"/>
        </w:rPr>
        <w:t>（投标截止时间及地点）</w:t>
      </w:r>
    </w:p>
    <w:p>
      <w:pPr>
        <w:widowControl w:val="0"/>
        <w:adjustRightInd w:val="0"/>
        <w:spacing w:beforeLines="50" w:line="300" w:lineRule="auto"/>
        <w:ind w:firstLine="540" w:firstLineChars="225"/>
        <w:rPr>
          <w:rFonts w:ascii="宋体" w:hAnsi="宋体"/>
          <w:color w:val="auto"/>
          <w:sz w:val="24"/>
          <w:szCs w:val="24"/>
        </w:rPr>
      </w:pPr>
      <w:r>
        <w:rPr>
          <w:rFonts w:hint="eastAsia" w:ascii="宋体" w:hAnsi="宋体"/>
          <w:color w:val="auto"/>
          <w:sz w:val="24"/>
          <w:szCs w:val="24"/>
        </w:rPr>
        <w:t>4.1时间：2022年10月14日09时00分（北京时间）</w:t>
      </w:r>
    </w:p>
    <w:p>
      <w:pPr>
        <w:widowControl w:val="0"/>
        <w:adjustRightInd w:val="0"/>
        <w:spacing w:beforeLines="50" w:line="300" w:lineRule="auto"/>
        <w:ind w:firstLine="540" w:firstLineChars="225"/>
        <w:rPr>
          <w:rFonts w:ascii="宋体" w:hAnsi="宋体"/>
          <w:color w:val="auto"/>
          <w:sz w:val="24"/>
          <w:szCs w:val="24"/>
        </w:rPr>
      </w:pPr>
      <w:r>
        <w:rPr>
          <w:rFonts w:hint="eastAsia" w:ascii="宋体" w:hAnsi="宋体"/>
          <w:color w:val="auto"/>
          <w:sz w:val="24"/>
          <w:szCs w:val="24"/>
        </w:rPr>
        <w:t>4. 2地点：于安阳市公共资源交易平台网上上传递交、并由投标人在规定时间远程解密。</w:t>
      </w:r>
    </w:p>
    <w:p>
      <w:pPr>
        <w:widowControl w:val="0"/>
        <w:adjustRightInd w:val="0"/>
        <w:spacing w:beforeLines="50" w:line="300" w:lineRule="auto"/>
        <w:ind w:firstLine="632" w:firstLineChars="225"/>
        <w:rPr>
          <w:color w:val="auto"/>
          <w:sz w:val="24"/>
          <w:szCs w:val="24"/>
        </w:rPr>
      </w:pPr>
      <w:r>
        <w:rPr>
          <w:rFonts w:hint="eastAsia" w:ascii="黑体" w:hAnsi="黑体" w:eastAsia="黑体"/>
          <w:b/>
          <w:color w:val="auto"/>
          <w:sz w:val="28"/>
          <w:szCs w:val="28"/>
        </w:rPr>
        <w:t>5.开标时间和地点</w:t>
      </w:r>
    </w:p>
    <w:p>
      <w:pPr>
        <w:widowControl w:val="0"/>
        <w:adjustRightInd w:val="0"/>
        <w:spacing w:beforeLines="50" w:line="300" w:lineRule="auto"/>
        <w:ind w:firstLine="540" w:firstLineChars="225"/>
        <w:rPr>
          <w:rFonts w:ascii="宋体" w:hAnsi="宋体"/>
          <w:color w:val="auto"/>
          <w:sz w:val="24"/>
          <w:szCs w:val="24"/>
        </w:rPr>
      </w:pPr>
      <w:r>
        <w:rPr>
          <w:rFonts w:hint="eastAsia" w:ascii="宋体" w:hAnsi="宋体"/>
          <w:color w:val="auto"/>
          <w:sz w:val="24"/>
          <w:szCs w:val="24"/>
        </w:rPr>
        <w:t>5.1时间：2022年10月14日09时00分（北京时间）</w:t>
      </w:r>
    </w:p>
    <w:p>
      <w:pPr>
        <w:widowControl w:val="0"/>
        <w:adjustRightInd w:val="0"/>
        <w:spacing w:beforeLines="50" w:line="300" w:lineRule="auto"/>
        <w:ind w:firstLine="540" w:firstLineChars="225"/>
        <w:rPr>
          <w:color w:val="auto"/>
          <w:sz w:val="24"/>
          <w:szCs w:val="24"/>
        </w:rPr>
      </w:pPr>
      <w:r>
        <w:rPr>
          <w:rFonts w:hint="eastAsia" w:ascii="宋体" w:hAnsi="宋体"/>
          <w:color w:val="auto"/>
          <w:sz w:val="24"/>
          <w:szCs w:val="24"/>
        </w:rPr>
        <w:t>5.2地点（</w:t>
      </w:r>
      <w:r>
        <w:rPr>
          <w:rFonts w:hint="eastAsia"/>
          <w:color w:val="auto"/>
          <w:sz w:val="24"/>
          <w:szCs w:val="24"/>
        </w:rPr>
        <w:t>管理员网上操作地点）：安阳市公共资源交易中心五楼集中开标大厅1室（安阳市文峰大道东段559号安阳市民之家）。</w:t>
      </w:r>
    </w:p>
    <w:p>
      <w:pPr>
        <w:widowControl w:val="0"/>
        <w:snapToGrid w:val="0"/>
        <w:spacing w:line="360" w:lineRule="auto"/>
        <w:ind w:firstLine="480" w:firstLineChars="200"/>
        <w:rPr>
          <w:color w:val="auto"/>
          <w:sz w:val="24"/>
          <w:szCs w:val="24"/>
        </w:rPr>
      </w:pPr>
    </w:p>
    <w:p>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6.发布公告的媒介及招标公告期限</w:t>
      </w:r>
    </w:p>
    <w:p>
      <w:pPr>
        <w:widowControl w:val="0"/>
        <w:tabs>
          <w:tab w:val="left" w:pos="39"/>
          <w:tab w:val="left" w:pos="96"/>
        </w:tabs>
        <w:snapToGrid w:val="0"/>
        <w:spacing w:line="360" w:lineRule="auto"/>
        <w:ind w:firstLine="566" w:firstLineChars="236"/>
        <w:rPr>
          <w:rFonts w:ascii="宋体" w:hAnsi="宋体"/>
          <w:color w:val="auto"/>
          <w:sz w:val="24"/>
          <w:szCs w:val="24"/>
        </w:rPr>
      </w:pPr>
      <w:r>
        <w:rPr>
          <w:rFonts w:hint="eastAsia" w:ascii="宋体" w:hAnsi="宋体"/>
          <w:color w:val="auto"/>
          <w:sz w:val="24"/>
          <w:szCs w:val="24"/>
        </w:rPr>
        <w:t>本项目在“河南省政府采购网（安阳市政府采购网）</w:t>
      </w:r>
      <w:r>
        <w:rPr>
          <w:color w:val="auto"/>
          <w:sz w:val="24"/>
          <w:szCs w:val="24"/>
        </w:rPr>
        <w:t>www.hngp.gov.cn</w:t>
      </w:r>
      <w:r>
        <w:rPr>
          <w:rFonts w:hint="eastAsia" w:ascii="宋体" w:hAnsi="宋体"/>
          <w:color w:val="auto"/>
          <w:sz w:val="24"/>
          <w:szCs w:val="24"/>
        </w:rPr>
        <w:t>”、“安阳市公共资源交易中心网</w:t>
      </w:r>
      <w:r>
        <w:rPr>
          <w:color w:val="auto"/>
        </w:rPr>
        <w:t>http://ggzy.anyang.gov.cn/</w:t>
      </w:r>
      <w:r>
        <w:rPr>
          <w:rFonts w:hint="eastAsia" w:ascii="宋体" w:hAnsi="宋体"/>
          <w:color w:val="auto"/>
          <w:sz w:val="24"/>
          <w:szCs w:val="24"/>
        </w:rPr>
        <w:t>”</w:t>
      </w:r>
      <w:r>
        <w:rPr>
          <w:rFonts w:hint="eastAsia" w:ascii="宋体" w:hAnsi="宋体" w:cs="宋体"/>
          <w:color w:val="auto"/>
          <w:sz w:val="24"/>
          <w:szCs w:val="24"/>
        </w:rPr>
        <w:t>、</w:t>
      </w:r>
      <w:r>
        <w:rPr>
          <w:rFonts w:hint="eastAsia" w:ascii="宋体" w:hAnsi="宋体"/>
          <w:color w:val="auto"/>
          <w:sz w:val="24"/>
          <w:szCs w:val="24"/>
        </w:rPr>
        <w:t>“安阳招标采购网</w:t>
      </w:r>
      <w:r>
        <w:rPr>
          <w:color w:val="auto"/>
          <w:sz w:val="24"/>
          <w:szCs w:val="24"/>
        </w:rPr>
        <w:t>http://www.ayzbcg.com</w:t>
      </w:r>
      <w:r>
        <w:rPr>
          <w:rFonts w:hint="eastAsia" w:ascii="宋体" w:hAnsi="宋体"/>
          <w:color w:val="auto"/>
          <w:sz w:val="24"/>
          <w:szCs w:val="24"/>
        </w:rPr>
        <w:t>”网站上同期发布。</w:t>
      </w:r>
      <w:r>
        <w:rPr>
          <w:rFonts w:hint="eastAsia" w:ascii="宋体" w:hAnsi="宋体" w:cs="宋体"/>
          <w:color w:val="auto"/>
          <w:sz w:val="24"/>
          <w:szCs w:val="24"/>
        </w:rPr>
        <w:t>招标公告期限为五个工作日。</w:t>
      </w:r>
    </w:p>
    <w:p>
      <w:pPr>
        <w:tabs>
          <w:tab w:val="left" w:pos="39"/>
          <w:tab w:val="left" w:pos="96"/>
        </w:tabs>
        <w:snapToGrid w:val="0"/>
        <w:spacing w:line="360" w:lineRule="auto"/>
        <w:ind w:firstLine="566" w:firstLineChars="236"/>
        <w:rPr>
          <w:rFonts w:ascii="宋体" w:hAnsi="宋体"/>
          <w:color w:val="auto"/>
          <w:kern w:val="2"/>
          <w:sz w:val="24"/>
          <w:szCs w:val="24"/>
        </w:rPr>
      </w:pPr>
    </w:p>
    <w:p>
      <w:pPr>
        <w:widowControl w:val="0"/>
        <w:snapToGrid w:val="0"/>
        <w:spacing w:line="360" w:lineRule="auto"/>
        <w:ind w:firstLine="562" w:firstLineChars="200"/>
        <w:rPr>
          <w:rFonts w:ascii="黑体" w:hAnsi="黑体" w:eastAsia="黑体"/>
          <w:b/>
          <w:color w:val="auto"/>
          <w:sz w:val="28"/>
          <w:szCs w:val="28"/>
        </w:rPr>
      </w:pPr>
      <w:bookmarkStart w:id="7" w:name="_Toc35393626"/>
      <w:bookmarkStart w:id="8" w:name="_Toc35393795"/>
      <w:r>
        <w:rPr>
          <w:rFonts w:hint="eastAsia" w:ascii="黑体" w:hAnsi="黑体" w:eastAsia="黑体"/>
          <w:b/>
          <w:color w:val="auto"/>
          <w:sz w:val="28"/>
          <w:szCs w:val="28"/>
        </w:rPr>
        <w:t>7.其他补充事宜</w:t>
      </w:r>
      <w:bookmarkEnd w:id="7"/>
      <w:bookmarkEnd w:id="8"/>
    </w:p>
    <w:p>
      <w:pPr>
        <w:widowControl w:val="0"/>
        <w:snapToGrid w:val="0"/>
        <w:spacing w:line="360" w:lineRule="auto"/>
        <w:ind w:firstLine="540" w:firstLineChars="225"/>
        <w:jc w:val="left"/>
        <w:rPr>
          <w:color w:val="auto"/>
          <w:sz w:val="24"/>
          <w:szCs w:val="24"/>
        </w:rPr>
      </w:pPr>
      <w:r>
        <w:rPr>
          <w:rFonts w:hint="eastAsia" w:ascii="宋体" w:hAnsi="宋体"/>
          <w:color w:val="auto"/>
          <w:sz w:val="24"/>
          <w:szCs w:val="24"/>
        </w:rPr>
        <w:t>7.1项目落实的政府采购政策：</w:t>
      </w:r>
      <w:r>
        <w:rPr>
          <w:rFonts w:hint="eastAsia"/>
          <w:color w:val="auto"/>
          <w:sz w:val="24"/>
          <w:szCs w:val="24"/>
        </w:rPr>
        <w:t>强制节能产品强制采购、节能产品、环境标志产品及贫困地区产品优先采购、促进中小企业发展扶持政策、进口产品政策、信息安全产品、社会信用体系建设、促进残疾人就业、支持监狱企业发展等。</w:t>
      </w:r>
    </w:p>
    <w:p>
      <w:pPr>
        <w:widowControl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7.2政府采购合同融资</w:t>
      </w:r>
    </w:p>
    <w:p>
      <w:pPr>
        <w:widowControl w:val="0"/>
        <w:adjustRightInd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根据豫财购〔2017〕10号和安财购〔2017〕7号文要求，参加政府采购项目的中小微企业供应商，持中标（成交）通知书可向金融机构申请合同融资，详情请登录安阳市政府采购网（http://anyang.hngp.gov.cn/anyang），进入网站飘窗或业务指南窗口了解金融机构提供的融资服务内容。</w:t>
      </w:r>
    </w:p>
    <w:p>
      <w:pPr>
        <w:pStyle w:val="16"/>
        <w:shd w:val="clear" w:color="auto" w:fill="FFFFFF"/>
        <w:adjustRightInd w:val="0"/>
        <w:spacing w:before="50" w:beforeAutospacing="0" w:after="0" w:afterAutospacing="0" w:line="300" w:lineRule="auto"/>
        <w:ind w:firstLine="540" w:firstLineChars="225"/>
        <w:rPr>
          <w:rFonts w:cs="Times New Roman"/>
          <w:color w:val="auto"/>
        </w:rPr>
      </w:pPr>
      <w:r>
        <w:rPr>
          <w:rFonts w:hint="eastAsia"/>
          <w:color w:val="auto"/>
        </w:rPr>
        <w:t>7.3</w:t>
      </w:r>
      <w:r>
        <w:rPr>
          <w:rFonts w:hint="eastAsia" w:cs="Times New Roman"/>
          <w:color w:val="auto"/>
        </w:rPr>
        <w:t>网</w:t>
      </w:r>
      <w:r>
        <w:rPr>
          <w:rFonts w:cs="Times New Roman"/>
          <w:color w:val="auto"/>
        </w:rPr>
        <w:t>上</w:t>
      </w:r>
      <w:r>
        <w:rPr>
          <w:rFonts w:hint="eastAsia" w:cs="Times New Roman"/>
          <w:color w:val="auto"/>
        </w:rPr>
        <w:t>电子交易系</w:t>
      </w:r>
      <w:r>
        <w:rPr>
          <w:rFonts w:cs="Times New Roman"/>
          <w:color w:val="auto"/>
        </w:rPr>
        <w:t>统</w:t>
      </w:r>
      <w:r>
        <w:rPr>
          <w:rFonts w:hint="eastAsia" w:cs="Times New Roman"/>
          <w:color w:val="auto"/>
        </w:rPr>
        <w:t>网</w:t>
      </w:r>
      <w:r>
        <w:rPr>
          <w:rFonts w:cs="Times New Roman"/>
          <w:color w:val="auto"/>
        </w:rPr>
        <w:t>址</w:t>
      </w:r>
    </w:p>
    <w:p>
      <w:pPr>
        <w:widowControl w:val="0"/>
        <w:tabs>
          <w:tab w:val="left" w:pos="39"/>
          <w:tab w:val="left" w:pos="96"/>
        </w:tabs>
        <w:snapToGrid w:val="0"/>
        <w:spacing w:line="360" w:lineRule="auto"/>
        <w:ind w:firstLine="602" w:firstLineChars="250"/>
        <w:rPr>
          <w:rFonts w:ascii="宋体" w:hAnsi="宋体"/>
          <w:b/>
          <w:color w:val="auto"/>
          <w:sz w:val="24"/>
          <w:szCs w:val="24"/>
        </w:rPr>
      </w:pPr>
      <w:r>
        <w:rPr>
          <w:rFonts w:hint="eastAsia" w:ascii="宋体" w:hAnsi="宋体"/>
          <w:b/>
          <w:color w:val="auto"/>
          <w:sz w:val="24"/>
          <w:szCs w:val="24"/>
        </w:rPr>
        <w:t>7.3.1全国公共资源交易平</w:t>
      </w:r>
      <w:r>
        <w:rPr>
          <w:rFonts w:ascii="宋体" w:hAnsi="宋体"/>
          <w:b/>
          <w:color w:val="auto"/>
          <w:sz w:val="24"/>
          <w:szCs w:val="24"/>
        </w:rPr>
        <w:t>台</w:t>
      </w:r>
      <w:r>
        <w:rPr>
          <w:rFonts w:hint="eastAsia" w:ascii="宋体" w:hAnsi="宋体"/>
          <w:b/>
          <w:color w:val="auto"/>
          <w:sz w:val="24"/>
          <w:szCs w:val="24"/>
        </w:rPr>
        <w:t>（河南</w:t>
      </w:r>
      <w:r>
        <w:rPr>
          <w:rFonts w:ascii="宋体" w:hAnsi="宋体"/>
          <w:b/>
          <w:color w:val="auto"/>
          <w:sz w:val="24"/>
          <w:szCs w:val="24"/>
        </w:rPr>
        <w:t>省</w:t>
      </w:r>
      <w:r>
        <w:rPr>
          <w:rFonts w:hint="eastAsia" w:ascii="宋体" w:hAnsi="宋体"/>
          <w:b/>
          <w:color w:val="auto"/>
          <w:sz w:val="24"/>
          <w:szCs w:val="24"/>
        </w:rPr>
        <w:t>安</w:t>
      </w:r>
      <w:r>
        <w:rPr>
          <w:rFonts w:ascii="宋体" w:hAnsi="宋体"/>
          <w:b/>
          <w:color w:val="auto"/>
          <w:sz w:val="24"/>
          <w:szCs w:val="24"/>
        </w:rPr>
        <w:t>阳</w:t>
      </w:r>
      <w:r>
        <w:rPr>
          <w:rFonts w:hint="eastAsia" w:ascii="宋体" w:hAnsi="宋体"/>
          <w:b/>
          <w:color w:val="auto"/>
          <w:sz w:val="24"/>
          <w:szCs w:val="24"/>
        </w:rPr>
        <w:t>市</w:t>
      </w:r>
      <w:r>
        <w:rPr>
          <w:rFonts w:ascii="宋体" w:hAnsi="宋体"/>
          <w:b/>
          <w:color w:val="auto"/>
          <w:sz w:val="24"/>
          <w:szCs w:val="24"/>
        </w:rPr>
        <w:t>）</w:t>
      </w:r>
      <w:r>
        <w:rPr>
          <w:rFonts w:ascii="宋体" w:hAnsi="宋体"/>
          <w:b/>
          <w:bCs/>
          <w:color w:val="auto"/>
          <w:sz w:val="24"/>
          <w:szCs w:val="24"/>
        </w:rPr>
        <w:t>http://ggzy.anyang.gov.cn/</w:t>
      </w:r>
    </w:p>
    <w:p>
      <w:pPr>
        <w:widowControl w:val="0"/>
        <w:tabs>
          <w:tab w:val="left" w:pos="39"/>
          <w:tab w:val="left" w:pos="96"/>
        </w:tabs>
        <w:snapToGrid w:val="0"/>
        <w:spacing w:line="360" w:lineRule="auto"/>
        <w:ind w:firstLine="602" w:firstLineChars="250"/>
        <w:rPr>
          <w:rFonts w:ascii="宋体"/>
          <w:b/>
          <w:color w:val="auto"/>
          <w:sz w:val="24"/>
          <w:szCs w:val="24"/>
        </w:rPr>
      </w:pPr>
      <w:r>
        <w:rPr>
          <w:rFonts w:hint="eastAsia" w:ascii="宋体" w:hAnsi="宋体"/>
          <w:b/>
          <w:color w:val="auto"/>
          <w:sz w:val="24"/>
          <w:szCs w:val="24"/>
        </w:rPr>
        <w:t>招标</w:t>
      </w:r>
      <w:r>
        <w:rPr>
          <w:rFonts w:ascii="宋体" w:hAnsi="宋体"/>
          <w:b/>
          <w:color w:val="auto"/>
          <w:sz w:val="24"/>
          <w:szCs w:val="24"/>
        </w:rPr>
        <w:t>文件简称“</w:t>
      </w:r>
      <w:r>
        <w:rPr>
          <w:rFonts w:hint="eastAsia" w:ascii="宋体" w:hAnsi="宋体"/>
          <w:b/>
          <w:color w:val="auto"/>
          <w:sz w:val="24"/>
          <w:szCs w:val="24"/>
        </w:rPr>
        <w:t>安</w:t>
      </w:r>
      <w:r>
        <w:rPr>
          <w:rFonts w:ascii="宋体" w:hAnsi="宋体"/>
          <w:b/>
          <w:color w:val="auto"/>
          <w:sz w:val="24"/>
          <w:szCs w:val="24"/>
        </w:rPr>
        <w:t>阳</w:t>
      </w:r>
      <w:r>
        <w:rPr>
          <w:rFonts w:hint="eastAsia" w:ascii="宋体" w:hAnsi="宋体"/>
          <w:b/>
          <w:color w:val="auto"/>
          <w:sz w:val="24"/>
          <w:szCs w:val="24"/>
        </w:rPr>
        <w:t>市公共资源交易平</w:t>
      </w:r>
      <w:r>
        <w:rPr>
          <w:rFonts w:ascii="宋体" w:hAnsi="宋体"/>
          <w:b/>
          <w:color w:val="auto"/>
          <w:sz w:val="24"/>
          <w:szCs w:val="24"/>
        </w:rPr>
        <w:t>台”</w:t>
      </w:r>
    </w:p>
    <w:p>
      <w:pPr>
        <w:widowControl w:val="0"/>
        <w:tabs>
          <w:tab w:val="left" w:pos="39"/>
          <w:tab w:val="left" w:pos="96"/>
        </w:tabs>
        <w:snapToGrid w:val="0"/>
        <w:spacing w:line="360" w:lineRule="auto"/>
        <w:ind w:firstLine="602" w:firstLineChars="250"/>
        <w:rPr>
          <w:rFonts w:ascii="宋体"/>
          <w:b/>
          <w:color w:val="auto"/>
          <w:sz w:val="24"/>
          <w:szCs w:val="24"/>
        </w:rPr>
      </w:pPr>
      <w:r>
        <w:rPr>
          <w:rFonts w:hint="eastAsia" w:ascii="宋体"/>
          <w:b/>
          <w:color w:val="auto"/>
          <w:sz w:val="24"/>
          <w:szCs w:val="24"/>
        </w:rPr>
        <w:t>7.3.2安</w:t>
      </w:r>
      <w:r>
        <w:rPr>
          <w:rFonts w:ascii="宋体"/>
          <w:b/>
          <w:color w:val="auto"/>
          <w:sz w:val="24"/>
          <w:szCs w:val="24"/>
        </w:rPr>
        <w:t>阳市</w:t>
      </w:r>
      <w:r>
        <w:rPr>
          <w:rFonts w:hint="eastAsia" w:ascii="宋体"/>
          <w:b/>
          <w:color w:val="auto"/>
          <w:sz w:val="24"/>
          <w:szCs w:val="24"/>
        </w:rPr>
        <w:t>政府采购投标文件编制系统：在安阳市公共资源交易平台进行下载</w:t>
      </w:r>
    </w:p>
    <w:p>
      <w:pPr>
        <w:widowControl w:val="0"/>
        <w:snapToGrid w:val="0"/>
        <w:spacing w:line="360" w:lineRule="auto"/>
        <w:ind w:firstLine="632" w:firstLineChars="225"/>
        <w:jc w:val="left"/>
        <w:rPr>
          <w:rFonts w:ascii="黑体" w:hAnsi="黑体" w:eastAsia="黑体"/>
          <w:b/>
          <w:color w:val="auto"/>
          <w:sz w:val="28"/>
          <w:szCs w:val="28"/>
        </w:rPr>
      </w:pPr>
    </w:p>
    <w:p>
      <w:pPr>
        <w:widowControl w:val="0"/>
        <w:snapToGrid w:val="0"/>
        <w:spacing w:line="360" w:lineRule="auto"/>
        <w:ind w:firstLine="562" w:firstLineChars="200"/>
        <w:rPr>
          <w:rFonts w:ascii="黑体" w:hAnsi="黑体" w:eastAsia="黑体"/>
          <w:b/>
          <w:color w:val="auto"/>
          <w:sz w:val="28"/>
          <w:szCs w:val="28"/>
        </w:rPr>
      </w:pPr>
      <w:bookmarkStart w:id="9" w:name="_Toc28359085"/>
      <w:bookmarkStart w:id="10" w:name="_Toc28359008"/>
      <w:bookmarkStart w:id="11" w:name="_Toc35393627"/>
      <w:bookmarkStart w:id="12" w:name="_Toc35393796"/>
      <w:r>
        <w:rPr>
          <w:rFonts w:hint="eastAsia" w:ascii="黑体" w:hAnsi="黑体" w:eastAsia="黑体"/>
          <w:b/>
          <w:color w:val="auto"/>
          <w:sz w:val="28"/>
          <w:szCs w:val="28"/>
        </w:rPr>
        <w:t>8.对本次招标提出询问，请按</w:t>
      </w:r>
      <w:r>
        <w:rPr>
          <w:rFonts w:ascii="黑体" w:hAnsi="黑体" w:eastAsia="黑体"/>
          <w:b/>
          <w:color w:val="auto"/>
          <w:sz w:val="28"/>
          <w:szCs w:val="28"/>
        </w:rPr>
        <w:t>以下方式</w:t>
      </w:r>
      <w:r>
        <w:rPr>
          <w:rFonts w:hint="eastAsia" w:ascii="黑体" w:hAnsi="黑体" w:eastAsia="黑体"/>
          <w:b/>
          <w:color w:val="auto"/>
          <w:sz w:val="28"/>
          <w:szCs w:val="28"/>
        </w:rPr>
        <w:t>联系。</w:t>
      </w:r>
      <w:bookmarkEnd w:id="9"/>
      <w:bookmarkEnd w:id="10"/>
      <w:bookmarkEnd w:id="11"/>
      <w:bookmarkEnd w:id="12"/>
    </w:p>
    <w:p>
      <w:pPr>
        <w:ind w:firstLine="240" w:firstLineChars="100"/>
        <w:jc w:val="left"/>
        <w:rPr>
          <w:rFonts w:ascii="宋体" w:hAnsi="宋体"/>
          <w:color w:val="auto"/>
          <w:sz w:val="24"/>
          <w:szCs w:val="24"/>
        </w:rPr>
      </w:pPr>
      <w:r>
        <w:rPr>
          <w:rFonts w:hint="eastAsia" w:ascii="宋体" w:hAnsi="宋体" w:cs="宋体"/>
          <w:color w:val="auto"/>
          <w:sz w:val="24"/>
          <w:szCs w:val="24"/>
        </w:rPr>
        <w:t>　8.1采购人信息</w:t>
      </w:r>
    </w:p>
    <w:p>
      <w:pPr>
        <w:spacing w:line="360" w:lineRule="auto"/>
        <w:ind w:left="1079" w:leftChars="428" w:hanging="180" w:hangingChars="75"/>
        <w:jc w:val="left"/>
        <w:rPr>
          <w:rFonts w:ascii="宋体" w:hAnsi="宋体"/>
          <w:color w:val="auto"/>
          <w:sz w:val="24"/>
          <w:szCs w:val="24"/>
        </w:rPr>
      </w:pPr>
      <w:r>
        <w:rPr>
          <w:rFonts w:hint="eastAsia" w:ascii="宋体" w:hAnsi="宋体"/>
          <w:color w:val="auto"/>
          <w:sz w:val="24"/>
          <w:szCs w:val="24"/>
        </w:rPr>
        <w:t>名 称：安阳市生态环境局</w:t>
      </w:r>
    </w:p>
    <w:p>
      <w:pPr>
        <w:spacing w:line="360" w:lineRule="auto"/>
        <w:ind w:left="1079" w:leftChars="428" w:hanging="180" w:hangingChars="75"/>
        <w:jc w:val="left"/>
        <w:rPr>
          <w:rFonts w:ascii="宋体" w:hAnsi="宋体"/>
          <w:color w:val="auto"/>
          <w:sz w:val="24"/>
          <w:szCs w:val="24"/>
        </w:rPr>
      </w:pPr>
      <w:r>
        <w:rPr>
          <w:rFonts w:hint="eastAsia" w:ascii="宋体" w:hAnsi="宋体"/>
          <w:color w:val="auto"/>
          <w:sz w:val="24"/>
          <w:szCs w:val="24"/>
        </w:rPr>
        <w:t>地址：安阳市文明大道东段831号　       　</w:t>
      </w:r>
    </w:p>
    <w:p>
      <w:pPr>
        <w:spacing w:line="360" w:lineRule="auto"/>
        <w:ind w:left="1079" w:leftChars="428" w:hanging="180" w:hangingChars="75"/>
        <w:jc w:val="left"/>
        <w:rPr>
          <w:rFonts w:ascii="宋体" w:hAnsi="宋体"/>
          <w:color w:val="auto"/>
          <w:sz w:val="24"/>
          <w:szCs w:val="24"/>
        </w:rPr>
      </w:pPr>
      <w:r>
        <w:rPr>
          <w:rFonts w:hint="eastAsia" w:ascii="宋体" w:hAnsi="宋体"/>
          <w:color w:val="auto"/>
          <w:sz w:val="24"/>
          <w:szCs w:val="24"/>
        </w:rPr>
        <w:t>联系人：王光</w:t>
      </w:r>
    </w:p>
    <w:p>
      <w:pPr>
        <w:spacing w:line="360" w:lineRule="auto"/>
        <w:ind w:left="1079" w:leftChars="428" w:hanging="180" w:hangingChars="75"/>
        <w:jc w:val="left"/>
        <w:rPr>
          <w:rFonts w:ascii="宋体" w:hAnsi="宋体"/>
          <w:color w:val="auto"/>
          <w:sz w:val="24"/>
          <w:szCs w:val="24"/>
        </w:rPr>
      </w:pPr>
      <w:r>
        <w:rPr>
          <w:rFonts w:hint="eastAsia" w:ascii="宋体" w:hAnsi="宋体"/>
          <w:color w:val="auto"/>
          <w:sz w:val="24"/>
          <w:szCs w:val="24"/>
        </w:rPr>
        <w:t xml:space="preserve">电话： 0372-2131013     </w:t>
      </w:r>
      <w:bookmarkStart w:id="13" w:name="_Toc28359009"/>
      <w:bookmarkStart w:id="14" w:name="_Toc28359086"/>
    </w:p>
    <w:p>
      <w:pPr>
        <w:spacing w:line="360" w:lineRule="auto"/>
        <w:ind w:firstLine="480" w:firstLineChars="200"/>
        <w:jc w:val="left"/>
        <w:rPr>
          <w:rFonts w:ascii="宋体" w:hAnsi="宋体"/>
          <w:color w:val="auto"/>
          <w:sz w:val="24"/>
          <w:szCs w:val="24"/>
        </w:rPr>
      </w:pPr>
      <w:r>
        <w:rPr>
          <w:rFonts w:hint="eastAsia" w:ascii="宋体" w:hAnsi="宋体" w:cs="宋体"/>
          <w:color w:val="auto"/>
          <w:sz w:val="24"/>
          <w:szCs w:val="24"/>
        </w:rPr>
        <w:t>8.2 采购代理机构信息</w:t>
      </w:r>
      <w:bookmarkEnd w:id="13"/>
      <w:bookmarkEnd w:id="14"/>
    </w:p>
    <w:p>
      <w:pPr>
        <w:spacing w:line="360" w:lineRule="auto"/>
        <w:ind w:firstLine="840" w:firstLineChars="350"/>
        <w:rPr>
          <w:rFonts w:ascii="宋体" w:hAnsi="宋体"/>
          <w:color w:val="auto"/>
          <w:sz w:val="24"/>
          <w:szCs w:val="24"/>
        </w:rPr>
      </w:pPr>
      <w:r>
        <w:rPr>
          <w:rFonts w:hint="eastAsia" w:ascii="宋体" w:hAnsi="宋体"/>
          <w:color w:val="auto"/>
          <w:sz w:val="24"/>
          <w:szCs w:val="24"/>
        </w:rPr>
        <w:t>名 称：安阳市方正招标采购服务有限责任公司  　</w:t>
      </w:r>
    </w:p>
    <w:p>
      <w:pPr>
        <w:spacing w:line="360" w:lineRule="auto"/>
        <w:ind w:firstLine="840" w:firstLineChars="350"/>
        <w:rPr>
          <w:rFonts w:ascii="宋体" w:hAnsi="宋体"/>
          <w:color w:val="auto"/>
          <w:sz w:val="24"/>
          <w:szCs w:val="24"/>
          <w:u w:val="single"/>
        </w:rPr>
      </w:pPr>
      <w:r>
        <w:rPr>
          <w:rFonts w:hint="eastAsia" w:ascii="宋体" w:hAnsi="宋体"/>
          <w:color w:val="auto"/>
          <w:sz w:val="24"/>
          <w:szCs w:val="24"/>
        </w:rPr>
        <w:t>地　址：安阳市北关区人民大道北地下道口南侧（安阳市军粮专供站办公楼五楼）</w:t>
      </w:r>
      <w:r>
        <w:rPr>
          <w:rFonts w:hint="eastAsia" w:ascii="宋体" w:hAnsi="宋体"/>
          <w:color w:val="auto"/>
          <w:sz w:val="24"/>
          <w:szCs w:val="24"/>
          <w:u w:val="single"/>
        </w:rPr>
        <w:t>　</w:t>
      </w:r>
    </w:p>
    <w:p>
      <w:pPr>
        <w:spacing w:line="360" w:lineRule="auto"/>
        <w:ind w:firstLine="840" w:firstLineChars="350"/>
        <w:rPr>
          <w:rFonts w:ascii="宋体" w:hAnsi="宋体"/>
          <w:color w:val="auto"/>
          <w:sz w:val="24"/>
          <w:szCs w:val="24"/>
        </w:rPr>
      </w:pPr>
      <w:r>
        <w:rPr>
          <w:rFonts w:hint="eastAsia" w:ascii="宋体" w:hAnsi="宋体"/>
          <w:color w:val="auto"/>
          <w:sz w:val="24"/>
          <w:szCs w:val="24"/>
        </w:rPr>
        <w:t xml:space="preserve">联系人： 聂光辉  </w:t>
      </w:r>
    </w:p>
    <w:p>
      <w:pPr>
        <w:spacing w:line="360" w:lineRule="auto"/>
        <w:ind w:firstLine="840" w:firstLineChars="350"/>
        <w:rPr>
          <w:rFonts w:ascii="宋体" w:hAnsi="宋体"/>
          <w:color w:val="auto"/>
          <w:sz w:val="24"/>
          <w:szCs w:val="24"/>
        </w:rPr>
      </w:pPr>
      <w:r>
        <w:rPr>
          <w:rFonts w:hint="eastAsia" w:ascii="宋体" w:hAnsi="宋体"/>
          <w:color w:val="auto"/>
          <w:sz w:val="24"/>
          <w:szCs w:val="24"/>
        </w:rPr>
        <w:t>联系方式：</w:t>
      </w:r>
      <w:bookmarkStart w:id="15" w:name="_Toc28359010"/>
      <w:bookmarkStart w:id="16" w:name="_Toc28359087"/>
      <w:r>
        <w:rPr>
          <w:rFonts w:hint="eastAsia" w:ascii="宋体" w:hAnsi="宋体"/>
          <w:color w:val="auto"/>
          <w:sz w:val="24"/>
          <w:szCs w:val="24"/>
        </w:rPr>
        <w:t>0372-2283981、2283982   财务部咨询电话：0372-2283983　</w:t>
      </w:r>
    </w:p>
    <w:p>
      <w:pPr>
        <w:spacing w:line="360" w:lineRule="auto"/>
        <w:ind w:firstLine="480" w:firstLineChars="200"/>
        <w:rPr>
          <w:rFonts w:ascii="宋体" w:hAnsi="宋体"/>
          <w:color w:val="auto"/>
          <w:sz w:val="24"/>
          <w:szCs w:val="24"/>
        </w:rPr>
      </w:pPr>
      <w:r>
        <w:rPr>
          <w:rFonts w:hint="eastAsia" w:ascii="宋体" w:hAnsi="宋体" w:cs="宋体"/>
          <w:color w:val="auto"/>
          <w:sz w:val="24"/>
          <w:szCs w:val="24"/>
        </w:rPr>
        <w:t>8.3 项目</w:t>
      </w:r>
      <w:r>
        <w:rPr>
          <w:rFonts w:ascii="宋体" w:hAnsi="宋体" w:cs="宋体"/>
          <w:color w:val="auto"/>
          <w:sz w:val="24"/>
          <w:szCs w:val="24"/>
        </w:rPr>
        <w:t>联系方式</w:t>
      </w:r>
      <w:bookmarkEnd w:id="15"/>
      <w:bookmarkEnd w:id="16"/>
    </w:p>
    <w:p>
      <w:pPr>
        <w:pStyle w:val="8"/>
        <w:spacing w:line="360" w:lineRule="auto"/>
        <w:ind w:firstLine="840" w:firstLineChars="350"/>
        <w:rPr>
          <w:rFonts w:hAnsi="宋体"/>
          <w:color w:val="auto"/>
          <w:sz w:val="24"/>
          <w:szCs w:val="24"/>
        </w:rPr>
      </w:pPr>
      <w:r>
        <w:rPr>
          <w:rFonts w:hint="eastAsia" w:hAnsi="宋体"/>
          <w:color w:val="auto"/>
          <w:sz w:val="24"/>
          <w:szCs w:val="24"/>
        </w:rPr>
        <w:t xml:space="preserve">项目联系人：聂光辉  </w:t>
      </w:r>
    </w:p>
    <w:p>
      <w:pPr>
        <w:spacing w:line="360" w:lineRule="auto"/>
        <w:ind w:firstLine="840" w:firstLineChars="350"/>
        <w:rPr>
          <w:rFonts w:ascii="宋体" w:hAnsi="宋体"/>
          <w:color w:val="auto"/>
          <w:sz w:val="24"/>
          <w:szCs w:val="24"/>
        </w:rPr>
      </w:pPr>
      <w:r>
        <w:rPr>
          <w:rFonts w:hint="eastAsia" w:ascii="宋体" w:hAnsi="宋体"/>
          <w:color w:val="auto"/>
          <w:sz w:val="24"/>
          <w:szCs w:val="24"/>
        </w:rPr>
        <w:t>联系方式：0372-2283981、2283982</w:t>
      </w:r>
    </w:p>
    <w:p>
      <w:pPr>
        <w:spacing w:line="360" w:lineRule="auto"/>
        <w:ind w:firstLine="984" w:firstLineChars="350"/>
        <w:rPr>
          <w:rFonts w:ascii="黑体" w:hAnsi="黑体" w:eastAsia="黑体"/>
          <w:b/>
          <w:color w:val="auto"/>
          <w:sz w:val="28"/>
          <w:szCs w:val="28"/>
        </w:rPr>
      </w:pPr>
    </w:p>
    <w:p>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9.监督信息：</w:t>
      </w:r>
    </w:p>
    <w:p>
      <w:pPr>
        <w:widowControl w:val="0"/>
        <w:adjustRightInd w:val="0"/>
        <w:spacing w:beforeLines="50" w:line="300" w:lineRule="auto"/>
        <w:ind w:firstLine="540" w:firstLineChars="225"/>
        <w:rPr>
          <w:color w:val="auto"/>
          <w:sz w:val="24"/>
          <w:szCs w:val="24"/>
        </w:rPr>
      </w:pPr>
      <w:r>
        <w:rPr>
          <w:rFonts w:hint="eastAsia"/>
          <w:color w:val="auto"/>
          <w:sz w:val="24"/>
          <w:szCs w:val="24"/>
        </w:rPr>
        <w:t>监督部门：安阳市财政局政府采购监督管理科</w:t>
      </w:r>
    </w:p>
    <w:p>
      <w:pPr>
        <w:widowControl w:val="0"/>
        <w:adjustRightInd w:val="0"/>
        <w:spacing w:beforeLines="50" w:line="300" w:lineRule="auto"/>
        <w:ind w:firstLine="540" w:firstLineChars="225"/>
        <w:rPr>
          <w:color w:val="auto"/>
          <w:sz w:val="24"/>
          <w:szCs w:val="24"/>
        </w:rPr>
      </w:pPr>
      <w:r>
        <w:rPr>
          <w:rFonts w:hint="eastAsia"/>
          <w:color w:val="auto"/>
          <w:sz w:val="24"/>
          <w:szCs w:val="24"/>
        </w:rPr>
        <w:t>监督部门代码：114105000055771590</w:t>
      </w:r>
    </w:p>
    <w:p>
      <w:pPr>
        <w:widowControl w:val="0"/>
        <w:adjustRightInd w:val="0"/>
        <w:spacing w:beforeLines="50" w:line="300" w:lineRule="auto"/>
        <w:ind w:firstLine="540" w:firstLineChars="225"/>
        <w:rPr>
          <w:color w:val="auto"/>
          <w:sz w:val="24"/>
          <w:szCs w:val="24"/>
        </w:rPr>
      </w:pPr>
      <w:r>
        <w:rPr>
          <w:rFonts w:hint="eastAsia"/>
          <w:color w:val="auto"/>
          <w:sz w:val="24"/>
          <w:szCs w:val="24"/>
        </w:rPr>
        <w:t>联系人：李老师</w:t>
      </w:r>
    </w:p>
    <w:p>
      <w:pPr>
        <w:widowControl w:val="0"/>
        <w:adjustRightInd w:val="0"/>
        <w:spacing w:beforeLines="50" w:line="300" w:lineRule="auto"/>
        <w:ind w:firstLine="540" w:firstLineChars="225"/>
        <w:rPr>
          <w:color w:val="auto"/>
          <w:sz w:val="24"/>
          <w:szCs w:val="24"/>
        </w:rPr>
      </w:pPr>
      <w:r>
        <w:rPr>
          <w:rFonts w:hint="eastAsia"/>
          <w:color w:val="auto"/>
          <w:sz w:val="24"/>
          <w:szCs w:val="24"/>
        </w:rPr>
        <w:t>电话：0372-5109062</w:t>
      </w:r>
    </w:p>
    <w:p>
      <w:pPr>
        <w:widowControl w:val="0"/>
        <w:adjustRightInd w:val="0"/>
        <w:spacing w:beforeLines="50" w:line="300" w:lineRule="auto"/>
        <w:ind w:firstLine="540" w:firstLineChars="225"/>
        <w:rPr>
          <w:color w:val="auto"/>
          <w:sz w:val="24"/>
          <w:szCs w:val="24"/>
        </w:rPr>
      </w:pPr>
    </w:p>
    <w:p>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10.网</w:t>
      </w:r>
      <w:r>
        <w:rPr>
          <w:rFonts w:ascii="黑体" w:hAnsi="黑体" w:eastAsia="黑体"/>
          <w:b/>
          <w:color w:val="auto"/>
          <w:sz w:val="28"/>
          <w:szCs w:val="28"/>
        </w:rPr>
        <w:t>上</w:t>
      </w:r>
      <w:r>
        <w:rPr>
          <w:rFonts w:hint="eastAsia" w:ascii="黑体" w:hAnsi="黑体" w:eastAsia="黑体"/>
          <w:b/>
          <w:color w:val="auto"/>
          <w:sz w:val="28"/>
          <w:szCs w:val="28"/>
        </w:rPr>
        <w:t>电子交易提示：</w:t>
      </w:r>
    </w:p>
    <w:p>
      <w:pPr>
        <w:widowControl w:val="0"/>
        <w:tabs>
          <w:tab w:val="left" w:pos="39"/>
          <w:tab w:val="left" w:pos="96"/>
        </w:tabs>
        <w:snapToGrid w:val="0"/>
        <w:spacing w:line="360" w:lineRule="auto"/>
        <w:ind w:firstLine="540" w:firstLineChars="225"/>
        <w:rPr>
          <w:rFonts w:ascii="宋体" w:hAnsi="宋体"/>
          <w:color w:val="auto"/>
          <w:sz w:val="24"/>
          <w:szCs w:val="24"/>
        </w:rPr>
      </w:pPr>
      <w:r>
        <w:rPr>
          <w:rFonts w:hint="eastAsia" w:ascii="宋体"/>
          <w:color w:val="auto"/>
          <w:sz w:val="24"/>
          <w:szCs w:val="24"/>
        </w:rPr>
        <w:t>10</w:t>
      </w:r>
      <w:r>
        <w:rPr>
          <w:rFonts w:ascii="宋体" w:hAnsi="宋体"/>
          <w:color w:val="auto"/>
          <w:sz w:val="24"/>
          <w:szCs w:val="24"/>
        </w:rPr>
        <w:t>.1</w:t>
      </w:r>
      <w:r>
        <w:rPr>
          <w:rFonts w:hint="eastAsia" w:ascii="宋体" w:hAnsi="宋体"/>
          <w:color w:val="auto"/>
          <w:sz w:val="24"/>
          <w:szCs w:val="24"/>
        </w:rPr>
        <w:t>注</w:t>
      </w:r>
      <w:r>
        <w:rPr>
          <w:rFonts w:ascii="宋体" w:hAnsi="宋体"/>
          <w:color w:val="auto"/>
          <w:sz w:val="24"/>
          <w:szCs w:val="24"/>
        </w:rPr>
        <w:t>册</w:t>
      </w:r>
      <w:r>
        <w:rPr>
          <w:rFonts w:hint="eastAsia" w:ascii="宋体" w:hAnsi="宋体"/>
          <w:color w:val="auto"/>
          <w:sz w:val="24"/>
          <w:szCs w:val="24"/>
        </w:rPr>
        <w:t>：投标人完成注</w:t>
      </w:r>
      <w:r>
        <w:rPr>
          <w:rFonts w:ascii="宋体" w:hAnsi="宋体"/>
          <w:color w:val="auto"/>
          <w:sz w:val="24"/>
          <w:szCs w:val="24"/>
        </w:rPr>
        <w:t>册</w:t>
      </w:r>
      <w:r>
        <w:rPr>
          <w:rFonts w:hint="eastAsia" w:ascii="宋体" w:hAnsi="宋体"/>
          <w:color w:val="auto"/>
          <w:sz w:val="24"/>
          <w:szCs w:val="24"/>
        </w:rPr>
        <w:t>、办理数字证书后</w:t>
      </w:r>
      <w:r>
        <w:rPr>
          <w:rFonts w:ascii="宋体" w:hAnsi="宋体"/>
          <w:color w:val="auto"/>
          <w:sz w:val="24"/>
          <w:szCs w:val="24"/>
        </w:rPr>
        <w:t>，方可</w:t>
      </w:r>
      <w:r>
        <w:rPr>
          <w:rFonts w:hint="eastAsia" w:ascii="宋体" w:hAnsi="宋体"/>
          <w:color w:val="auto"/>
          <w:sz w:val="24"/>
          <w:szCs w:val="24"/>
        </w:rPr>
        <w:t>获</w:t>
      </w:r>
      <w:r>
        <w:rPr>
          <w:rFonts w:ascii="宋体" w:hAnsi="宋体"/>
          <w:color w:val="auto"/>
          <w:sz w:val="24"/>
          <w:szCs w:val="24"/>
        </w:rPr>
        <w:t>取</w:t>
      </w:r>
      <w:r>
        <w:rPr>
          <w:rFonts w:hint="eastAsia" w:ascii="宋体" w:hAnsi="宋体"/>
          <w:color w:val="auto"/>
          <w:sz w:val="24"/>
          <w:szCs w:val="24"/>
        </w:rPr>
        <w:t>招标</w:t>
      </w:r>
      <w:r>
        <w:rPr>
          <w:rFonts w:ascii="宋体" w:hAnsi="宋体"/>
          <w:color w:val="auto"/>
          <w:sz w:val="24"/>
          <w:szCs w:val="24"/>
        </w:rPr>
        <w:t>文件、</w:t>
      </w:r>
      <w:r>
        <w:rPr>
          <w:rFonts w:hint="eastAsia" w:ascii="宋体" w:hAnsi="宋体"/>
          <w:color w:val="auto"/>
          <w:sz w:val="24"/>
          <w:szCs w:val="24"/>
        </w:rPr>
        <w:t>参</w:t>
      </w:r>
      <w:r>
        <w:rPr>
          <w:rFonts w:ascii="宋体" w:hAnsi="宋体"/>
          <w:color w:val="auto"/>
          <w:sz w:val="24"/>
          <w:szCs w:val="24"/>
        </w:rPr>
        <w:t>加</w:t>
      </w:r>
      <w:r>
        <w:rPr>
          <w:rFonts w:hint="eastAsia" w:ascii="宋体" w:hAnsi="宋体"/>
          <w:color w:val="auto"/>
          <w:sz w:val="24"/>
          <w:szCs w:val="24"/>
        </w:rPr>
        <w:t>投标等网上电子交易。</w:t>
      </w:r>
    </w:p>
    <w:p>
      <w:pPr>
        <w:widowControl w:val="0"/>
        <w:tabs>
          <w:tab w:val="left" w:pos="39"/>
          <w:tab w:val="left" w:pos="96"/>
        </w:tabs>
        <w:snapToGrid w:val="0"/>
        <w:spacing w:line="360" w:lineRule="auto"/>
        <w:ind w:firstLine="540" w:firstLineChars="225"/>
        <w:rPr>
          <w:rFonts w:ascii="宋体" w:hAnsi="宋体"/>
          <w:color w:val="auto"/>
          <w:sz w:val="24"/>
          <w:szCs w:val="24"/>
        </w:rPr>
      </w:pPr>
      <w:r>
        <w:rPr>
          <w:rFonts w:hint="eastAsia" w:ascii="宋体"/>
          <w:color w:val="auto"/>
          <w:sz w:val="24"/>
          <w:szCs w:val="24"/>
        </w:rPr>
        <w:t>10</w:t>
      </w:r>
      <w:r>
        <w:rPr>
          <w:rFonts w:hint="eastAsia" w:ascii="宋体" w:hAnsi="宋体"/>
          <w:color w:val="auto"/>
          <w:sz w:val="24"/>
          <w:szCs w:val="24"/>
        </w:rPr>
        <w:t>.2 获取招标文件：</w:t>
      </w:r>
      <w:r>
        <w:rPr>
          <w:rFonts w:ascii="宋体" w:hAnsi="宋体"/>
          <w:color w:val="auto"/>
          <w:sz w:val="24"/>
          <w:szCs w:val="24"/>
        </w:rPr>
        <w:t>按</w:t>
      </w:r>
      <w:r>
        <w:rPr>
          <w:rFonts w:hint="eastAsia" w:ascii="宋体" w:hAnsi="宋体"/>
          <w:color w:val="auto"/>
          <w:sz w:val="24"/>
          <w:szCs w:val="24"/>
        </w:rPr>
        <w:t>本</w:t>
      </w:r>
      <w:r>
        <w:rPr>
          <w:rFonts w:ascii="宋体" w:hAnsi="宋体"/>
          <w:color w:val="auto"/>
          <w:sz w:val="24"/>
          <w:szCs w:val="24"/>
        </w:rPr>
        <w:t>章第</w:t>
      </w:r>
      <w:r>
        <w:rPr>
          <w:rFonts w:hint="eastAsia" w:ascii="宋体" w:hAnsi="宋体"/>
          <w:color w:val="auto"/>
          <w:sz w:val="24"/>
          <w:szCs w:val="24"/>
        </w:rPr>
        <w:t>3条</w:t>
      </w:r>
      <w:r>
        <w:rPr>
          <w:rFonts w:ascii="宋体" w:hAnsi="宋体"/>
          <w:color w:val="auto"/>
          <w:sz w:val="24"/>
          <w:szCs w:val="24"/>
        </w:rPr>
        <w:t>“</w:t>
      </w:r>
      <w:r>
        <w:rPr>
          <w:rFonts w:hint="eastAsia" w:ascii="宋体" w:hAnsi="宋体"/>
          <w:color w:val="auto"/>
          <w:sz w:val="24"/>
          <w:szCs w:val="24"/>
        </w:rPr>
        <w:t>获取招标文件</w:t>
      </w:r>
      <w:r>
        <w:rPr>
          <w:rFonts w:ascii="宋体" w:hAnsi="宋体"/>
          <w:color w:val="auto"/>
          <w:sz w:val="24"/>
          <w:szCs w:val="24"/>
        </w:rPr>
        <w:t>”</w:t>
      </w:r>
      <w:r>
        <w:rPr>
          <w:rFonts w:hint="eastAsia" w:ascii="宋体" w:hAnsi="宋体"/>
          <w:color w:val="auto"/>
          <w:sz w:val="24"/>
          <w:szCs w:val="24"/>
        </w:rPr>
        <w:t>办</w:t>
      </w:r>
      <w:r>
        <w:rPr>
          <w:rFonts w:ascii="宋体" w:hAnsi="宋体"/>
          <w:color w:val="auto"/>
          <w:sz w:val="24"/>
          <w:szCs w:val="24"/>
        </w:rPr>
        <w:t>理。</w:t>
      </w:r>
    </w:p>
    <w:p>
      <w:pPr>
        <w:widowControl w:val="0"/>
        <w:tabs>
          <w:tab w:val="left" w:pos="39"/>
          <w:tab w:val="left" w:pos="96"/>
        </w:tabs>
        <w:snapToGrid w:val="0"/>
        <w:spacing w:line="360" w:lineRule="auto"/>
        <w:ind w:firstLine="540" w:firstLineChars="225"/>
        <w:rPr>
          <w:rFonts w:ascii="黑体" w:hAnsi="黑体" w:eastAsia="黑体" w:cs="楷体_GB2312"/>
          <w:b/>
          <w:color w:val="auto"/>
          <w:sz w:val="24"/>
          <w:lang w:val="zh-CN"/>
        </w:rPr>
      </w:pPr>
      <w:r>
        <w:rPr>
          <w:rFonts w:hint="eastAsia" w:ascii="宋体"/>
          <w:color w:val="auto"/>
          <w:sz w:val="24"/>
          <w:szCs w:val="24"/>
        </w:rPr>
        <w:t>10</w:t>
      </w:r>
      <w:r>
        <w:rPr>
          <w:rFonts w:hint="eastAsia" w:ascii="宋体" w:hAnsi="宋体"/>
          <w:color w:val="auto"/>
          <w:sz w:val="24"/>
          <w:szCs w:val="24"/>
        </w:rPr>
        <w:t>.3招标文件的澄清与修改或延期的</w:t>
      </w:r>
      <w:r>
        <w:rPr>
          <w:rFonts w:ascii="宋体" w:hAnsi="宋体"/>
          <w:color w:val="auto"/>
          <w:sz w:val="24"/>
          <w:szCs w:val="24"/>
        </w:rPr>
        <w:t>通知</w:t>
      </w:r>
      <w:r>
        <w:rPr>
          <w:rFonts w:hint="eastAsia" w:ascii="宋体" w:hAnsi="宋体"/>
          <w:color w:val="auto"/>
          <w:sz w:val="24"/>
          <w:szCs w:val="24"/>
        </w:rPr>
        <w:t>：</w:t>
      </w:r>
      <w:r>
        <w:rPr>
          <w:rFonts w:ascii="宋体" w:hAnsi="宋体"/>
          <w:color w:val="auto"/>
          <w:sz w:val="24"/>
          <w:szCs w:val="24"/>
        </w:rPr>
        <w:t>按</w:t>
      </w:r>
      <w:r>
        <w:rPr>
          <w:rFonts w:hint="eastAsia" w:ascii="宋体" w:hAnsi="宋体"/>
          <w:color w:val="auto"/>
          <w:sz w:val="24"/>
          <w:szCs w:val="24"/>
        </w:rPr>
        <w:t>《招标</w:t>
      </w:r>
      <w:r>
        <w:rPr>
          <w:rFonts w:ascii="宋体" w:hAnsi="宋体"/>
          <w:color w:val="auto"/>
          <w:sz w:val="24"/>
          <w:szCs w:val="24"/>
        </w:rPr>
        <w:t>文件</w:t>
      </w:r>
      <w:r>
        <w:rPr>
          <w:rFonts w:hint="eastAsia" w:ascii="宋体" w:hAnsi="宋体"/>
          <w:color w:val="auto"/>
          <w:sz w:val="24"/>
          <w:szCs w:val="24"/>
        </w:rPr>
        <w:t>》</w:t>
      </w:r>
      <w:r>
        <w:rPr>
          <w:rFonts w:ascii="宋体" w:hAnsi="宋体"/>
          <w:color w:val="auto"/>
          <w:sz w:val="24"/>
          <w:szCs w:val="24"/>
        </w:rPr>
        <w:t>第三</w:t>
      </w:r>
      <w:r>
        <w:rPr>
          <w:rFonts w:hint="eastAsia" w:ascii="宋体" w:hAnsi="宋体"/>
          <w:color w:val="auto"/>
          <w:sz w:val="24"/>
          <w:szCs w:val="24"/>
        </w:rPr>
        <w:t>章“投</w:t>
      </w:r>
      <w:r>
        <w:rPr>
          <w:rFonts w:ascii="宋体" w:hAnsi="宋体"/>
          <w:color w:val="auto"/>
          <w:sz w:val="24"/>
          <w:szCs w:val="24"/>
        </w:rPr>
        <w:t>标人须知”</w:t>
      </w:r>
      <w:r>
        <w:rPr>
          <w:rFonts w:hint="eastAsia" w:ascii="宋体" w:hAnsi="宋体"/>
          <w:color w:val="auto"/>
          <w:sz w:val="24"/>
          <w:szCs w:val="24"/>
        </w:rPr>
        <w:t>第</w:t>
      </w:r>
      <w:r>
        <w:rPr>
          <w:rFonts w:ascii="宋体" w:hAnsi="宋体"/>
          <w:color w:val="auto"/>
          <w:sz w:val="24"/>
          <w:szCs w:val="24"/>
        </w:rPr>
        <w:t>2</w:t>
      </w:r>
      <w:r>
        <w:rPr>
          <w:rFonts w:hint="eastAsia" w:ascii="宋体" w:hAnsi="宋体"/>
          <w:color w:val="auto"/>
          <w:sz w:val="24"/>
          <w:szCs w:val="24"/>
        </w:rPr>
        <w:t>条“2.4 招标文件的澄清、修改、补充的通知，及相应时间变更</w:t>
      </w:r>
      <w:r>
        <w:rPr>
          <w:rFonts w:ascii="宋体" w:hAnsi="宋体"/>
          <w:color w:val="auto"/>
          <w:sz w:val="24"/>
          <w:szCs w:val="24"/>
        </w:rPr>
        <w:t>”执行</w:t>
      </w:r>
      <w:r>
        <w:rPr>
          <w:rFonts w:hint="eastAsia" w:ascii="宋体" w:hAnsi="宋体"/>
          <w:color w:val="auto"/>
          <w:sz w:val="24"/>
          <w:szCs w:val="24"/>
        </w:rPr>
        <w:t>。</w:t>
      </w:r>
      <w:r>
        <w:rPr>
          <w:rFonts w:hint="eastAsia" w:ascii="黑体" w:hAnsi="黑体" w:eastAsia="黑体" w:cs="楷体_GB2312"/>
          <w:b/>
          <w:color w:val="auto"/>
          <w:sz w:val="24"/>
          <w:lang w:val="zh-CN"/>
        </w:rPr>
        <w:t>不</w:t>
      </w:r>
      <w:r>
        <w:rPr>
          <w:rFonts w:ascii="黑体" w:hAnsi="黑体" w:eastAsia="黑体" w:cs="楷体_GB2312"/>
          <w:b/>
          <w:color w:val="auto"/>
          <w:sz w:val="24"/>
          <w:lang w:val="zh-CN"/>
        </w:rPr>
        <w:t>另行通知。</w:t>
      </w:r>
    </w:p>
    <w:p>
      <w:pPr>
        <w:widowControl w:val="0"/>
        <w:tabs>
          <w:tab w:val="left" w:pos="39"/>
          <w:tab w:val="left" w:pos="96"/>
        </w:tabs>
        <w:snapToGrid w:val="0"/>
        <w:spacing w:line="360" w:lineRule="auto"/>
        <w:ind w:firstLine="540" w:firstLineChars="225"/>
        <w:rPr>
          <w:rFonts w:ascii="黑体" w:hAnsi="黑体" w:eastAsia="黑体" w:cs="楷体_GB2312"/>
          <w:b/>
          <w:color w:val="auto"/>
          <w:sz w:val="24"/>
          <w:lang w:val="zh-CN"/>
        </w:rPr>
      </w:pPr>
      <w:r>
        <w:rPr>
          <w:rFonts w:hint="eastAsia" w:ascii="宋体"/>
          <w:color w:val="auto"/>
          <w:sz w:val="24"/>
          <w:szCs w:val="24"/>
        </w:rPr>
        <w:t>10</w:t>
      </w:r>
      <w:r>
        <w:rPr>
          <w:rFonts w:ascii="宋体" w:hAnsi="宋体"/>
          <w:color w:val="auto"/>
          <w:sz w:val="24"/>
          <w:szCs w:val="24"/>
        </w:rPr>
        <w:t>.4</w:t>
      </w:r>
      <w:r>
        <w:rPr>
          <w:rFonts w:hint="eastAsia" w:ascii="宋体" w:hAnsi="宋体"/>
          <w:color w:val="auto"/>
          <w:sz w:val="24"/>
          <w:szCs w:val="24"/>
        </w:rPr>
        <w:t>投标文件编制：在安阳市公共资源交易系统内按</w:t>
      </w:r>
      <w:r>
        <w:rPr>
          <w:rFonts w:ascii="宋体" w:hAnsi="宋体"/>
          <w:color w:val="auto"/>
          <w:sz w:val="24"/>
          <w:szCs w:val="24"/>
        </w:rPr>
        <w:t>“</w:t>
      </w:r>
      <w:r>
        <w:rPr>
          <w:rFonts w:hint="eastAsia" w:ascii="宋体" w:hAnsi="宋体"/>
          <w:color w:val="auto"/>
          <w:sz w:val="24"/>
          <w:szCs w:val="24"/>
        </w:rPr>
        <w:t>安</w:t>
      </w:r>
      <w:r>
        <w:rPr>
          <w:rFonts w:ascii="宋体" w:hAnsi="宋体"/>
          <w:color w:val="auto"/>
          <w:sz w:val="24"/>
          <w:szCs w:val="24"/>
        </w:rPr>
        <w:t>阳市</w:t>
      </w:r>
      <w:r>
        <w:rPr>
          <w:rFonts w:hint="eastAsia" w:ascii="宋体" w:hAnsi="宋体"/>
          <w:color w:val="auto"/>
          <w:sz w:val="24"/>
          <w:szCs w:val="24"/>
        </w:rPr>
        <w:t>政府采购投标文件编制系统</w:t>
      </w:r>
      <w:r>
        <w:rPr>
          <w:rFonts w:ascii="宋体" w:hAnsi="宋体"/>
          <w:color w:val="auto"/>
          <w:sz w:val="24"/>
          <w:szCs w:val="24"/>
        </w:rPr>
        <w:t>”</w:t>
      </w:r>
      <w:r>
        <w:rPr>
          <w:rFonts w:hint="eastAsia" w:ascii="宋体" w:hAnsi="宋体"/>
          <w:color w:val="auto"/>
          <w:sz w:val="24"/>
          <w:szCs w:val="24"/>
        </w:rPr>
        <w:t>编制，按《招标文件》第三章“投标人须知”第3条第</w:t>
      </w:r>
      <w:r>
        <w:rPr>
          <w:rFonts w:ascii="宋体" w:hAnsi="宋体"/>
          <w:color w:val="auto"/>
          <w:sz w:val="24"/>
          <w:szCs w:val="24"/>
        </w:rPr>
        <w:t>7</w:t>
      </w:r>
      <w:r>
        <w:rPr>
          <w:rFonts w:hint="eastAsia" w:ascii="宋体" w:hAnsi="宋体"/>
          <w:color w:val="auto"/>
          <w:sz w:val="24"/>
          <w:szCs w:val="24"/>
        </w:rPr>
        <w:t>款“</w:t>
      </w:r>
      <w:r>
        <w:rPr>
          <w:rFonts w:ascii="宋体" w:hAnsi="宋体"/>
          <w:color w:val="auto"/>
          <w:sz w:val="24"/>
          <w:szCs w:val="24"/>
        </w:rPr>
        <w:t>3.7</w:t>
      </w:r>
      <w:r>
        <w:rPr>
          <w:rFonts w:hint="eastAsia" w:ascii="宋体" w:hAnsi="宋体"/>
          <w:color w:val="auto"/>
          <w:sz w:val="24"/>
          <w:szCs w:val="24"/>
        </w:rPr>
        <w:t>投标文件的编制”执行，</w:t>
      </w:r>
      <w:r>
        <w:rPr>
          <w:rFonts w:hint="eastAsia" w:ascii="黑体" w:hAnsi="黑体" w:eastAsia="黑体" w:cs="楷体_GB2312"/>
          <w:b/>
          <w:color w:val="auto"/>
          <w:sz w:val="24"/>
          <w:lang w:val="zh-CN"/>
        </w:rPr>
        <w:t>否则将会评定为无效投标。</w:t>
      </w:r>
    </w:p>
    <w:p>
      <w:pPr>
        <w:widowControl w:val="0"/>
        <w:tabs>
          <w:tab w:val="left" w:pos="39"/>
          <w:tab w:val="left" w:pos="96"/>
        </w:tabs>
        <w:snapToGrid w:val="0"/>
        <w:spacing w:line="360" w:lineRule="auto"/>
        <w:ind w:firstLine="540" w:firstLineChars="225"/>
        <w:rPr>
          <w:rFonts w:ascii="黑体" w:hAnsi="黑体" w:eastAsia="黑体" w:cs="楷体_GB2312"/>
          <w:b/>
          <w:color w:val="auto"/>
          <w:sz w:val="24"/>
          <w:lang w:val="zh-CN"/>
        </w:rPr>
      </w:pPr>
      <w:r>
        <w:rPr>
          <w:rFonts w:hint="eastAsia" w:ascii="宋体"/>
          <w:color w:val="auto"/>
          <w:sz w:val="24"/>
          <w:szCs w:val="24"/>
        </w:rPr>
        <w:t>10</w:t>
      </w:r>
      <w:r>
        <w:rPr>
          <w:rFonts w:hint="eastAsia" w:ascii="宋体" w:hAnsi="宋体"/>
          <w:color w:val="auto"/>
          <w:sz w:val="24"/>
          <w:szCs w:val="24"/>
        </w:rPr>
        <w:t>.5</w:t>
      </w:r>
      <w:r>
        <w:rPr>
          <w:rFonts w:hint="eastAsia" w:ascii="宋体"/>
          <w:color w:val="auto"/>
          <w:sz w:val="24"/>
          <w:szCs w:val="24"/>
        </w:rPr>
        <w:t>投标文件递交：</w:t>
      </w:r>
      <w:r>
        <w:rPr>
          <w:rFonts w:hint="eastAsia" w:ascii="宋体" w:hAnsi="宋体"/>
          <w:color w:val="auto"/>
          <w:sz w:val="24"/>
          <w:szCs w:val="24"/>
        </w:rPr>
        <w:t>在安阳市公共资源交易系统上传</w:t>
      </w:r>
      <w:r>
        <w:rPr>
          <w:rFonts w:ascii="宋体" w:hAnsi="宋体"/>
          <w:color w:val="auto"/>
          <w:sz w:val="24"/>
          <w:szCs w:val="24"/>
        </w:rPr>
        <w:t>、</w:t>
      </w:r>
      <w:r>
        <w:rPr>
          <w:rFonts w:hint="eastAsia" w:ascii="宋体" w:hAnsi="宋体"/>
          <w:color w:val="auto"/>
          <w:sz w:val="24"/>
          <w:szCs w:val="24"/>
        </w:rPr>
        <w:t>并签名及</w:t>
      </w:r>
      <w:r>
        <w:rPr>
          <w:rFonts w:ascii="宋体" w:hAnsi="宋体"/>
          <w:color w:val="auto"/>
          <w:sz w:val="24"/>
          <w:szCs w:val="24"/>
        </w:rPr>
        <w:t>加密</w:t>
      </w:r>
      <w:r>
        <w:rPr>
          <w:rFonts w:hint="eastAsia" w:ascii="宋体" w:hAnsi="宋体"/>
          <w:color w:val="auto"/>
          <w:sz w:val="24"/>
          <w:szCs w:val="24"/>
        </w:rPr>
        <w:t>，</w:t>
      </w:r>
      <w:r>
        <w:rPr>
          <w:rFonts w:ascii="宋体" w:hAnsi="宋体"/>
          <w:color w:val="auto"/>
          <w:sz w:val="24"/>
          <w:szCs w:val="24"/>
        </w:rPr>
        <w:t>按</w:t>
      </w:r>
      <w:r>
        <w:rPr>
          <w:rFonts w:hint="eastAsia" w:ascii="宋体" w:hAnsi="宋体"/>
          <w:color w:val="auto"/>
          <w:sz w:val="24"/>
          <w:szCs w:val="24"/>
        </w:rPr>
        <w:t>《招标</w:t>
      </w:r>
      <w:r>
        <w:rPr>
          <w:rFonts w:ascii="宋体" w:hAnsi="宋体"/>
          <w:color w:val="auto"/>
          <w:sz w:val="24"/>
          <w:szCs w:val="24"/>
        </w:rPr>
        <w:t>文件</w:t>
      </w:r>
      <w:r>
        <w:rPr>
          <w:rFonts w:hint="eastAsia" w:ascii="宋体" w:hAnsi="宋体"/>
          <w:color w:val="auto"/>
          <w:sz w:val="24"/>
          <w:szCs w:val="24"/>
        </w:rPr>
        <w:t>》</w:t>
      </w:r>
      <w:r>
        <w:rPr>
          <w:rFonts w:ascii="宋体" w:hAnsi="宋体"/>
          <w:color w:val="auto"/>
          <w:sz w:val="24"/>
          <w:szCs w:val="24"/>
        </w:rPr>
        <w:t>第三</w:t>
      </w:r>
      <w:r>
        <w:rPr>
          <w:rFonts w:hint="eastAsia" w:ascii="宋体" w:hAnsi="宋体"/>
          <w:color w:val="auto"/>
          <w:sz w:val="24"/>
          <w:szCs w:val="24"/>
        </w:rPr>
        <w:t>章“投</w:t>
      </w:r>
      <w:r>
        <w:rPr>
          <w:rFonts w:ascii="宋体" w:hAnsi="宋体"/>
          <w:color w:val="auto"/>
          <w:sz w:val="24"/>
          <w:szCs w:val="24"/>
        </w:rPr>
        <w:t>标人须知”</w:t>
      </w:r>
      <w:r>
        <w:rPr>
          <w:rFonts w:hint="eastAsia" w:ascii="宋体" w:hAnsi="宋体"/>
          <w:color w:val="auto"/>
          <w:sz w:val="24"/>
          <w:szCs w:val="24"/>
        </w:rPr>
        <w:t>第</w:t>
      </w:r>
      <w:r>
        <w:rPr>
          <w:rFonts w:ascii="宋体" w:hAnsi="宋体"/>
          <w:color w:val="auto"/>
          <w:sz w:val="24"/>
          <w:szCs w:val="24"/>
        </w:rPr>
        <w:t>4</w:t>
      </w:r>
      <w:r>
        <w:rPr>
          <w:rFonts w:hint="eastAsia" w:ascii="宋体" w:hAnsi="宋体"/>
          <w:color w:val="auto"/>
          <w:sz w:val="24"/>
          <w:szCs w:val="24"/>
        </w:rPr>
        <w:t>条</w:t>
      </w:r>
      <w:r>
        <w:rPr>
          <w:rFonts w:ascii="宋体" w:hAnsi="宋体"/>
          <w:color w:val="auto"/>
          <w:sz w:val="24"/>
          <w:szCs w:val="24"/>
        </w:rPr>
        <w:t xml:space="preserve"> “</w:t>
      </w:r>
      <w:r>
        <w:rPr>
          <w:rFonts w:hint="eastAsia" w:ascii="宋体" w:hAnsi="宋体"/>
          <w:color w:val="auto"/>
          <w:sz w:val="24"/>
          <w:szCs w:val="24"/>
        </w:rPr>
        <w:t>4. 投标”</w:t>
      </w:r>
      <w:r>
        <w:rPr>
          <w:rFonts w:ascii="宋体" w:hAnsi="宋体"/>
          <w:color w:val="auto"/>
          <w:sz w:val="24"/>
          <w:szCs w:val="24"/>
        </w:rPr>
        <w:t>执行，</w:t>
      </w:r>
      <w:r>
        <w:rPr>
          <w:rFonts w:hint="eastAsia" w:ascii="黑体" w:hAnsi="黑体" w:eastAsia="黑体" w:cs="楷体_GB2312"/>
          <w:b/>
          <w:color w:val="auto"/>
          <w:sz w:val="24"/>
          <w:lang w:val="zh-CN"/>
        </w:rPr>
        <w:t>否</w:t>
      </w:r>
      <w:r>
        <w:rPr>
          <w:rFonts w:ascii="黑体" w:hAnsi="黑体" w:eastAsia="黑体" w:cs="楷体_GB2312"/>
          <w:b/>
          <w:color w:val="auto"/>
          <w:sz w:val="24"/>
          <w:lang w:val="zh-CN"/>
        </w:rPr>
        <w:t>则将会</w:t>
      </w:r>
      <w:r>
        <w:rPr>
          <w:rFonts w:hint="eastAsia" w:ascii="黑体" w:hAnsi="黑体" w:eastAsia="黑体" w:cs="楷体_GB2312"/>
          <w:b/>
          <w:color w:val="auto"/>
          <w:sz w:val="24"/>
          <w:lang w:val="zh-CN"/>
        </w:rPr>
        <w:t>评</w:t>
      </w:r>
      <w:r>
        <w:rPr>
          <w:rFonts w:ascii="黑体" w:hAnsi="黑体" w:eastAsia="黑体" w:cs="楷体_GB2312"/>
          <w:b/>
          <w:color w:val="auto"/>
          <w:sz w:val="24"/>
          <w:lang w:val="zh-CN"/>
        </w:rPr>
        <w:t>定为无效投标。</w:t>
      </w:r>
    </w:p>
    <w:p>
      <w:pPr>
        <w:widowControl w:val="0"/>
        <w:tabs>
          <w:tab w:val="left" w:pos="39"/>
          <w:tab w:val="left" w:pos="96"/>
        </w:tabs>
        <w:snapToGrid w:val="0"/>
        <w:spacing w:line="360" w:lineRule="auto"/>
        <w:ind w:firstLine="540" w:firstLineChars="225"/>
        <w:rPr>
          <w:rFonts w:ascii="宋体" w:hAnsi="宋体"/>
          <w:color w:val="auto"/>
          <w:sz w:val="24"/>
          <w:szCs w:val="24"/>
        </w:rPr>
      </w:pPr>
      <w:r>
        <w:rPr>
          <w:rFonts w:hint="eastAsia" w:ascii="宋体"/>
          <w:color w:val="auto"/>
          <w:sz w:val="24"/>
          <w:szCs w:val="24"/>
        </w:rPr>
        <w:t>10.</w:t>
      </w:r>
      <w:r>
        <w:rPr>
          <w:rFonts w:ascii="宋体"/>
          <w:color w:val="auto"/>
          <w:sz w:val="24"/>
          <w:szCs w:val="24"/>
        </w:rPr>
        <w:t>6</w:t>
      </w:r>
      <w:r>
        <w:rPr>
          <w:rFonts w:hint="eastAsia" w:ascii="宋体"/>
          <w:color w:val="auto"/>
          <w:sz w:val="24"/>
          <w:szCs w:val="24"/>
        </w:rPr>
        <w:t>投标文件</w:t>
      </w:r>
      <w:r>
        <w:rPr>
          <w:rFonts w:hint="eastAsia" w:ascii="宋体" w:hAnsi="宋体"/>
          <w:color w:val="auto"/>
          <w:sz w:val="24"/>
          <w:szCs w:val="24"/>
        </w:rPr>
        <w:t>解密</w:t>
      </w:r>
      <w:r>
        <w:rPr>
          <w:rFonts w:hint="eastAsia" w:ascii="宋体"/>
          <w:color w:val="auto"/>
          <w:sz w:val="24"/>
          <w:szCs w:val="24"/>
        </w:rPr>
        <w:t>：</w:t>
      </w:r>
      <w:r>
        <w:rPr>
          <w:rFonts w:hint="eastAsia" w:ascii="宋体" w:hAnsi="宋体"/>
          <w:color w:val="auto"/>
          <w:sz w:val="24"/>
          <w:szCs w:val="24"/>
        </w:rPr>
        <w:t>供应商需在开标前登录“安阳市公共资源交易系统（投标方）”并进入本项目相匹配的网上开标室，在规定时限内解密投标文件，</w:t>
      </w:r>
      <w:r>
        <w:rPr>
          <w:rFonts w:ascii="宋体" w:hAnsi="宋体"/>
          <w:color w:val="auto"/>
          <w:sz w:val="24"/>
          <w:szCs w:val="24"/>
        </w:rPr>
        <w:t>按</w:t>
      </w:r>
      <w:r>
        <w:rPr>
          <w:rFonts w:hint="eastAsia" w:ascii="宋体" w:hAnsi="宋体"/>
          <w:color w:val="auto"/>
          <w:sz w:val="24"/>
          <w:szCs w:val="24"/>
        </w:rPr>
        <w:t>《招标</w:t>
      </w:r>
      <w:r>
        <w:rPr>
          <w:rFonts w:ascii="宋体" w:hAnsi="宋体"/>
          <w:color w:val="auto"/>
          <w:sz w:val="24"/>
          <w:szCs w:val="24"/>
        </w:rPr>
        <w:t>文件</w:t>
      </w:r>
      <w:r>
        <w:rPr>
          <w:rFonts w:hint="eastAsia" w:ascii="宋体" w:hAnsi="宋体"/>
          <w:color w:val="auto"/>
          <w:sz w:val="24"/>
          <w:szCs w:val="24"/>
        </w:rPr>
        <w:t>》</w:t>
      </w:r>
      <w:r>
        <w:rPr>
          <w:rFonts w:ascii="宋体" w:hAnsi="宋体"/>
          <w:color w:val="auto"/>
          <w:sz w:val="24"/>
          <w:szCs w:val="24"/>
        </w:rPr>
        <w:t>第三</w:t>
      </w:r>
      <w:r>
        <w:rPr>
          <w:rFonts w:hint="eastAsia" w:ascii="宋体" w:hAnsi="宋体"/>
          <w:color w:val="auto"/>
          <w:sz w:val="24"/>
          <w:szCs w:val="24"/>
        </w:rPr>
        <w:t>章“投</w:t>
      </w:r>
      <w:r>
        <w:rPr>
          <w:rFonts w:ascii="宋体" w:hAnsi="宋体"/>
          <w:color w:val="auto"/>
          <w:sz w:val="24"/>
          <w:szCs w:val="24"/>
        </w:rPr>
        <w:t>标人须知”</w:t>
      </w:r>
      <w:r>
        <w:rPr>
          <w:rFonts w:hint="eastAsia" w:ascii="宋体" w:hAnsi="宋体"/>
          <w:color w:val="auto"/>
          <w:sz w:val="24"/>
          <w:szCs w:val="24"/>
        </w:rPr>
        <w:t>第</w:t>
      </w:r>
      <w:r>
        <w:rPr>
          <w:rFonts w:ascii="宋体" w:hAnsi="宋体"/>
          <w:color w:val="auto"/>
          <w:sz w:val="24"/>
          <w:szCs w:val="24"/>
        </w:rPr>
        <w:t>5</w:t>
      </w:r>
      <w:r>
        <w:rPr>
          <w:rFonts w:hint="eastAsia" w:ascii="宋体" w:hAnsi="宋体"/>
          <w:color w:val="auto"/>
          <w:sz w:val="24"/>
          <w:szCs w:val="24"/>
        </w:rPr>
        <w:t>条</w:t>
      </w:r>
      <w:r>
        <w:rPr>
          <w:rFonts w:ascii="宋体" w:hAnsi="宋体"/>
          <w:color w:val="auto"/>
          <w:sz w:val="24"/>
          <w:szCs w:val="24"/>
        </w:rPr>
        <w:t xml:space="preserve">“5 </w:t>
      </w:r>
      <w:r>
        <w:rPr>
          <w:rFonts w:hint="eastAsia" w:ascii="宋体"/>
          <w:color w:val="auto"/>
          <w:sz w:val="24"/>
          <w:szCs w:val="24"/>
        </w:rPr>
        <w:t>开标</w:t>
      </w:r>
      <w:r>
        <w:rPr>
          <w:rFonts w:hint="eastAsia" w:ascii="宋体" w:hAnsi="宋体"/>
          <w:color w:val="auto"/>
          <w:sz w:val="24"/>
          <w:szCs w:val="24"/>
        </w:rPr>
        <w:t>”</w:t>
      </w:r>
      <w:r>
        <w:rPr>
          <w:rFonts w:ascii="宋体" w:hAnsi="宋体"/>
          <w:color w:val="auto"/>
          <w:sz w:val="24"/>
          <w:szCs w:val="24"/>
        </w:rPr>
        <w:t>执行，</w:t>
      </w:r>
      <w:r>
        <w:rPr>
          <w:rFonts w:hint="eastAsia" w:ascii="宋体" w:hAnsi="宋体" w:cs="楷体_GB2312"/>
          <w:color w:val="auto"/>
          <w:sz w:val="24"/>
          <w:lang w:val="zh-CN"/>
        </w:rPr>
        <w:t>否</w:t>
      </w:r>
      <w:r>
        <w:rPr>
          <w:rFonts w:ascii="宋体" w:hAnsi="宋体" w:cs="楷体_GB2312"/>
          <w:color w:val="auto"/>
          <w:sz w:val="24"/>
          <w:lang w:val="zh-CN"/>
        </w:rPr>
        <w:t>则</w:t>
      </w:r>
      <w:r>
        <w:rPr>
          <w:rFonts w:hint="eastAsia" w:ascii="宋体" w:hAnsi="宋体" w:cs="楷体_GB2312"/>
          <w:color w:val="auto"/>
          <w:sz w:val="24"/>
          <w:lang w:val="zh-CN"/>
        </w:rPr>
        <w:t>其投标将不能被接受</w:t>
      </w:r>
      <w:r>
        <w:rPr>
          <w:rFonts w:ascii="宋体" w:hAnsi="宋体" w:cs="楷体_GB2312"/>
          <w:color w:val="auto"/>
          <w:sz w:val="24"/>
          <w:lang w:val="zh-CN"/>
        </w:rPr>
        <w:t>。</w:t>
      </w:r>
    </w:p>
    <w:p>
      <w:pPr>
        <w:widowControl w:val="0"/>
        <w:tabs>
          <w:tab w:val="left" w:pos="39"/>
          <w:tab w:val="left" w:pos="96"/>
        </w:tabs>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10.7政府采购电子交易中，投标人网上电子交易的系统操作规则应以安阳市公共资源交易平台即时发布的相关规则为准。</w:t>
      </w:r>
    </w:p>
    <w:p>
      <w:pPr>
        <w:widowControl w:val="0"/>
        <w:tabs>
          <w:tab w:val="left" w:pos="39"/>
          <w:tab w:val="left" w:pos="96"/>
        </w:tabs>
        <w:snapToGrid w:val="0"/>
        <w:spacing w:line="360" w:lineRule="auto"/>
        <w:ind w:firstLine="540" w:firstLineChars="225"/>
        <w:rPr>
          <w:rFonts w:ascii="宋体"/>
          <w:color w:val="auto"/>
          <w:sz w:val="24"/>
          <w:szCs w:val="24"/>
        </w:rPr>
      </w:pPr>
      <w:r>
        <w:rPr>
          <w:rFonts w:hint="eastAsia" w:ascii="宋体" w:hAnsi="宋体"/>
          <w:color w:val="auto"/>
          <w:sz w:val="24"/>
          <w:szCs w:val="24"/>
        </w:rPr>
        <w:t>10.8望投标人充分熟悉网上电子交易操作流程、以便有效投标。</w:t>
      </w:r>
    </w:p>
    <w:p>
      <w:pPr>
        <w:widowControl w:val="0"/>
        <w:tabs>
          <w:tab w:val="left" w:pos="39"/>
          <w:tab w:val="left" w:pos="96"/>
        </w:tabs>
        <w:snapToGrid w:val="0"/>
        <w:spacing w:line="360" w:lineRule="auto"/>
        <w:ind w:firstLine="540" w:firstLineChars="225"/>
        <w:rPr>
          <w:rFonts w:ascii="宋体"/>
          <w:color w:val="auto"/>
          <w:sz w:val="24"/>
          <w:szCs w:val="24"/>
        </w:rPr>
      </w:pPr>
    </w:p>
    <w:p>
      <w:pPr>
        <w:widowControl w:val="0"/>
        <w:tabs>
          <w:tab w:val="left" w:pos="39"/>
          <w:tab w:val="left" w:pos="96"/>
        </w:tabs>
        <w:snapToGrid w:val="0"/>
        <w:spacing w:line="360" w:lineRule="auto"/>
        <w:ind w:firstLine="5220" w:firstLineChars="2175"/>
        <w:jc w:val="right"/>
        <w:rPr>
          <w:rFonts w:ascii="宋体"/>
          <w:color w:val="auto"/>
          <w:sz w:val="24"/>
          <w:szCs w:val="24"/>
        </w:rPr>
      </w:pPr>
      <w:r>
        <w:rPr>
          <w:rFonts w:hint="eastAsia" w:ascii="宋体"/>
          <w:color w:val="auto"/>
          <w:sz w:val="24"/>
          <w:szCs w:val="24"/>
        </w:rPr>
        <w:t>安阳市方正招标采购服务有限责任公司</w:t>
      </w:r>
    </w:p>
    <w:p>
      <w:pPr>
        <w:widowControl w:val="0"/>
        <w:tabs>
          <w:tab w:val="left" w:pos="39"/>
          <w:tab w:val="left" w:pos="96"/>
        </w:tabs>
        <w:snapToGrid w:val="0"/>
        <w:spacing w:line="360" w:lineRule="auto"/>
        <w:ind w:firstLine="540" w:firstLineChars="225"/>
        <w:jc w:val="right"/>
        <w:rPr>
          <w:rFonts w:ascii="宋体"/>
          <w:color w:val="auto"/>
          <w:sz w:val="24"/>
          <w:szCs w:val="24"/>
        </w:rPr>
      </w:pPr>
      <w:r>
        <w:rPr>
          <w:rFonts w:hint="eastAsia" w:ascii="宋体"/>
          <w:color w:val="auto"/>
          <w:sz w:val="24"/>
          <w:szCs w:val="24"/>
        </w:rPr>
        <w:t>二〇二二年九月二十三日</w:t>
      </w:r>
    </w:p>
    <w:p>
      <w:pPr>
        <w:widowControl w:val="0"/>
        <w:tabs>
          <w:tab w:val="left" w:pos="39"/>
          <w:tab w:val="left" w:pos="96"/>
        </w:tabs>
        <w:snapToGrid w:val="0"/>
        <w:spacing w:line="360" w:lineRule="auto"/>
        <w:ind w:firstLine="540" w:firstLineChars="225"/>
        <w:rPr>
          <w:rFonts w:ascii="宋体"/>
          <w:color w:val="auto"/>
          <w:sz w:val="24"/>
          <w:szCs w:val="24"/>
        </w:rPr>
      </w:pPr>
    </w:p>
    <w:p>
      <w:pPr>
        <w:widowControl w:val="0"/>
        <w:tabs>
          <w:tab w:val="left" w:pos="39"/>
          <w:tab w:val="left" w:pos="96"/>
        </w:tabs>
        <w:snapToGrid w:val="0"/>
        <w:spacing w:line="360" w:lineRule="auto"/>
        <w:ind w:firstLine="630" w:firstLineChars="225"/>
        <w:rPr>
          <w:rFonts w:eastAsia="方正黑体简体"/>
          <w:color w:val="auto"/>
          <w:sz w:val="28"/>
          <w:szCs w:val="28"/>
        </w:rPr>
      </w:pPr>
      <w:r>
        <w:rPr>
          <w:rFonts w:eastAsia="方正黑体简体"/>
          <w:color w:val="auto"/>
          <w:sz w:val="28"/>
          <w:szCs w:val="28"/>
        </w:rPr>
        <w:br w:type="page"/>
      </w:r>
    </w:p>
    <w:p>
      <w:pPr>
        <w:widowControl w:val="0"/>
        <w:snapToGrid w:val="0"/>
        <w:spacing w:line="360" w:lineRule="auto"/>
        <w:jc w:val="center"/>
        <w:outlineLvl w:val="0"/>
        <w:rPr>
          <w:rFonts w:eastAsia="方正黑体简体"/>
          <w:color w:val="auto"/>
          <w:sz w:val="36"/>
          <w:szCs w:val="36"/>
        </w:rPr>
      </w:pPr>
      <w:bookmarkStart w:id="17" w:name="_Toc114740081"/>
      <w:r>
        <w:rPr>
          <w:rFonts w:hint="eastAsia" w:eastAsia="黑体"/>
          <w:b/>
          <w:color w:val="auto"/>
          <w:sz w:val="36"/>
          <w:szCs w:val="36"/>
        </w:rPr>
        <w:t>第二章</w:t>
      </w:r>
      <w:r>
        <w:rPr>
          <w:rFonts w:eastAsia="黑体"/>
          <w:b/>
          <w:color w:val="auto"/>
          <w:sz w:val="36"/>
          <w:szCs w:val="36"/>
        </w:rPr>
        <w:t xml:space="preserve">  </w:t>
      </w:r>
      <w:r>
        <w:rPr>
          <w:rFonts w:hint="eastAsia" w:eastAsia="黑体"/>
          <w:b/>
          <w:color w:val="auto"/>
          <w:sz w:val="36"/>
          <w:szCs w:val="36"/>
        </w:rPr>
        <w:t>招标项目要求及采购需求</w:t>
      </w:r>
      <w:bookmarkEnd w:id="17"/>
    </w:p>
    <w:p>
      <w:pPr>
        <w:widowControl w:val="0"/>
        <w:snapToGrid w:val="0"/>
        <w:spacing w:line="360" w:lineRule="auto"/>
        <w:jc w:val="center"/>
        <w:rPr>
          <w:b/>
          <w:color w:val="auto"/>
          <w:sz w:val="28"/>
        </w:rPr>
      </w:pPr>
    </w:p>
    <w:p>
      <w:pPr>
        <w:widowControl w:val="0"/>
        <w:snapToGrid w:val="0"/>
        <w:spacing w:line="360" w:lineRule="auto"/>
        <w:ind w:firstLine="422" w:firstLineChars="150"/>
        <w:jc w:val="left"/>
        <w:outlineLvl w:val="1"/>
        <w:rPr>
          <w:rFonts w:ascii="黑体" w:hAnsi="黑体" w:eastAsia="黑体"/>
          <w:b/>
          <w:color w:val="auto"/>
          <w:sz w:val="28"/>
        </w:rPr>
      </w:pPr>
      <w:bookmarkStart w:id="18" w:name="_Toc114740082"/>
      <w:r>
        <w:rPr>
          <w:rFonts w:ascii="黑体" w:hAnsi="黑体" w:eastAsia="黑体"/>
          <w:b/>
          <w:color w:val="auto"/>
          <w:sz w:val="28"/>
        </w:rPr>
        <w:t xml:space="preserve">1. </w:t>
      </w:r>
      <w:r>
        <w:rPr>
          <w:rFonts w:hint="eastAsia" w:ascii="黑体" w:hAnsi="黑体" w:eastAsia="黑体"/>
          <w:b/>
          <w:color w:val="auto"/>
          <w:sz w:val="28"/>
        </w:rPr>
        <w:t>招标项目、标段（包）划分、投标报价</w:t>
      </w:r>
      <w:bookmarkEnd w:id="18"/>
    </w:p>
    <w:p>
      <w:pPr>
        <w:widowControl w:val="0"/>
        <w:snapToGrid w:val="0"/>
        <w:spacing w:line="360" w:lineRule="auto"/>
        <w:ind w:firstLine="482" w:firstLineChars="200"/>
        <w:jc w:val="left"/>
        <w:rPr>
          <w:color w:val="auto"/>
          <w:sz w:val="24"/>
          <w:szCs w:val="24"/>
        </w:rPr>
      </w:pPr>
      <w:r>
        <w:rPr>
          <w:rFonts w:ascii="黑体" w:hAnsi="黑体" w:eastAsia="黑体"/>
          <w:b/>
          <w:color w:val="auto"/>
          <w:sz w:val="24"/>
          <w:szCs w:val="24"/>
        </w:rPr>
        <w:t>1.1</w:t>
      </w:r>
      <w:r>
        <w:rPr>
          <w:rFonts w:hint="eastAsia" w:ascii="黑体" w:hAnsi="黑体" w:eastAsia="黑体"/>
          <w:b/>
          <w:color w:val="auto"/>
          <w:sz w:val="24"/>
          <w:szCs w:val="24"/>
        </w:rPr>
        <w:t>招标项目名称</w:t>
      </w:r>
      <w:r>
        <w:rPr>
          <w:rFonts w:hint="eastAsia"/>
          <w:color w:val="auto"/>
          <w:sz w:val="24"/>
          <w:szCs w:val="24"/>
        </w:rPr>
        <w:t>：安阳市生态环境局2022年安阳市乡镇环境空气自动站升级改造项目</w:t>
      </w:r>
    </w:p>
    <w:p>
      <w:pPr>
        <w:widowControl w:val="0"/>
        <w:snapToGrid w:val="0"/>
        <w:spacing w:line="360" w:lineRule="auto"/>
        <w:ind w:firstLine="482" w:firstLineChars="200"/>
        <w:jc w:val="left"/>
        <w:rPr>
          <w:color w:val="auto"/>
          <w:sz w:val="24"/>
          <w:szCs w:val="24"/>
        </w:rPr>
      </w:pPr>
      <w:r>
        <w:rPr>
          <w:rFonts w:ascii="黑体" w:hAnsi="黑体" w:eastAsia="黑体"/>
          <w:b/>
          <w:color w:val="auto"/>
          <w:sz w:val="24"/>
          <w:szCs w:val="24"/>
        </w:rPr>
        <w:t xml:space="preserve">1.2 </w:t>
      </w:r>
      <w:r>
        <w:rPr>
          <w:rFonts w:hint="eastAsia" w:ascii="黑体" w:hAnsi="黑体" w:eastAsia="黑体"/>
          <w:b/>
          <w:color w:val="auto"/>
          <w:sz w:val="24"/>
          <w:szCs w:val="24"/>
        </w:rPr>
        <w:t>标段（包）划分及其交付（实施）期交付（实施）地点</w:t>
      </w:r>
      <w:r>
        <w:rPr>
          <w:rFonts w:hint="eastAsia"/>
          <w:color w:val="auto"/>
          <w:sz w:val="24"/>
          <w:szCs w:val="24"/>
        </w:rPr>
        <w:t>：本次招标项目划分为3个标段（包）。</w:t>
      </w:r>
    </w:p>
    <w:tbl>
      <w:tblPr>
        <w:tblStyle w:val="19"/>
        <w:tblW w:w="10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2976"/>
        <w:gridCol w:w="2410"/>
        <w:gridCol w:w="2126"/>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4" w:type="dxa"/>
            <w:gridSpan w:val="5"/>
            <w:vAlign w:val="center"/>
          </w:tcPr>
          <w:p>
            <w:pPr>
              <w:widowControl w:val="0"/>
              <w:snapToGrid w:val="0"/>
              <w:spacing w:line="240" w:lineRule="auto"/>
              <w:jc w:val="center"/>
              <w:rPr>
                <w:rFonts w:ascii="宋体" w:hAnsi="宋体"/>
                <w:b/>
                <w:color w:val="auto"/>
                <w:sz w:val="24"/>
                <w:szCs w:val="24"/>
              </w:rPr>
            </w:pPr>
            <w:r>
              <w:rPr>
                <w:rFonts w:hint="eastAsia" w:ascii="宋体" w:hAnsi="宋体"/>
                <w:b/>
                <w:color w:val="auto"/>
                <w:sz w:val="24"/>
                <w:szCs w:val="24"/>
              </w:rPr>
              <w:t>标段（包）一览表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460" w:type="dxa"/>
            <w:vAlign w:val="center"/>
          </w:tcPr>
          <w:p>
            <w:pPr>
              <w:widowControl w:val="0"/>
              <w:snapToGrid w:val="0"/>
              <w:jc w:val="center"/>
              <w:rPr>
                <w:rFonts w:ascii="宋体" w:hAnsi="宋体"/>
                <w:b/>
                <w:color w:val="auto"/>
                <w:sz w:val="24"/>
                <w:szCs w:val="24"/>
              </w:rPr>
            </w:pPr>
            <w:r>
              <w:rPr>
                <w:rFonts w:hint="eastAsia" w:ascii="宋体" w:hAnsi="宋体"/>
                <w:b/>
                <w:color w:val="auto"/>
                <w:sz w:val="24"/>
                <w:szCs w:val="24"/>
              </w:rPr>
              <w:t>项目名称</w:t>
            </w:r>
          </w:p>
        </w:tc>
        <w:tc>
          <w:tcPr>
            <w:tcW w:w="2976" w:type="dxa"/>
            <w:vAlign w:val="center"/>
          </w:tcPr>
          <w:p>
            <w:pPr>
              <w:widowControl w:val="0"/>
              <w:snapToGrid w:val="0"/>
              <w:jc w:val="center"/>
              <w:rPr>
                <w:rFonts w:ascii="宋体" w:hAnsi="宋体"/>
                <w:b/>
                <w:color w:val="auto"/>
                <w:sz w:val="24"/>
                <w:szCs w:val="24"/>
              </w:rPr>
            </w:pPr>
            <w:r>
              <w:rPr>
                <w:rFonts w:hint="eastAsia" w:ascii="宋体" w:hAnsi="宋体"/>
                <w:b/>
                <w:color w:val="auto"/>
                <w:sz w:val="24"/>
                <w:szCs w:val="24"/>
              </w:rPr>
              <w:t>标段（包）名称</w:t>
            </w:r>
          </w:p>
        </w:tc>
        <w:tc>
          <w:tcPr>
            <w:tcW w:w="2410" w:type="dxa"/>
            <w:vAlign w:val="center"/>
          </w:tcPr>
          <w:p>
            <w:pPr>
              <w:widowControl w:val="0"/>
              <w:snapToGrid w:val="0"/>
              <w:jc w:val="center"/>
              <w:rPr>
                <w:rFonts w:ascii="宋体" w:hAnsi="宋体"/>
                <w:b/>
                <w:color w:val="auto"/>
                <w:sz w:val="24"/>
                <w:szCs w:val="24"/>
              </w:rPr>
            </w:pPr>
            <w:r>
              <w:rPr>
                <w:rFonts w:hint="eastAsia" w:ascii="宋体" w:hAnsi="宋体"/>
                <w:b/>
                <w:color w:val="auto"/>
                <w:sz w:val="24"/>
                <w:szCs w:val="24"/>
              </w:rPr>
              <w:t>标段（包）内容（范围）</w:t>
            </w:r>
          </w:p>
        </w:tc>
        <w:tc>
          <w:tcPr>
            <w:tcW w:w="2126" w:type="dxa"/>
            <w:vAlign w:val="center"/>
          </w:tcPr>
          <w:p>
            <w:pPr>
              <w:widowControl w:val="0"/>
              <w:snapToGrid w:val="0"/>
              <w:spacing w:line="240" w:lineRule="auto"/>
              <w:jc w:val="center"/>
              <w:rPr>
                <w:rFonts w:ascii="宋体" w:hAnsi="宋体"/>
                <w:b/>
                <w:color w:val="auto"/>
                <w:sz w:val="24"/>
                <w:szCs w:val="24"/>
              </w:rPr>
            </w:pPr>
            <w:r>
              <w:rPr>
                <w:rFonts w:hint="eastAsia" w:ascii="宋体" w:hAnsi="宋体"/>
                <w:b/>
                <w:color w:val="auto"/>
                <w:sz w:val="24"/>
                <w:szCs w:val="24"/>
              </w:rPr>
              <w:t>合同履行期限</w:t>
            </w:r>
          </w:p>
          <w:p>
            <w:pPr>
              <w:widowControl w:val="0"/>
              <w:snapToGrid w:val="0"/>
              <w:jc w:val="center"/>
              <w:rPr>
                <w:rFonts w:ascii="宋体" w:hAnsi="宋体"/>
                <w:b/>
                <w:color w:val="auto"/>
                <w:sz w:val="24"/>
                <w:szCs w:val="24"/>
              </w:rPr>
            </w:pPr>
            <w:r>
              <w:rPr>
                <w:rFonts w:hint="eastAsia" w:ascii="宋体" w:hAnsi="宋体"/>
                <w:b/>
                <w:color w:val="auto"/>
                <w:sz w:val="24"/>
                <w:szCs w:val="24"/>
              </w:rPr>
              <w:t>（交付&lt;实施&gt;期）</w:t>
            </w:r>
          </w:p>
        </w:tc>
        <w:tc>
          <w:tcPr>
            <w:tcW w:w="1342" w:type="dxa"/>
            <w:vAlign w:val="center"/>
          </w:tcPr>
          <w:p>
            <w:pPr>
              <w:widowControl w:val="0"/>
              <w:snapToGrid w:val="0"/>
              <w:jc w:val="center"/>
              <w:rPr>
                <w:rFonts w:ascii="宋体" w:hAnsi="宋体"/>
                <w:b/>
                <w:color w:val="auto"/>
                <w:sz w:val="24"/>
                <w:szCs w:val="24"/>
              </w:rPr>
            </w:pPr>
            <w:r>
              <w:rPr>
                <w:rFonts w:hint="eastAsia" w:ascii="宋体" w:hAnsi="宋体"/>
                <w:b/>
                <w:color w:val="auto"/>
                <w:sz w:val="24"/>
                <w:szCs w:val="24"/>
              </w:rPr>
              <w:t>交付（实施）地点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460" w:type="dxa"/>
            <w:vMerge w:val="restart"/>
            <w:vAlign w:val="center"/>
          </w:tcPr>
          <w:p>
            <w:pPr>
              <w:widowControl w:val="0"/>
              <w:snapToGrid w:val="0"/>
              <w:spacing w:line="240" w:lineRule="auto"/>
              <w:rPr>
                <w:rFonts w:ascii="宋体" w:hAnsi="宋体"/>
                <w:color w:val="auto"/>
                <w:sz w:val="24"/>
                <w:szCs w:val="24"/>
              </w:rPr>
            </w:pPr>
            <w:r>
              <w:rPr>
                <w:rFonts w:hint="eastAsia" w:ascii="宋体" w:hAnsi="宋体"/>
                <w:color w:val="auto"/>
                <w:sz w:val="24"/>
                <w:szCs w:val="24"/>
              </w:rPr>
              <w:t>安阳市生态环境局2022年安阳市乡镇环境空气自动站升级改造项目</w:t>
            </w:r>
          </w:p>
        </w:tc>
        <w:tc>
          <w:tcPr>
            <w:tcW w:w="2976" w:type="dxa"/>
          </w:tcPr>
          <w:p>
            <w:pPr>
              <w:rPr>
                <w:rFonts w:ascii="宋体" w:hAnsi="宋体"/>
                <w:color w:val="auto"/>
                <w:sz w:val="24"/>
                <w:szCs w:val="24"/>
              </w:rPr>
            </w:pPr>
            <w:r>
              <w:rPr>
                <w:rFonts w:hint="eastAsia" w:ascii="宋体" w:hAnsi="宋体"/>
                <w:color w:val="auto"/>
                <w:sz w:val="24"/>
                <w:szCs w:val="24"/>
              </w:rPr>
              <w:t>安阳市生态环境局2022年安阳市乡镇环境空气自动站升级改造项目(包1)</w:t>
            </w:r>
          </w:p>
        </w:tc>
        <w:tc>
          <w:tcPr>
            <w:tcW w:w="2410" w:type="dxa"/>
            <w:vMerge w:val="restart"/>
            <w:vAlign w:val="center"/>
          </w:tcPr>
          <w:p>
            <w:pPr>
              <w:widowControl w:val="0"/>
              <w:snapToGrid w:val="0"/>
              <w:spacing w:line="240" w:lineRule="auto"/>
              <w:rPr>
                <w:rFonts w:ascii="宋体" w:hAnsi="宋体"/>
                <w:color w:val="auto"/>
                <w:sz w:val="24"/>
                <w:szCs w:val="24"/>
              </w:rPr>
            </w:pPr>
            <w:r>
              <w:rPr>
                <w:rFonts w:hint="eastAsia" w:ascii="宋体" w:hAnsi="宋体"/>
                <w:color w:val="auto"/>
                <w:sz w:val="24"/>
                <w:szCs w:val="24"/>
              </w:rPr>
              <w:t>见“第二章第</w:t>
            </w:r>
            <w:r>
              <w:rPr>
                <w:rFonts w:ascii="宋体" w:hAnsi="宋体"/>
                <w:color w:val="auto"/>
                <w:sz w:val="24"/>
                <w:szCs w:val="24"/>
              </w:rPr>
              <w:t>2</w:t>
            </w:r>
            <w:r>
              <w:rPr>
                <w:rFonts w:hint="eastAsia" w:ascii="宋体" w:hAnsi="宋体"/>
                <w:color w:val="auto"/>
                <w:sz w:val="24"/>
                <w:szCs w:val="24"/>
              </w:rPr>
              <w:t>条：标段（包）内容（范围）及具体采购需求”</w:t>
            </w:r>
          </w:p>
        </w:tc>
        <w:tc>
          <w:tcPr>
            <w:tcW w:w="2126" w:type="dxa"/>
            <w:vMerge w:val="restart"/>
            <w:vAlign w:val="center"/>
          </w:tcPr>
          <w:p>
            <w:pPr>
              <w:widowControl w:val="0"/>
              <w:snapToGrid w:val="0"/>
              <w:spacing w:line="240" w:lineRule="auto"/>
              <w:ind w:left="1200" w:hanging="1200" w:hangingChars="500"/>
              <w:rPr>
                <w:rFonts w:ascii="宋体" w:hAnsi="宋体"/>
                <w:color w:val="auto"/>
                <w:sz w:val="24"/>
                <w:szCs w:val="24"/>
              </w:rPr>
            </w:pPr>
            <w:r>
              <w:rPr>
                <w:rFonts w:hint="eastAsia" w:ascii="宋体" w:hAnsi="宋体"/>
                <w:color w:val="auto"/>
                <w:sz w:val="24"/>
                <w:szCs w:val="24"/>
              </w:rPr>
              <w:t>合同签订日起至</w:t>
            </w:r>
          </w:p>
          <w:p>
            <w:pPr>
              <w:widowControl w:val="0"/>
              <w:snapToGrid w:val="0"/>
              <w:spacing w:line="240" w:lineRule="auto"/>
              <w:rPr>
                <w:rFonts w:ascii="宋体" w:hAnsi="宋体"/>
                <w:color w:val="auto"/>
                <w:sz w:val="24"/>
                <w:szCs w:val="24"/>
              </w:rPr>
            </w:pPr>
            <w:r>
              <w:rPr>
                <w:rFonts w:hint="eastAsia" w:ascii="宋体" w:hAnsi="宋体"/>
                <w:color w:val="auto"/>
                <w:sz w:val="24"/>
                <w:szCs w:val="24"/>
                <w:u w:val="single"/>
              </w:rPr>
              <w:t xml:space="preserve">2022年10月30日前完成设备安装调试、联网运行；项目运维期限：一年；质保期：一年；            </w:t>
            </w:r>
          </w:p>
        </w:tc>
        <w:tc>
          <w:tcPr>
            <w:tcW w:w="1342" w:type="dxa"/>
            <w:vMerge w:val="restart"/>
            <w:vAlign w:val="center"/>
          </w:tcPr>
          <w:p>
            <w:pPr>
              <w:widowControl w:val="0"/>
              <w:snapToGrid w:val="0"/>
              <w:spacing w:line="240" w:lineRule="auto"/>
              <w:rPr>
                <w:rFonts w:ascii="宋体" w:hAnsi="宋体"/>
                <w:color w:val="auto"/>
                <w:sz w:val="24"/>
                <w:szCs w:val="24"/>
              </w:rPr>
            </w:pPr>
            <w:r>
              <w:rPr>
                <w:rFonts w:hint="eastAsia" w:ascii="宋体" w:hAnsi="宋体"/>
                <w:color w:val="auto"/>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460" w:type="dxa"/>
            <w:vMerge w:val="continue"/>
            <w:vAlign w:val="center"/>
          </w:tcPr>
          <w:p>
            <w:pPr>
              <w:widowControl w:val="0"/>
              <w:snapToGrid w:val="0"/>
              <w:spacing w:line="240" w:lineRule="auto"/>
              <w:rPr>
                <w:rFonts w:ascii="宋体" w:hAnsi="宋体"/>
                <w:color w:val="auto"/>
                <w:sz w:val="24"/>
                <w:szCs w:val="24"/>
              </w:rPr>
            </w:pPr>
          </w:p>
        </w:tc>
        <w:tc>
          <w:tcPr>
            <w:tcW w:w="2976" w:type="dxa"/>
          </w:tcPr>
          <w:p>
            <w:pPr>
              <w:rPr>
                <w:rFonts w:ascii="宋体" w:hAnsi="宋体"/>
                <w:color w:val="auto"/>
                <w:sz w:val="24"/>
                <w:szCs w:val="24"/>
              </w:rPr>
            </w:pPr>
            <w:r>
              <w:rPr>
                <w:rFonts w:hint="eastAsia" w:ascii="宋体" w:hAnsi="宋体"/>
                <w:color w:val="auto"/>
                <w:sz w:val="24"/>
                <w:szCs w:val="24"/>
              </w:rPr>
              <w:t>安阳市生态环境局2022年安阳市乡镇环境空气自动站升级改造项目（包2）</w:t>
            </w:r>
          </w:p>
        </w:tc>
        <w:tc>
          <w:tcPr>
            <w:tcW w:w="2410" w:type="dxa"/>
            <w:vMerge w:val="continue"/>
            <w:vAlign w:val="center"/>
          </w:tcPr>
          <w:p>
            <w:pPr>
              <w:widowControl w:val="0"/>
              <w:snapToGrid w:val="0"/>
              <w:spacing w:line="240" w:lineRule="auto"/>
              <w:rPr>
                <w:rFonts w:ascii="宋体" w:hAnsi="宋体"/>
                <w:color w:val="auto"/>
                <w:sz w:val="24"/>
                <w:szCs w:val="24"/>
              </w:rPr>
            </w:pPr>
          </w:p>
        </w:tc>
        <w:tc>
          <w:tcPr>
            <w:tcW w:w="2126" w:type="dxa"/>
            <w:vMerge w:val="continue"/>
            <w:vAlign w:val="center"/>
          </w:tcPr>
          <w:p>
            <w:pPr>
              <w:widowControl w:val="0"/>
              <w:snapToGrid w:val="0"/>
              <w:spacing w:line="240" w:lineRule="auto"/>
              <w:rPr>
                <w:rFonts w:ascii="宋体" w:hAnsi="宋体"/>
                <w:color w:val="auto"/>
                <w:sz w:val="24"/>
                <w:szCs w:val="24"/>
              </w:rPr>
            </w:pPr>
          </w:p>
        </w:tc>
        <w:tc>
          <w:tcPr>
            <w:tcW w:w="1342" w:type="dxa"/>
            <w:vMerge w:val="continue"/>
            <w:vAlign w:val="center"/>
          </w:tcPr>
          <w:p>
            <w:pPr>
              <w:widowControl w:val="0"/>
              <w:snapToGrid w:val="0"/>
              <w:spacing w:line="240" w:lineRule="auto"/>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460" w:type="dxa"/>
            <w:vMerge w:val="continue"/>
            <w:vAlign w:val="center"/>
          </w:tcPr>
          <w:p>
            <w:pPr>
              <w:widowControl w:val="0"/>
              <w:snapToGrid w:val="0"/>
              <w:spacing w:line="240" w:lineRule="auto"/>
              <w:rPr>
                <w:rFonts w:ascii="宋体" w:hAnsi="宋体"/>
                <w:color w:val="auto"/>
                <w:sz w:val="24"/>
                <w:szCs w:val="24"/>
              </w:rPr>
            </w:pPr>
          </w:p>
        </w:tc>
        <w:tc>
          <w:tcPr>
            <w:tcW w:w="2976" w:type="dxa"/>
          </w:tcPr>
          <w:p>
            <w:pPr>
              <w:rPr>
                <w:rFonts w:ascii="宋体" w:hAnsi="宋体"/>
                <w:color w:val="auto"/>
                <w:sz w:val="24"/>
                <w:szCs w:val="24"/>
              </w:rPr>
            </w:pPr>
            <w:r>
              <w:rPr>
                <w:rFonts w:hint="eastAsia" w:ascii="宋体" w:hAnsi="宋体"/>
                <w:color w:val="auto"/>
                <w:sz w:val="24"/>
                <w:szCs w:val="24"/>
              </w:rPr>
              <w:t>安阳市生态环境局2022年安阳市乡镇环境空气自动站升级改造项目（包3）</w:t>
            </w:r>
          </w:p>
        </w:tc>
        <w:tc>
          <w:tcPr>
            <w:tcW w:w="2410" w:type="dxa"/>
            <w:vMerge w:val="continue"/>
            <w:vAlign w:val="center"/>
          </w:tcPr>
          <w:p>
            <w:pPr>
              <w:widowControl w:val="0"/>
              <w:snapToGrid w:val="0"/>
              <w:spacing w:line="240" w:lineRule="auto"/>
              <w:rPr>
                <w:rFonts w:ascii="宋体" w:hAnsi="宋体"/>
                <w:color w:val="auto"/>
                <w:sz w:val="24"/>
                <w:szCs w:val="24"/>
              </w:rPr>
            </w:pPr>
          </w:p>
        </w:tc>
        <w:tc>
          <w:tcPr>
            <w:tcW w:w="2126" w:type="dxa"/>
            <w:vMerge w:val="continue"/>
            <w:vAlign w:val="center"/>
          </w:tcPr>
          <w:p>
            <w:pPr>
              <w:widowControl w:val="0"/>
              <w:snapToGrid w:val="0"/>
              <w:spacing w:line="240" w:lineRule="auto"/>
              <w:rPr>
                <w:rFonts w:ascii="宋体" w:hAnsi="宋体"/>
                <w:color w:val="auto"/>
                <w:sz w:val="24"/>
                <w:szCs w:val="24"/>
              </w:rPr>
            </w:pPr>
          </w:p>
        </w:tc>
        <w:tc>
          <w:tcPr>
            <w:tcW w:w="1342" w:type="dxa"/>
            <w:vMerge w:val="continue"/>
            <w:vAlign w:val="center"/>
          </w:tcPr>
          <w:p>
            <w:pPr>
              <w:widowControl w:val="0"/>
              <w:snapToGrid w:val="0"/>
              <w:spacing w:line="240" w:lineRule="auto"/>
              <w:rPr>
                <w:rFonts w:ascii="宋体" w:hAnsi="宋体"/>
                <w:color w:val="auto"/>
                <w:sz w:val="24"/>
                <w:szCs w:val="24"/>
              </w:rPr>
            </w:pPr>
          </w:p>
        </w:tc>
      </w:tr>
    </w:tbl>
    <w:p>
      <w:pPr>
        <w:spacing w:line="560" w:lineRule="exact"/>
        <w:ind w:firstLine="482" w:firstLineChars="200"/>
        <w:rPr>
          <w:rFonts w:ascii="黑体" w:hAnsi="黑体" w:eastAsia="黑体"/>
          <w:b/>
          <w:color w:val="auto"/>
          <w:sz w:val="24"/>
          <w:szCs w:val="24"/>
        </w:rPr>
      </w:pPr>
      <w:r>
        <w:rPr>
          <w:rFonts w:ascii="黑体" w:hAnsi="黑体" w:eastAsia="黑体"/>
          <w:b/>
          <w:color w:val="auto"/>
          <w:sz w:val="24"/>
          <w:szCs w:val="24"/>
        </w:rPr>
        <w:t xml:space="preserve">1.3 </w:t>
      </w:r>
      <w:r>
        <w:rPr>
          <w:rFonts w:hint="eastAsia" w:ascii="黑体" w:hAnsi="黑体" w:eastAsia="黑体"/>
          <w:b/>
          <w:color w:val="auto"/>
          <w:sz w:val="24"/>
          <w:szCs w:val="24"/>
        </w:rPr>
        <w:t>投标报价（价格构成）</w:t>
      </w:r>
    </w:p>
    <w:p>
      <w:pPr>
        <w:widowControl w:val="0"/>
        <w:snapToGrid w:val="0"/>
        <w:spacing w:line="360" w:lineRule="auto"/>
        <w:ind w:firstLine="480" w:firstLineChars="200"/>
        <w:jc w:val="left"/>
        <w:rPr>
          <w:color w:val="auto"/>
          <w:sz w:val="24"/>
          <w:szCs w:val="24"/>
        </w:rPr>
      </w:pPr>
      <w:r>
        <w:rPr>
          <w:color w:val="auto"/>
          <w:sz w:val="24"/>
          <w:szCs w:val="24"/>
        </w:rPr>
        <w:t xml:space="preserve">1.3.1 </w:t>
      </w:r>
      <w:r>
        <w:rPr>
          <w:rFonts w:hint="eastAsia"/>
          <w:color w:val="auto"/>
          <w:sz w:val="24"/>
          <w:szCs w:val="24"/>
        </w:rPr>
        <w:t>投标人应按标段（包）进行投标，各标段（包）的投标报价均应为达到正常使用条件下的目的地交验价，包括产品(设备)价款、相关税款、备品备件价、易损件价、专用工具价、售后及技术服务费、</w:t>
      </w:r>
      <w:r>
        <w:rPr>
          <w:rFonts w:hint="eastAsia" w:ascii="宋体" w:hAnsi="宋体"/>
          <w:color w:val="auto"/>
          <w:sz w:val="24"/>
          <w:szCs w:val="24"/>
        </w:rPr>
        <w:t>知识产权（如有）、保险（如需）、货物包装、</w:t>
      </w:r>
      <w:r>
        <w:rPr>
          <w:rFonts w:hint="eastAsia"/>
          <w:color w:val="auto"/>
          <w:sz w:val="24"/>
          <w:szCs w:val="24"/>
        </w:rPr>
        <w:t>安装调试费、联网过程中产生的软、硬件升级改造费、培训费及运送到安阳地区指定地点的运杂费、装卸费、运维服务费等与招标项目相关的、必须的款项及费用（包括未列明而完成交验所必须的所有设备、材料、工具、费用）。</w:t>
      </w:r>
      <w:r>
        <w:rPr>
          <w:rFonts w:hint="eastAsia" w:ascii="宋体" w:hAnsi="宋体"/>
          <w:color w:val="auto"/>
          <w:sz w:val="24"/>
          <w:szCs w:val="24"/>
        </w:rPr>
        <w:t>中标价格在中标合同范围内固定不变。</w:t>
      </w:r>
    </w:p>
    <w:p>
      <w:pPr>
        <w:widowControl w:val="0"/>
        <w:snapToGrid w:val="0"/>
        <w:spacing w:line="360" w:lineRule="auto"/>
        <w:ind w:firstLine="480" w:firstLineChars="200"/>
        <w:jc w:val="left"/>
        <w:rPr>
          <w:color w:val="auto"/>
          <w:sz w:val="24"/>
          <w:szCs w:val="24"/>
        </w:rPr>
      </w:pPr>
      <w:r>
        <w:rPr>
          <w:color w:val="auto"/>
          <w:sz w:val="24"/>
          <w:szCs w:val="24"/>
        </w:rPr>
        <w:t>1.3.2</w:t>
      </w:r>
      <w:r>
        <w:rPr>
          <w:rFonts w:hint="eastAsia"/>
          <w:color w:val="auto"/>
          <w:sz w:val="24"/>
          <w:szCs w:val="24"/>
        </w:rPr>
        <w:t>投标报价为一次性报价，报价时间截止后对投标报价的任何承诺、修改，除法定修正或招标文件规定修正情形外，评标委员会将不予考虑。</w:t>
      </w:r>
    </w:p>
    <w:p>
      <w:pPr>
        <w:widowControl w:val="0"/>
        <w:snapToGrid w:val="0"/>
        <w:spacing w:line="360" w:lineRule="auto"/>
        <w:ind w:firstLine="480" w:firstLineChars="200"/>
        <w:jc w:val="left"/>
        <w:rPr>
          <w:color w:val="auto"/>
          <w:sz w:val="24"/>
          <w:szCs w:val="24"/>
        </w:rPr>
      </w:pPr>
      <w:r>
        <w:rPr>
          <w:color w:val="auto"/>
          <w:sz w:val="24"/>
          <w:szCs w:val="24"/>
        </w:rPr>
        <w:t xml:space="preserve">1.3.3 </w:t>
      </w:r>
      <w:r>
        <w:rPr>
          <w:rFonts w:hint="eastAsia"/>
          <w:color w:val="auto"/>
          <w:sz w:val="24"/>
          <w:szCs w:val="24"/>
        </w:rPr>
        <w:t>如投标人的投标报价未超过</w:t>
      </w:r>
      <w:r>
        <w:rPr>
          <w:rFonts w:hint="eastAsia" w:ascii="宋体" w:hAnsi="宋体" w:cs="楷体_GB2312"/>
          <w:bCs/>
          <w:color w:val="auto"/>
          <w:sz w:val="24"/>
          <w:lang w:val="zh-CN"/>
        </w:rPr>
        <w:t>预算金额</w:t>
      </w:r>
      <w:r>
        <w:rPr>
          <w:rFonts w:hint="eastAsia"/>
          <w:color w:val="auto"/>
          <w:sz w:val="24"/>
          <w:szCs w:val="24"/>
        </w:rPr>
        <w:t>（见招标公告</w:t>
      </w:r>
      <w:r>
        <w:rPr>
          <w:color w:val="auto"/>
          <w:sz w:val="24"/>
          <w:szCs w:val="24"/>
        </w:rPr>
        <w:t>1.</w:t>
      </w:r>
      <w:r>
        <w:rPr>
          <w:rFonts w:hint="eastAsia"/>
          <w:color w:val="auto"/>
          <w:sz w:val="24"/>
          <w:szCs w:val="24"/>
        </w:rPr>
        <w:t>4）的供应商不足三家的，该标段（包）做废标处理。</w:t>
      </w:r>
    </w:p>
    <w:p>
      <w:pPr>
        <w:widowControl w:val="0"/>
        <w:snapToGrid w:val="0"/>
        <w:spacing w:line="360" w:lineRule="auto"/>
        <w:ind w:firstLine="480" w:firstLineChars="200"/>
        <w:jc w:val="left"/>
        <w:rPr>
          <w:color w:val="auto"/>
          <w:sz w:val="24"/>
          <w:szCs w:val="24"/>
        </w:rPr>
      </w:pPr>
      <w:r>
        <w:rPr>
          <w:color w:val="auto"/>
          <w:sz w:val="24"/>
          <w:szCs w:val="24"/>
        </w:rPr>
        <w:t xml:space="preserve">1.3.4 </w:t>
      </w:r>
      <w:r>
        <w:rPr>
          <w:rFonts w:hint="eastAsia"/>
          <w:color w:val="auto"/>
          <w:sz w:val="24"/>
          <w:szCs w:val="24"/>
        </w:rPr>
        <w:t>遵循第三章投标人须知</w:t>
      </w:r>
      <w:r>
        <w:rPr>
          <w:color w:val="auto"/>
          <w:sz w:val="24"/>
          <w:szCs w:val="24"/>
        </w:rPr>
        <w:t>3.7.</w:t>
      </w:r>
      <w:r>
        <w:rPr>
          <w:rFonts w:hint="eastAsia"/>
          <w:color w:val="auto"/>
          <w:sz w:val="24"/>
          <w:szCs w:val="24"/>
        </w:rPr>
        <w:t>5项规定。</w:t>
      </w:r>
    </w:p>
    <w:p>
      <w:pPr>
        <w:spacing w:line="560" w:lineRule="exact"/>
        <w:ind w:firstLine="562" w:firstLineChars="200"/>
        <w:rPr>
          <w:rFonts w:ascii="黑体" w:hAnsi="黑体" w:eastAsia="黑体"/>
          <w:b/>
          <w:color w:val="auto"/>
          <w:sz w:val="28"/>
        </w:rPr>
      </w:pPr>
    </w:p>
    <w:p>
      <w:pPr>
        <w:spacing w:line="560" w:lineRule="exact"/>
        <w:ind w:firstLine="562" w:firstLineChars="200"/>
        <w:outlineLvl w:val="1"/>
        <w:rPr>
          <w:rFonts w:ascii="黑体" w:hAnsi="黑体" w:eastAsia="黑体"/>
          <w:b/>
          <w:color w:val="auto"/>
          <w:sz w:val="28"/>
        </w:rPr>
      </w:pPr>
      <w:bookmarkStart w:id="19" w:name="_Toc114740083"/>
      <w:r>
        <w:rPr>
          <w:rFonts w:hint="eastAsia" w:ascii="黑体" w:hAnsi="黑体" w:eastAsia="黑体"/>
          <w:b/>
          <w:color w:val="auto"/>
          <w:sz w:val="28"/>
        </w:rPr>
        <w:t>包1、包2、包3：</w:t>
      </w:r>
    </w:p>
    <w:p>
      <w:pPr>
        <w:spacing w:line="560" w:lineRule="exact"/>
        <w:ind w:firstLine="562" w:firstLineChars="200"/>
        <w:outlineLvl w:val="1"/>
        <w:rPr>
          <w:rFonts w:ascii="黑体" w:hAnsi="黑体" w:eastAsia="黑体"/>
          <w:b/>
          <w:color w:val="auto"/>
          <w:sz w:val="28"/>
        </w:rPr>
      </w:pPr>
      <w:r>
        <w:rPr>
          <w:rFonts w:ascii="黑体" w:hAnsi="黑体" w:eastAsia="黑体"/>
          <w:b/>
          <w:color w:val="auto"/>
          <w:sz w:val="28"/>
        </w:rPr>
        <w:t xml:space="preserve">2. </w:t>
      </w:r>
      <w:r>
        <w:rPr>
          <w:rFonts w:hint="eastAsia" w:ascii="黑体" w:hAnsi="黑体" w:eastAsia="黑体"/>
          <w:b/>
          <w:color w:val="auto"/>
          <w:sz w:val="28"/>
        </w:rPr>
        <w:t>标段（包）内容（范围）及具体采购需求</w:t>
      </w:r>
      <w:bookmarkEnd w:id="19"/>
    </w:p>
    <w:p>
      <w:pPr>
        <w:spacing w:line="560" w:lineRule="exact"/>
        <w:ind w:firstLine="482" w:firstLineChars="200"/>
        <w:rPr>
          <w:color w:val="auto"/>
          <w:sz w:val="24"/>
          <w:szCs w:val="24"/>
        </w:rPr>
      </w:pPr>
      <w:r>
        <w:rPr>
          <w:rFonts w:ascii="黑体" w:hAnsi="黑体" w:eastAsia="黑体"/>
          <w:b/>
          <w:color w:val="auto"/>
          <w:sz w:val="24"/>
          <w:szCs w:val="24"/>
        </w:rPr>
        <w:t>2.1</w:t>
      </w:r>
      <w:r>
        <w:rPr>
          <w:rFonts w:hint="eastAsia" w:ascii="黑体" w:hAnsi="黑体" w:eastAsia="黑体"/>
          <w:b/>
          <w:color w:val="auto"/>
          <w:sz w:val="24"/>
          <w:szCs w:val="24"/>
        </w:rPr>
        <w:t>采购标的需实现的功能或者目标，标段（包）总体范围：</w:t>
      </w:r>
      <w:r>
        <w:rPr>
          <w:color w:val="auto"/>
          <w:sz w:val="24"/>
          <w:szCs w:val="24"/>
        </w:rPr>
        <w:t xml:space="preserve"> </w:t>
      </w:r>
    </w:p>
    <w:p>
      <w:pPr>
        <w:adjustRightInd w:val="0"/>
        <w:snapToGrid w:val="0"/>
        <w:spacing w:line="300" w:lineRule="auto"/>
        <w:ind w:firstLine="600" w:firstLineChars="250"/>
        <w:jc w:val="left"/>
        <w:rPr>
          <w:rFonts w:ascii="宋体" w:hAnsi="宋体" w:cs="宋体"/>
          <w:color w:val="auto"/>
          <w:sz w:val="24"/>
        </w:rPr>
      </w:pPr>
      <w:r>
        <w:rPr>
          <w:rFonts w:hint="eastAsia" w:ascii="宋体" w:hAnsi="宋体" w:cs="宋体"/>
          <w:color w:val="auto"/>
          <w:sz w:val="24"/>
        </w:rPr>
        <w:t>一、按时保质保量满足采购人正常工作需要。</w:t>
      </w:r>
    </w:p>
    <w:p>
      <w:pPr>
        <w:adjustRightInd w:val="0"/>
        <w:snapToGrid w:val="0"/>
        <w:spacing w:line="300" w:lineRule="auto"/>
        <w:ind w:firstLine="600" w:firstLineChars="250"/>
        <w:jc w:val="left"/>
        <w:rPr>
          <w:color w:val="auto"/>
          <w:sz w:val="24"/>
          <w:szCs w:val="24"/>
        </w:rPr>
      </w:pPr>
      <w:r>
        <w:rPr>
          <w:rFonts w:hint="eastAsia"/>
          <w:color w:val="auto"/>
          <w:sz w:val="24"/>
          <w:szCs w:val="24"/>
        </w:rPr>
        <w:t>中标人负责设备的安装、调试，并具备正常使用条件。</w:t>
      </w:r>
    </w:p>
    <w:p>
      <w:pPr>
        <w:adjustRightInd w:val="0"/>
        <w:snapToGrid w:val="0"/>
        <w:spacing w:line="300" w:lineRule="auto"/>
        <w:ind w:firstLine="600" w:firstLineChars="250"/>
        <w:jc w:val="left"/>
        <w:rPr>
          <w:rFonts w:ascii="宋体" w:hAnsi="宋体" w:cs="宋体"/>
          <w:color w:val="auto"/>
          <w:sz w:val="24"/>
        </w:rPr>
      </w:pPr>
      <w:r>
        <w:rPr>
          <w:rFonts w:hint="eastAsia" w:ascii="宋体" w:hAnsi="宋体" w:cs="宋体"/>
          <w:color w:val="auto"/>
          <w:sz w:val="24"/>
        </w:rPr>
        <w:t>二、项目概况：</w:t>
      </w:r>
    </w:p>
    <w:p>
      <w:pPr>
        <w:adjustRightInd w:val="0"/>
        <w:snapToGrid w:val="0"/>
        <w:spacing w:line="300" w:lineRule="auto"/>
        <w:ind w:firstLine="600" w:firstLineChars="250"/>
        <w:jc w:val="left"/>
        <w:rPr>
          <w:rFonts w:ascii="宋体" w:hAnsi="宋体" w:cs="宋体"/>
          <w:color w:val="auto"/>
          <w:sz w:val="24"/>
        </w:rPr>
      </w:pPr>
      <w:r>
        <w:rPr>
          <w:rFonts w:hint="eastAsia" w:ascii="宋体" w:hAnsi="宋体" w:cs="宋体"/>
          <w:color w:val="auto"/>
          <w:sz w:val="24"/>
        </w:rPr>
        <w:t>安阳市27个重点乡镇环境空气质量自动监测站升级改造，在原有监测因子PM</w:t>
      </w:r>
      <w:r>
        <w:rPr>
          <w:rFonts w:hint="eastAsia" w:ascii="宋体" w:hAnsi="宋体" w:cs="宋体"/>
          <w:color w:val="auto"/>
          <w:sz w:val="24"/>
          <w:vertAlign w:val="subscript"/>
        </w:rPr>
        <w:t>2.5</w:t>
      </w:r>
      <w:r>
        <w:rPr>
          <w:rFonts w:hint="eastAsia" w:ascii="宋体" w:hAnsi="宋体" w:cs="宋体"/>
          <w:color w:val="auto"/>
          <w:sz w:val="24"/>
        </w:rPr>
        <w:t>、PM</w:t>
      </w:r>
      <w:r>
        <w:rPr>
          <w:rFonts w:hint="eastAsia" w:ascii="宋体" w:hAnsi="宋体" w:cs="宋体"/>
          <w:color w:val="auto"/>
          <w:sz w:val="24"/>
          <w:vertAlign w:val="subscript"/>
        </w:rPr>
        <w:t>10</w:t>
      </w:r>
      <w:r>
        <w:rPr>
          <w:rFonts w:hint="eastAsia" w:ascii="宋体" w:hAnsi="宋体" w:cs="宋体"/>
          <w:color w:val="auto"/>
          <w:sz w:val="24"/>
        </w:rPr>
        <w:t>基础上，新增气态污染物（SO</w:t>
      </w:r>
      <w:r>
        <w:rPr>
          <w:rFonts w:hint="eastAsia" w:ascii="宋体" w:hAnsi="宋体" w:cs="宋体"/>
          <w:color w:val="auto"/>
          <w:sz w:val="24"/>
          <w:vertAlign w:val="subscript"/>
        </w:rPr>
        <w:t>2</w:t>
      </w:r>
      <w:r>
        <w:rPr>
          <w:rFonts w:hint="eastAsia" w:ascii="宋体" w:hAnsi="宋体" w:cs="宋体"/>
          <w:color w:val="auto"/>
          <w:sz w:val="24"/>
        </w:rPr>
        <w:t>、O</w:t>
      </w:r>
      <w:r>
        <w:rPr>
          <w:rFonts w:hint="eastAsia" w:ascii="宋体" w:hAnsi="宋体" w:cs="宋体"/>
          <w:color w:val="auto"/>
          <w:sz w:val="24"/>
          <w:vertAlign w:val="subscript"/>
        </w:rPr>
        <w:t>3</w:t>
      </w:r>
      <w:r>
        <w:rPr>
          <w:rFonts w:hint="eastAsia" w:ascii="宋体" w:hAnsi="宋体" w:cs="宋体"/>
          <w:color w:val="auto"/>
          <w:sz w:val="24"/>
        </w:rPr>
        <w:t>、NO</w:t>
      </w:r>
      <w:r>
        <w:rPr>
          <w:rFonts w:hint="eastAsia" w:ascii="宋体" w:hAnsi="宋体" w:cs="宋体"/>
          <w:color w:val="auto"/>
          <w:sz w:val="24"/>
          <w:vertAlign w:val="subscript"/>
        </w:rPr>
        <w:t>2</w:t>
      </w:r>
      <w:r>
        <w:rPr>
          <w:rFonts w:hint="eastAsia" w:ascii="宋体" w:hAnsi="宋体" w:cs="宋体"/>
          <w:color w:val="auto"/>
          <w:sz w:val="24"/>
        </w:rPr>
        <w:t>、CO）仪器设备、环境监控与质控联动设备、气象五参数、臭氧校准仪（包1：2台）、监控设施、采样系统、空调、UPS 等辅助设备及部分站点基础设施修复；监测数据满足国家、省和市数据采集、传输、审核等业务工作要求；颗粒物及气态污染物仪器设备运维服务1年。</w:t>
      </w:r>
    </w:p>
    <w:p>
      <w:pPr>
        <w:adjustRightInd w:val="0"/>
        <w:snapToGrid w:val="0"/>
        <w:spacing w:line="300" w:lineRule="auto"/>
        <w:ind w:firstLine="600" w:firstLineChars="250"/>
        <w:jc w:val="left"/>
        <w:rPr>
          <w:rFonts w:ascii="宋体" w:hAnsi="宋体" w:cs="宋体"/>
          <w:color w:val="auto"/>
          <w:sz w:val="24"/>
        </w:rPr>
      </w:pPr>
    </w:p>
    <w:p>
      <w:pPr>
        <w:adjustRightInd w:val="0"/>
        <w:snapToGrid w:val="0"/>
        <w:spacing w:beforeLines="50" w:line="300" w:lineRule="auto"/>
        <w:ind w:firstLine="482" w:firstLineChars="200"/>
        <w:rPr>
          <w:rFonts w:ascii="黑体" w:hAnsi="黑体" w:eastAsia="黑体"/>
          <w:b/>
          <w:color w:val="auto"/>
          <w:sz w:val="24"/>
          <w:szCs w:val="24"/>
        </w:rPr>
      </w:pPr>
      <w:r>
        <w:rPr>
          <w:rFonts w:ascii="黑体" w:hAnsi="黑体" w:eastAsia="黑体"/>
          <w:b/>
          <w:color w:val="auto"/>
          <w:sz w:val="24"/>
          <w:szCs w:val="24"/>
        </w:rPr>
        <w:t xml:space="preserve">2.2 </w:t>
      </w:r>
      <w:r>
        <w:rPr>
          <w:rFonts w:hint="eastAsia" w:ascii="黑体" w:hAnsi="黑体" w:eastAsia="黑体"/>
          <w:b/>
          <w:color w:val="auto"/>
          <w:sz w:val="24"/>
          <w:szCs w:val="24"/>
        </w:rPr>
        <w:t>项目落实的政府采购政策（法规标准条款）</w:t>
      </w:r>
    </w:p>
    <w:p>
      <w:pPr>
        <w:widowControl w:val="0"/>
        <w:adjustRightInd w:val="0"/>
        <w:snapToGrid w:val="0"/>
        <w:spacing w:line="300" w:lineRule="auto"/>
        <w:ind w:firstLine="480" w:firstLineChars="200"/>
        <w:rPr>
          <w:color w:val="auto"/>
          <w:sz w:val="24"/>
          <w:szCs w:val="24"/>
        </w:rPr>
      </w:pPr>
      <w:r>
        <w:rPr>
          <w:rFonts w:hint="eastAsia"/>
          <w:color w:val="auto"/>
          <w:sz w:val="24"/>
          <w:szCs w:val="24"/>
        </w:rPr>
        <w:t>2.2.1 政府采购节能产品、环境标志产品实施品目清单管理后，对本次采购产品属于“节能产品政府采购品目清单”中强制采购品目的，投标产品应当具有相应的认证证书（认证证书应当为国家确定的认证机构出具、且应处于有效期之内），投标文件中应当提供相应的认证证书（认证证书应当为国家确定的认证机构出具、且应处于有效期之内）。</w:t>
      </w:r>
    </w:p>
    <w:p>
      <w:pPr>
        <w:widowControl w:val="0"/>
        <w:adjustRightInd w:val="0"/>
        <w:snapToGrid w:val="0"/>
        <w:spacing w:line="300" w:lineRule="auto"/>
        <w:ind w:firstLine="480" w:firstLineChars="200"/>
        <w:rPr>
          <w:color w:val="auto"/>
          <w:sz w:val="24"/>
          <w:szCs w:val="24"/>
        </w:rPr>
      </w:pPr>
      <w:r>
        <w:rPr>
          <w:rFonts w:hint="eastAsia"/>
          <w:color w:val="auto"/>
          <w:sz w:val="24"/>
          <w:szCs w:val="24"/>
        </w:rPr>
        <w:t>属于政府强制采购品目、而未按要求提供相应资料的，</w:t>
      </w:r>
      <w:r>
        <w:rPr>
          <w:rFonts w:hint="eastAsia"/>
          <w:b/>
          <w:color w:val="auto"/>
          <w:sz w:val="24"/>
          <w:szCs w:val="24"/>
        </w:rPr>
        <w:t>为无效投标</w:t>
      </w:r>
      <w:r>
        <w:rPr>
          <w:rFonts w:hint="eastAsia"/>
          <w:color w:val="auto"/>
          <w:sz w:val="24"/>
          <w:szCs w:val="24"/>
        </w:rPr>
        <w:t>。</w:t>
      </w:r>
    </w:p>
    <w:p>
      <w:pPr>
        <w:widowControl w:val="0"/>
        <w:adjustRightInd w:val="0"/>
        <w:snapToGrid w:val="0"/>
        <w:spacing w:line="300" w:lineRule="auto"/>
        <w:ind w:firstLine="480" w:firstLineChars="200"/>
        <w:rPr>
          <w:color w:val="auto"/>
          <w:sz w:val="24"/>
          <w:szCs w:val="24"/>
        </w:rPr>
      </w:pPr>
      <w:r>
        <w:rPr>
          <w:rFonts w:hint="eastAsia"/>
          <w:color w:val="auto"/>
          <w:sz w:val="24"/>
          <w:szCs w:val="24"/>
        </w:rPr>
        <w:t>2.2.2 同等条件下，获得节能产品认证证书或环境标志产品认证证书的产品</w:t>
      </w:r>
      <w:r>
        <w:rPr>
          <w:rFonts w:hint="eastAsia" w:ascii="宋体" w:hAnsi="宋体" w:cs="宋体"/>
          <w:color w:val="auto"/>
          <w:sz w:val="24"/>
          <w:szCs w:val="24"/>
        </w:rPr>
        <w:t>或贫困地区产品</w:t>
      </w:r>
      <w:r>
        <w:rPr>
          <w:rFonts w:hint="eastAsia"/>
          <w:color w:val="auto"/>
          <w:sz w:val="24"/>
          <w:szCs w:val="24"/>
        </w:rPr>
        <w:t>优先采购。</w:t>
      </w:r>
    </w:p>
    <w:p>
      <w:pPr>
        <w:widowControl w:val="0"/>
        <w:adjustRightInd w:val="0"/>
        <w:snapToGrid w:val="0"/>
        <w:spacing w:line="300" w:lineRule="auto"/>
        <w:ind w:firstLine="1080" w:firstLineChars="450"/>
        <w:rPr>
          <w:color w:val="auto"/>
          <w:sz w:val="24"/>
          <w:szCs w:val="24"/>
        </w:rPr>
      </w:pPr>
      <w:r>
        <w:rPr>
          <w:rFonts w:hint="eastAsia"/>
          <w:color w:val="auto"/>
          <w:sz w:val="24"/>
          <w:szCs w:val="24"/>
        </w:rPr>
        <w:t>认证证书应当为国家确定的认证机构出具、且应处于有效期之内。</w:t>
      </w:r>
    </w:p>
    <w:p>
      <w:pPr>
        <w:widowControl w:val="0"/>
        <w:adjustRightInd w:val="0"/>
        <w:snapToGrid w:val="0"/>
        <w:spacing w:line="300" w:lineRule="auto"/>
        <w:ind w:firstLine="480" w:firstLineChars="200"/>
        <w:rPr>
          <w:color w:val="auto"/>
          <w:sz w:val="24"/>
          <w:szCs w:val="24"/>
        </w:rPr>
      </w:pPr>
      <w:r>
        <w:rPr>
          <w:color w:val="auto"/>
          <w:sz w:val="24"/>
          <w:szCs w:val="24"/>
        </w:rPr>
        <w:t xml:space="preserve">2.2.3 </w:t>
      </w:r>
      <w:r>
        <w:rPr>
          <w:rFonts w:hint="eastAsia"/>
          <w:color w:val="auto"/>
          <w:sz w:val="24"/>
          <w:szCs w:val="24"/>
        </w:rPr>
        <w:t>本次采购不允许进口产品参加。</w:t>
      </w:r>
    </w:p>
    <w:p>
      <w:pPr>
        <w:widowControl w:val="0"/>
        <w:adjustRightInd w:val="0"/>
        <w:snapToGrid w:val="0"/>
        <w:spacing w:line="300" w:lineRule="auto"/>
        <w:ind w:firstLine="480" w:firstLineChars="200"/>
        <w:rPr>
          <w:color w:val="auto"/>
          <w:sz w:val="24"/>
          <w:szCs w:val="24"/>
        </w:rPr>
      </w:pPr>
      <w:r>
        <w:rPr>
          <w:color w:val="auto"/>
          <w:sz w:val="24"/>
          <w:szCs w:val="24"/>
        </w:rPr>
        <w:t>2.</w:t>
      </w:r>
      <w:r>
        <w:rPr>
          <w:rFonts w:hint="eastAsia"/>
          <w:color w:val="auto"/>
          <w:sz w:val="24"/>
          <w:szCs w:val="24"/>
        </w:rPr>
        <w:t>2</w:t>
      </w:r>
      <w:r>
        <w:rPr>
          <w:color w:val="auto"/>
          <w:sz w:val="24"/>
          <w:szCs w:val="24"/>
        </w:rPr>
        <w:t>.4</w:t>
      </w:r>
      <w:r>
        <w:rPr>
          <w:rFonts w:hint="eastAsia"/>
          <w:color w:val="auto"/>
          <w:sz w:val="24"/>
          <w:szCs w:val="24"/>
        </w:rPr>
        <w:t>信息安全产品须通过国家信息安全认证中心认证，计算机产品须预装正版操作系统软件。</w:t>
      </w:r>
    </w:p>
    <w:p>
      <w:pPr>
        <w:widowControl w:val="0"/>
        <w:adjustRightInd w:val="0"/>
        <w:snapToGrid w:val="0"/>
        <w:spacing w:line="300" w:lineRule="auto"/>
        <w:ind w:firstLine="480" w:firstLineChars="200"/>
        <w:rPr>
          <w:color w:val="auto"/>
          <w:sz w:val="24"/>
          <w:szCs w:val="24"/>
        </w:rPr>
      </w:pPr>
      <w:r>
        <w:rPr>
          <w:color w:val="auto"/>
          <w:sz w:val="24"/>
          <w:szCs w:val="24"/>
        </w:rPr>
        <w:t xml:space="preserve">2.2.5 </w:t>
      </w:r>
      <w:r>
        <w:rPr>
          <w:rFonts w:hint="eastAsia"/>
          <w:color w:val="auto"/>
          <w:sz w:val="24"/>
          <w:szCs w:val="24"/>
        </w:rPr>
        <w:t>促进中小企业发展扶持政策：见第四章“评标办法”第</w:t>
      </w:r>
      <w:r>
        <w:rPr>
          <w:color w:val="auto"/>
          <w:sz w:val="24"/>
          <w:szCs w:val="24"/>
        </w:rPr>
        <w:t>4</w:t>
      </w:r>
      <w:r>
        <w:rPr>
          <w:rFonts w:hint="eastAsia"/>
          <w:color w:val="auto"/>
          <w:sz w:val="24"/>
          <w:szCs w:val="24"/>
        </w:rPr>
        <w:t>条。</w:t>
      </w:r>
    </w:p>
    <w:p>
      <w:pPr>
        <w:widowControl w:val="0"/>
        <w:adjustRightInd w:val="0"/>
        <w:snapToGrid w:val="0"/>
        <w:spacing w:line="300" w:lineRule="auto"/>
        <w:ind w:firstLine="480" w:firstLineChars="200"/>
        <w:rPr>
          <w:color w:val="auto"/>
          <w:sz w:val="24"/>
          <w:szCs w:val="24"/>
        </w:rPr>
      </w:pPr>
      <w:r>
        <w:rPr>
          <w:color w:val="auto"/>
          <w:sz w:val="24"/>
          <w:szCs w:val="24"/>
        </w:rPr>
        <w:t xml:space="preserve">2.2.6 </w:t>
      </w:r>
      <w:r>
        <w:rPr>
          <w:rFonts w:hint="eastAsia"/>
          <w:color w:val="auto"/>
          <w:sz w:val="24"/>
          <w:szCs w:val="24"/>
        </w:rPr>
        <w:t>政府采购支持监狱企业发展：见第四章“评标办法”第</w:t>
      </w:r>
      <w:r>
        <w:rPr>
          <w:color w:val="auto"/>
          <w:sz w:val="24"/>
          <w:szCs w:val="24"/>
        </w:rPr>
        <w:t>4</w:t>
      </w:r>
      <w:r>
        <w:rPr>
          <w:rFonts w:hint="eastAsia"/>
          <w:color w:val="auto"/>
          <w:sz w:val="24"/>
          <w:szCs w:val="24"/>
        </w:rPr>
        <w:t>条。</w:t>
      </w:r>
    </w:p>
    <w:p>
      <w:pPr>
        <w:widowControl w:val="0"/>
        <w:adjustRightInd w:val="0"/>
        <w:snapToGrid w:val="0"/>
        <w:spacing w:line="300" w:lineRule="auto"/>
        <w:ind w:firstLine="480" w:firstLineChars="200"/>
        <w:rPr>
          <w:color w:val="auto"/>
          <w:sz w:val="24"/>
          <w:szCs w:val="24"/>
        </w:rPr>
      </w:pPr>
      <w:r>
        <w:rPr>
          <w:rFonts w:hint="eastAsia"/>
          <w:color w:val="auto"/>
          <w:sz w:val="24"/>
          <w:szCs w:val="24"/>
        </w:rPr>
        <w:t>2.2.7 促进残疾人就业：见第四章“评标办法”第</w:t>
      </w:r>
      <w:r>
        <w:rPr>
          <w:color w:val="auto"/>
          <w:sz w:val="24"/>
          <w:szCs w:val="24"/>
        </w:rPr>
        <w:t>4</w:t>
      </w:r>
      <w:r>
        <w:rPr>
          <w:rFonts w:hint="eastAsia"/>
          <w:color w:val="auto"/>
          <w:sz w:val="24"/>
          <w:szCs w:val="24"/>
        </w:rPr>
        <w:t>条。</w:t>
      </w:r>
    </w:p>
    <w:p>
      <w:pPr>
        <w:widowControl w:val="0"/>
        <w:adjustRightInd w:val="0"/>
        <w:snapToGrid w:val="0"/>
        <w:spacing w:line="300" w:lineRule="auto"/>
        <w:ind w:firstLine="480" w:firstLineChars="200"/>
        <w:rPr>
          <w:color w:val="auto"/>
          <w:sz w:val="24"/>
          <w:szCs w:val="24"/>
        </w:rPr>
      </w:pPr>
      <w:r>
        <w:rPr>
          <w:rFonts w:hint="eastAsia"/>
          <w:color w:val="auto"/>
          <w:sz w:val="24"/>
          <w:szCs w:val="24"/>
        </w:rPr>
        <w:t>2.2.8所供产品有环保政策要求的，应符合相关环保法律政策要求。</w:t>
      </w:r>
    </w:p>
    <w:p>
      <w:pPr>
        <w:adjustRightInd w:val="0"/>
        <w:snapToGrid w:val="0"/>
        <w:spacing w:line="300" w:lineRule="auto"/>
        <w:jc w:val="left"/>
        <w:rPr>
          <w:rFonts w:ascii="宋体" w:cs="宋体"/>
          <w:color w:val="auto"/>
          <w:sz w:val="24"/>
        </w:rPr>
      </w:pPr>
    </w:p>
    <w:p>
      <w:pPr>
        <w:adjustRightInd w:val="0"/>
        <w:snapToGrid w:val="0"/>
        <w:spacing w:line="300" w:lineRule="auto"/>
        <w:ind w:firstLine="482" w:firstLineChars="200"/>
        <w:jc w:val="left"/>
        <w:rPr>
          <w:rFonts w:ascii="黑体" w:hAnsi="黑体" w:eastAsia="黑体"/>
          <w:b/>
          <w:color w:val="auto"/>
          <w:sz w:val="24"/>
          <w:szCs w:val="24"/>
        </w:rPr>
      </w:pPr>
      <w:r>
        <w:rPr>
          <w:rFonts w:ascii="黑体" w:hAnsi="黑体" w:eastAsia="黑体"/>
          <w:b/>
          <w:color w:val="auto"/>
          <w:sz w:val="24"/>
          <w:szCs w:val="24"/>
        </w:rPr>
        <w:t>2.3</w:t>
      </w:r>
      <w:r>
        <w:rPr>
          <w:rFonts w:hint="eastAsia" w:ascii="黑体" w:hAnsi="黑体" w:eastAsia="黑体"/>
          <w:b/>
          <w:color w:val="auto"/>
          <w:sz w:val="24"/>
          <w:szCs w:val="24"/>
        </w:rPr>
        <w:t>采购标的需执行的国家相关标准、行业标准、地方标准或者其他标准、规范；</w:t>
      </w:r>
    </w:p>
    <w:p>
      <w:pPr>
        <w:widowControl w:val="0"/>
        <w:adjustRightInd w:val="0"/>
        <w:snapToGrid w:val="0"/>
        <w:spacing w:beforeLines="50" w:line="300" w:lineRule="auto"/>
        <w:ind w:left="22" w:firstLine="555"/>
        <w:jc w:val="left"/>
        <w:rPr>
          <w:color w:val="auto"/>
          <w:sz w:val="24"/>
          <w:szCs w:val="24"/>
        </w:rPr>
      </w:pPr>
      <w:r>
        <w:rPr>
          <w:rFonts w:hint="eastAsia"/>
          <w:color w:val="auto"/>
          <w:sz w:val="24"/>
          <w:szCs w:val="24"/>
        </w:rPr>
        <w:t>投标人所投产品应为全新产品且符合国家质量标准、部颁标准及行业规范的要求，符合国家各项强制性规范及安全标准，投标产品不应与第三方存在知识产权权属问题；投标人应本着服务客户、为客户着想的宗旨，来完善产品及技术要求未尽事宜，不得以招标文件未列明事项为由，来降低投标产品的质量。</w:t>
      </w:r>
    </w:p>
    <w:p>
      <w:pPr>
        <w:spacing w:line="560" w:lineRule="exact"/>
        <w:rPr>
          <w:color w:val="auto"/>
          <w:sz w:val="24"/>
          <w:szCs w:val="24"/>
        </w:rPr>
      </w:pPr>
    </w:p>
    <w:p>
      <w:pPr>
        <w:spacing w:line="560" w:lineRule="exact"/>
        <w:ind w:firstLine="482" w:firstLineChars="200"/>
        <w:rPr>
          <w:rFonts w:ascii="宋体" w:hAnsi="宋体" w:cs="宋体"/>
          <w:color w:val="auto"/>
          <w:sz w:val="24"/>
        </w:rPr>
      </w:pPr>
      <w:r>
        <w:rPr>
          <w:rFonts w:ascii="黑体" w:hAnsi="黑体" w:eastAsia="黑体"/>
          <w:b/>
          <w:color w:val="auto"/>
          <w:sz w:val="24"/>
          <w:szCs w:val="24"/>
        </w:rPr>
        <w:t>2.4</w:t>
      </w:r>
      <w:r>
        <w:rPr>
          <w:rFonts w:hint="eastAsia" w:ascii="黑体" w:hAnsi="黑体" w:eastAsia="黑体"/>
          <w:b/>
          <w:color w:val="auto"/>
          <w:sz w:val="24"/>
          <w:szCs w:val="24"/>
        </w:rPr>
        <w:t>标段（包）内容（具体范围、数量），具体技术要求（</w:t>
      </w:r>
      <w:r>
        <w:rPr>
          <w:rFonts w:hint="eastAsia" w:ascii="宋体" w:hAnsi="宋体" w:cs="宋体"/>
          <w:color w:val="auto"/>
          <w:sz w:val="24"/>
        </w:rPr>
        <w:t>采购标的需满足的质量、安全、技术规格、物理特性等）</w:t>
      </w:r>
    </w:p>
    <w:p>
      <w:pPr>
        <w:spacing w:line="560" w:lineRule="exact"/>
        <w:ind w:firstLine="482" w:firstLineChars="200"/>
        <w:rPr>
          <w:rFonts w:ascii="黑体" w:hAnsi="黑体" w:eastAsia="黑体"/>
          <w:b/>
          <w:color w:val="auto"/>
          <w:sz w:val="24"/>
          <w:szCs w:val="24"/>
        </w:rPr>
      </w:pPr>
      <w:r>
        <w:rPr>
          <w:rFonts w:hint="eastAsia" w:ascii="黑体" w:hAnsi="黑体" w:eastAsia="黑体"/>
          <w:b/>
          <w:color w:val="auto"/>
          <w:sz w:val="24"/>
          <w:szCs w:val="24"/>
        </w:rPr>
        <w:t>（一）采购项目内容</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4589"/>
        <w:gridCol w:w="1411"/>
        <w:gridCol w:w="1030"/>
        <w:gridCol w:w="1030"/>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58" w:type="pct"/>
            <w:noWrap/>
            <w:vAlign w:val="center"/>
          </w:tcPr>
          <w:p>
            <w:pPr>
              <w:spacing w:line="240" w:lineRule="atLeast"/>
              <w:jc w:val="center"/>
              <w:rPr>
                <w:rFonts w:ascii="宋体" w:hAnsi="宋体" w:cs="宋体"/>
                <w:b/>
                <w:bCs/>
                <w:color w:val="auto"/>
                <w:sz w:val="24"/>
                <w:szCs w:val="24"/>
              </w:rPr>
            </w:pPr>
          </w:p>
        </w:tc>
        <w:tc>
          <w:tcPr>
            <w:tcW w:w="3191" w:type="pct"/>
            <w:gridSpan w:val="2"/>
            <w:noWrap/>
            <w:vAlign w:val="center"/>
          </w:tcPr>
          <w:p>
            <w:pPr>
              <w:spacing w:line="240" w:lineRule="atLeast"/>
              <w:jc w:val="center"/>
              <w:rPr>
                <w:rFonts w:ascii="宋体" w:hAnsi="宋体" w:cs="宋体"/>
                <w:b/>
                <w:bCs/>
                <w:color w:val="auto"/>
                <w:sz w:val="24"/>
                <w:szCs w:val="24"/>
              </w:rPr>
            </w:pPr>
          </w:p>
        </w:tc>
        <w:tc>
          <w:tcPr>
            <w:tcW w:w="515" w:type="pct"/>
            <w:noWrap/>
            <w:vAlign w:val="center"/>
          </w:tcPr>
          <w:p>
            <w:pPr>
              <w:spacing w:line="240" w:lineRule="atLeast"/>
              <w:jc w:val="center"/>
              <w:rPr>
                <w:rFonts w:ascii="宋体" w:hAnsi="宋体" w:cs="宋体"/>
                <w:b/>
                <w:bCs/>
                <w:color w:val="auto"/>
                <w:sz w:val="24"/>
                <w:szCs w:val="24"/>
              </w:rPr>
            </w:pPr>
            <w:r>
              <w:rPr>
                <w:rFonts w:hint="eastAsia" w:ascii="宋体" w:hAnsi="宋体" w:cs="宋体"/>
                <w:b/>
                <w:bCs/>
                <w:color w:val="auto"/>
                <w:sz w:val="24"/>
                <w:szCs w:val="24"/>
              </w:rPr>
              <w:t>包1</w:t>
            </w:r>
          </w:p>
        </w:tc>
        <w:tc>
          <w:tcPr>
            <w:tcW w:w="515" w:type="pct"/>
            <w:noWrap/>
            <w:vAlign w:val="center"/>
          </w:tcPr>
          <w:p>
            <w:pPr>
              <w:spacing w:line="240" w:lineRule="atLeast"/>
              <w:jc w:val="center"/>
              <w:rPr>
                <w:rFonts w:ascii="宋体" w:hAnsi="宋体" w:cs="宋体"/>
                <w:b/>
                <w:bCs/>
                <w:color w:val="auto"/>
                <w:sz w:val="24"/>
                <w:szCs w:val="24"/>
              </w:rPr>
            </w:pPr>
            <w:r>
              <w:rPr>
                <w:rFonts w:hint="eastAsia" w:ascii="宋体" w:hAnsi="宋体" w:cs="宋体"/>
                <w:b/>
                <w:bCs/>
                <w:color w:val="auto"/>
                <w:sz w:val="24"/>
                <w:szCs w:val="24"/>
              </w:rPr>
              <w:t>包2</w:t>
            </w:r>
          </w:p>
        </w:tc>
        <w:tc>
          <w:tcPr>
            <w:tcW w:w="522" w:type="pct"/>
            <w:noWrap/>
            <w:vAlign w:val="center"/>
          </w:tcPr>
          <w:p>
            <w:pPr>
              <w:spacing w:line="240" w:lineRule="atLeast"/>
              <w:jc w:val="center"/>
              <w:rPr>
                <w:rFonts w:ascii="宋体" w:hAnsi="宋体" w:cs="宋体"/>
                <w:b/>
                <w:bCs/>
                <w:color w:val="auto"/>
                <w:sz w:val="24"/>
                <w:szCs w:val="24"/>
              </w:rPr>
            </w:pPr>
            <w:r>
              <w:rPr>
                <w:rFonts w:hint="eastAsia" w:ascii="宋体" w:hAnsi="宋体" w:cs="宋体"/>
                <w:b/>
                <w:bCs/>
                <w:color w:val="auto"/>
                <w:sz w:val="24"/>
                <w:szCs w:val="24"/>
              </w:rPr>
              <w:t>包3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jc w:val="center"/>
        </w:trPr>
        <w:tc>
          <w:tcPr>
            <w:tcW w:w="258" w:type="pct"/>
            <w:noWrap/>
            <w:vAlign w:val="center"/>
          </w:tcPr>
          <w:p>
            <w:pPr>
              <w:spacing w:line="240" w:lineRule="atLeast"/>
              <w:jc w:val="center"/>
              <w:rPr>
                <w:rFonts w:ascii="宋体" w:hAnsi="宋体" w:cs="宋体"/>
                <w:b/>
                <w:bCs/>
                <w:color w:val="auto"/>
                <w:sz w:val="24"/>
                <w:szCs w:val="24"/>
              </w:rPr>
            </w:pPr>
            <w:r>
              <w:rPr>
                <w:rFonts w:hint="eastAsia" w:ascii="宋体" w:hAnsi="宋体" w:cs="宋体"/>
                <w:b/>
                <w:bCs/>
                <w:color w:val="auto"/>
                <w:sz w:val="24"/>
                <w:szCs w:val="24"/>
              </w:rPr>
              <w:t>序号</w:t>
            </w:r>
          </w:p>
        </w:tc>
        <w:tc>
          <w:tcPr>
            <w:tcW w:w="3191" w:type="pct"/>
            <w:gridSpan w:val="2"/>
            <w:noWrap/>
            <w:vAlign w:val="center"/>
          </w:tcPr>
          <w:p>
            <w:pPr>
              <w:spacing w:line="240" w:lineRule="atLeast"/>
              <w:jc w:val="center"/>
              <w:rPr>
                <w:rFonts w:ascii="宋体" w:hAnsi="宋体" w:cs="宋体"/>
                <w:b/>
                <w:bCs/>
                <w:color w:val="auto"/>
                <w:sz w:val="24"/>
                <w:szCs w:val="24"/>
              </w:rPr>
            </w:pPr>
            <w:r>
              <w:rPr>
                <w:rFonts w:hint="eastAsia" w:ascii="宋体" w:hAnsi="宋体" w:cs="宋体"/>
                <w:b/>
                <w:bCs/>
                <w:color w:val="auto"/>
                <w:sz w:val="24"/>
                <w:szCs w:val="24"/>
              </w:rPr>
              <w:t>名称</w:t>
            </w:r>
          </w:p>
        </w:tc>
        <w:tc>
          <w:tcPr>
            <w:tcW w:w="515" w:type="pct"/>
            <w:noWrap/>
            <w:vAlign w:val="center"/>
          </w:tcPr>
          <w:p>
            <w:pPr>
              <w:spacing w:line="240" w:lineRule="atLeast"/>
              <w:jc w:val="center"/>
              <w:rPr>
                <w:rFonts w:ascii="宋体" w:hAnsi="宋体" w:cs="宋体"/>
                <w:b/>
                <w:bCs/>
                <w:color w:val="auto"/>
                <w:sz w:val="24"/>
                <w:szCs w:val="24"/>
              </w:rPr>
            </w:pPr>
            <w:r>
              <w:rPr>
                <w:rFonts w:hint="eastAsia" w:ascii="宋体" w:hAnsi="宋体" w:cs="宋体"/>
                <w:b/>
                <w:bCs/>
                <w:color w:val="auto"/>
                <w:sz w:val="24"/>
                <w:szCs w:val="24"/>
              </w:rPr>
              <w:t>数量</w:t>
            </w:r>
          </w:p>
        </w:tc>
        <w:tc>
          <w:tcPr>
            <w:tcW w:w="515" w:type="pct"/>
            <w:noWrap/>
            <w:vAlign w:val="center"/>
          </w:tcPr>
          <w:p>
            <w:pPr>
              <w:spacing w:line="240" w:lineRule="atLeast"/>
              <w:jc w:val="center"/>
              <w:rPr>
                <w:rFonts w:ascii="宋体" w:hAnsi="宋体" w:cs="宋体"/>
                <w:b/>
                <w:bCs/>
                <w:color w:val="auto"/>
                <w:sz w:val="24"/>
                <w:szCs w:val="24"/>
              </w:rPr>
            </w:pPr>
            <w:r>
              <w:rPr>
                <w:rFonts w:hint="eastAsia" w:ascii="宋体" w:hAnsi="宋体" w:cs="宋体"/>
                <w:b/>
                <w:bCs/>
                <w:color w:val="auto"/>
                <w:sz w:val="24"/>
                <w:szCs w:val="24"/>
              </w:rPr>
              <w:t>数量</w:t>
            </w:r>
          </w:p>
        </w:tc>
        <w:tc>
          <w:tcPr>
            <w:tcW w:w="522" w:type="pct"/>
            <w:noWrap/>
            <w:vAlign w:val="center"/>
          </w:tcPr>
          <w:p>
            <w:pPr>
              <w:spacing w:line="240" w:lineRule="atLeast"/>
              <w:jc w:val="center"/>
              <w:rPr>
                <w:rFonts w:ascii="宋体" w:hAnsi="宋体" w:cs="宋体"/>
                <w:b/>
                <w:bCs/>
                <w:color w:val="auto"/>
                <w:sz w:val="24"/>
                <w:szCs w:val="24"/>
              </w:rPr>
            </w:pPr>
            <w:r>
              <w:rPr>
                <w:rFonts w:hint="eastAsia" w:ascii="宋体" w:hAnsi="宋体" w:cs="宋体"/>
                <w:b/>
                <w:bCs/>
                <w:color w:val="auto"/>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4" w:hRule="atLeast"/>
          <w:jc w:val="center"/>
        </w:trPr>
        <w:tc>
          <w:tcPr>
            <w:tcW w:w="5000" w:type="pct"/>
            <w:gridSpan w:val="6"/>
            <w:noWrap/>
            <w:vAlign w:val="center"/>
          </w:tcPr>
          <w:p>
            <w:pPr>
              <w:spacing w:line="240" w:lineRule="atLeast"/>
              <w:jc w:val="center"/>
              <w:rPr>
                <w:rFonts w:ascii="宋体" w:hAnsi="宋体" w:cs="宋体"/>
                <w:b/>
                <w:bCs/>
                <w:color w:val="auto"/>
                <w:sz w:val="24"/>
                <w:szCs w:val="24"/>
              </w:rPr>
            </w:pPr>
            <w:r>
              <w:rPr>
                <w:rFonts w:hint="eastAsia" w:ascii="宋体" w:hAnsi="宋体" w:cs="宋体"/>
                <w:b/>
                <w:bCs/>
                <w:color w:val="auto"/>
                <w:sz w:val="24"/>
                <w:szCs w:val="24"/>
              </w:rPr>
              <w:t>一、货物设备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58"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1</w:t>
            </w:r>
          </w:p>
        </w:tc>
        <w:tc>
          <w:tcPr>
            <w:tcW w:w="3191" w:type="pct"/>
            <w:gridSpan w:val="2"/>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SO</w:t>
            </w:r>
            <w:r>
              <w:rPr>
                <w:rFonts w:hint="eastAsia" w:ascii="宋体" w:hAnsi="宋体" w:cs="宋体"/>
                <w:color w:val="auto"/>
                <w:sz w:val="24"/>
                <w:szCs w:val="24"/>
                <w:vertAlign w:val="subscript"/>
              </w:rPr>
              <w:t>2</w:t>
            </w:r>
            <w:r>
              <w:rPr>
                <w:rFonts w:hint="eastAsia" w:ascii="宋体" w:hAnsi="宋体" w:cs="宋体"/>
                <w:color w:val="auto"/>
                <w:sz w:val="24"/>
                <w:szCs w:val="24"/>
              </w:rPr>
              <w:t>分析仪主机及附件</w:t>
            </w:r>
          </w:p>
        </w:tc>
        <w:tc>
          <w:tcPr>
            <w:tcW w:w="515"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9套</w:t>
            </w:r>
          </w:p>
        </w:tc>
        <w:tc>
          <w:tcPr>
            <w:tcW w:w="515"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9套</w:t>
            </w:r>
          </w:p>
        </w:tc>
        <w:tc>
          <w:tcPr>
            <w:tcW w:w="522"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58"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2</w:t>
            </w:r>
          </w:p>
        </w:tc>
        <w:tc>
          <w:tcPr>
            <w:tcW w:w="3191" w:type="pct"/>
            <w:gridSpan w:val="2"/>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NO</w:t>
            </w:r>
            <w:r>
              <w:rPr>
                <w:rFonts w:hint="eastAsia" w:ascii="宋体" w:hAnsi="宋体" w:cs="宋体"/>
                <w:color w:val="auto"/>
                <w:sz w:val="24"/>
                <w:szCs w:val="24"/>
                <w:vertAlign w:val="subscript"/>
              </w:rPr>
              <w:t>2</w:t>
            </w:r>
            <w:r>
              <w:rPr>
                <w:rFonts w:hint="eastAsia" w:ascii="宋体" w:hAnsi="宋体" w:cs="宋体"/>
                <w:color w:val="auto"/>
                <w:sz w:val="24"/>
                <w:szCs w:val="24"/>
              </w:rPr>
              <w:t>分析仪主机及附件</w:t>
            </w:r>
          </w:p>
        </w:tc>
        <w:tc>
          <w:tcPr>
            <w:tcW w:w="515"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9套</w:t>
            </w:r>
          </w:p>
        </w:tc>
        <w:tc>
          <w:tcPr>
            <w:tcW w:w="515"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9套</w:t>
            </w:r>
          </w:p>
        </w:tc>
        <w:tc>
          <w:tcPr>
            <w:tcW w:w="522"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58"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3</w:t>
            </w:r>
          </w:p>
        </w:tc>
        <w:tc>
          <w:tcPr>
            <w:tcW w:w="3191" w:type="pct"/>
            <w:gridSpan w:val="2"/>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CO分析仪主机及附件</w:t>
            </w:r>
          </w:p>
        </w:tc>
        <w:tc>
          <w:tcPr>
            <w:tcW w:w="515"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9套</w:t>
            </w:r>
          </w:p>
        </w:tc>
        <w:tc>
          <w:tcPr>
            <w:tcW w:w="515"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9套</w:t>
            </w:r>
          </w:p>
        </w:tc>
        <w:tc>
          <w:tcPr>
            <w:tcW w:w="522"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58"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4</w:t>
            </w:r>
          </w:p>
        </w:tc>
        <w:tc>
          <w:tcPr>
            <w:tcW w:w="3191" w:type="pct"/>
            <w:gridSpan w:val="2"/>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O</w:t>
            </w:r>
            <w:r>
              <w:rPr>
                <w:rFonts w:hint="eastAsia" w:ascii="宋体" w:hAnsi="宋体" w:cs="宋体"/>
                <w:color w:val="auto"/>
                <w:sz w:val="24"/>
                <w:szCs w:val="24"/>
                <w:vertAlign w:val="subscript"/>
              </w:rPr>
              <w:t>3</w:t>
            </w:r>
            <w:r>
              <w:rPr>
                <w:rFonts w:hint="eastAsia" w:ascii="宋体" w:hAnsi="宋体" w:cs="宋体"/>
                <w:color w:val="auto"/>
                <w:sz w:val="24"/>
                <w:szCs w:val="24"/>
              </w:rPr>
              <w:t>分析仪主机及附件</w:t>
            </w:r>
          </w:p>
        </w:tc>
        <w:tc>
          <w:tcPr>
            <w:tcW w:w="515"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9套</w:t>
            </w:r>
          </w:p>
        </w:tc>
        <w:tc>
          <w:tcPr>
            <w:tcW w:w="515"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9套</w:t>
            </w:r>
          </w:p>
        </w:tc>
        <w:tc>
          <w:tcPr>
            <w:tcW w:w="522"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58"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5</w:t>
            </w:r>
          </w:p>
        </w:tc>
        <w:tc>
          <w:tcPr>
            <w:tcW w:w="3191" w:type="pct"/>
            <w:gridSpan w:val="2"/>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气象五参数</w:t>
            </w:r>
          </w:p>
        </w:tc>
        <w:tc>
          <w:tcPr>
            <w:tcW w:w="515"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9套</w:t>
            </w:r>
          </w:p>
        </w:tc>
        <w:tc>
          <w:tcPr>
            <w:tcW w:w="515"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9套</w:t>
            </w:r>
          </w:p>
        </w:tc>
        <w:tc>
          <w:tcPr>
            <w:tcW w:w="522"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58"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6</w:t>
            </w:r>
          </w:p>
        </w:tc>
        <w:tc>
          <w:tcPr>
            <w:tcW w:w="3191" w:type="pct"/>
            <w:gridSpan w:val="2"/>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动态校准仪</w:t>
            </w:r>
          </w:p>
        </w:tc>
        <w:tc>
          <w:tcPr>
            <w:tcW w:w="515"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9台</w:t>
            </w:r>
          </w:p>
        </w:tc>
        <w:tc>
          <w:tcPr>
            <w:tcW w:w="515"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9台</w:t>
            </w:r>
          </w:p>
        </w:tc>
        <w:tc>
          <w:tcPr>
            <w:tcW w:w="522"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58"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7</w:t>
            </w:r>
          </w:p>
        </w:tc>
        <w:tc>
          <w:tcPr>
            <w:tcW w:w="3191" w:type="pct"/>
            <w:gridSpan w:val="2"/>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零气发生器</w:t>
            </w:r>
          </w:p>
        </w:tc>
        <w:tc>
          <w:tcPr>
            <w:tcW w:w="515"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9台</w:t>
            </w:r>
          </w:p>
        </w:tc>
        <w:tc>
          <w:tcPr>
            <w:tcW w:w="515"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9台</w:t>
            </w:r>
          </w:p>
        </w:tc>
        <w:tc>
          <w:tcPr>
            <w:tcW w:w="522"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58"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8</w:t>
            </w:r>
          </w:p>
        </w:tc>
        <w:tc>
          <w:tcPr>
            <w:tcW w:w="3191" w:type="pct"/>
            <w:gridSpan w:val="2"/>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臭氧校准仪</w:t>
            </w:r>
          </w:p>
        </w:tc>
        <w:tc>
          <w:tcPr>
            <w:tcW w:w="515"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2台</w:t>
            </w:r>
          </w:p>
        </w:tc>
        <w:tc>
          <w:tcPr>
            <w:tcW w:w="515"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w:t>
            </w:r>
          </w:p>
        </w:tc>
        <w:tc>
          <w:tcPr>
            <w:tcW w:w="522"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58" w:type="pct"/>
            <w:vMerge w:val="restar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w:t>
            </w:r>
          </w:p>
        </w:tc>
        <w:tc>
          <w:tcPr>
            <w:tcW w:w="2467" w:type="pct"/>
            <w:vMerge w:val="restar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标气系统（含减压阀）</w:t>
            </w:r>
          </w:p>
        </w:tc>
        <w:tc>
          <w:tcPr>
            <w:tcW w:w="723"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SO</w:t>
            </w:r>
            <w:r>
              <w:rPr>
                <w:rFonts w:hint="eastAsia" w:ascii="宋体" w:hAnsi="宋体" w:cs="宋体"/>
                <w:color w:val="auto"/>
                <w:sz w:val="24"/>
                <w:szCs w:val="24"/>
                <w:vertAlign w:val="subscript"/>
              </w:rPr>
              <w:t>2</w:t>
            </w:r>
          </w:p>
        </w:tc>
        <w:tc>
          <w:tcPr>
            <w:tcW w:w="515"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9套</w:t>
            </w:r>
          </w:p>
        </w:tc>
        <w:tc>
          <w:tcPr>
            <w:tcW w:w="515"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9套</w:t>
            </w:r>
          </w:p>
        </w:tc>
        <w:tc>
          <w:tcPr>
            <w:tcW w:w="522"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58" w:type="pct"/>
            <w:vMerge w:val="continue"/>
            <w:vAlign w:val="center"/>
          </w:tcPr>
          <w:p>
            <w:pPr>
              <w:spacing w:line="240" w:lineRule="atLeast"/>
              <w:jc w:val="left"/>
              <w:rPr>
                <w:rFonts w:ascii="宋体" w:hAnsi="宋体" w:cs="宋体"/>
                <w:color w:val="auto"/>
                <w:sz w:val="24"/>
                <w:szCs w:val="24"/>
              </w:rPr>
            </w:pPr>
          </w:p>
        </w:tc>
        <w:tc>
          <w:tcPr>
            <w:tcW w:w="2467" w:type="pct"/>
            <w:vMerge w:val="continue"/>
            <w:vAlign w:val="center"/>
          </w:tcPr>
          <w:p>
            <w:pPr>
              <w:spacing w:line="240" w:lineRule="atLeast"/>
              <w:jc w:val="left"/>
              <w:rPr>
                <w:rFonts w:ascii="宋体" w:hAnsi="宋体" w:cs="宋体"/>
                <w:color w:val="auto"/>
                <w:sz w:val="24"/>
                <w:szCs w:val="24"/>
              </w:rPr>
            </w:pPr>
          </w:p>
        </w:tc>
        <w:tc>
          <w:tcPr>
            <w:tcW w:w="723"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NO</w:t>
            </w:r>
            <w:r>
              <w:rPr>
                <w:rFonts w:hint="eastAsia" w:ascii="宋体" w:hAnsi="宋体" w:cs="宋体"/>
                <w:color w:val="auto"/>
                <w:sz w:val="24"/>
                <w:szCs w:val="24"/>
                <w:vertAlign w:val="subscript"/>
              </w:rPr>
              <w:t>2</w:t>
            </w:r>
          </w:p>
        </w:tc>
        <w:tc>
          <w:tcPr>
            <w:tcW w:w="515" w:type="pct"/>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9套</w:t>
            </w:r>
          </w:p>
        </w:tc>
        <w:tc>
          <w:tcPr>
            <w:tcW w:w="515"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9套</w:t>
            </w:r>
          </w:p>
        </w:tc>
        <w:tc>
          <w:tcPr>
            <w:tcW w:w="522"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58" w:type="pct"/>
            <w:vMerge w:val="continue"/>
            <w:vAlign w:val="center"/>
          </w:tcPr>
          <w:p>
            <w:pPr>
              <w:spacing w:line="240" w:lineRule="atLeast"/>
              <w:jc w:val="left"/>
              <w:rPr>
                <w:rFonts w:ascii="宋体" w:hAnsi="宋体" w:cs="宋体"/>
                <w:color w:val="auto"/>
                <w:sz w:val="24"/>
                <w:szCs w:val="24"/>
              </w:rPr>
            </w:pPr>
          </w:p>
        </w:tc>
        <w:tc>
          <w:tcPr>
            <w:tcW w:w="2467" w:type="pct"/>
            <w:vMerge w:val="continue"/>
            <w:vAlign w:val="center"/>
          </w:tcPr>
          <w:p>
            <w:pPr>
              <w:spacing w:line="240" w:lineRule="atLeast"/>
              <w:jc w:val="left"/>
              <w:rPr>
                <w:rFonts w:ascii="宋体" w:hAnsi="宋体" w:cs="宋体"/>
                <w:color w:val="auto"/>
                <w:sz w:val="24"/>
                <w:szCs w:val="24"/>
              </w:rPr>
            </w:pPr>
          </w:p>
        </w:tc>
        <w:tc>
          <w:tcPr>
            <w:tcW w:w="723"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CO</w:t>
            </w:r>
          </w:p>
        </w:tc>
        <w:tc>
          <w:tcPr>
            <w:tcW w:w="515" w:type="pct"/>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9套</w:t>
            </w:r>
          </w:p>
        </w:tc>
        <w:tc>
          <w:tcPr>
            <w:tcW w:w="515"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9套</w:t>
            </w:r>
          </w:p>
        </w:tc>
        <w:tc>
          <w:tcPr>
            <w:tcW w:w="522"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258"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10</w:t>
            </w:r>
          </w:p>
        </w:tc>
        <w:tc>
          <w:tcPr>
            <w:tcW w:w="3191" w:type="pct"/>
            <w:gridSpan w:val="2"/>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环境监控与质控联动设备</w:t>
            </w:r>
          </w:p>
        </w:tc>
        <w:tc>
          <w:tcPr>
            <w:tcW w:w="515"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9台</w:t>
            </w:r>
          </w:p>
        </w:tc>
        <w:tc>
          <w:tcPr>
            <w:tcW w:w="515"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9台</w:t>
            </w:r>
          </w:p>
        </w:tc>
        <w:tc>
          <w:tcPr>
            <w:tcW w:w="522"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58"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11</w:t>
            </w:r>
          </w:p>
        </w:tc>
        <w:tc>
          <w:tcPr>
            <w:tcW w:w="3191" w:type="pct"/>
            <w:gridSpan w:val="2"/>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VPN设备</w:t>
            </w:r>
          </w:p>
        </w:tc>
        <w:tc>
          <w:tcPr>
            <w:tcW w:w="515"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9套</w:t>
            </w:r>
          </w:p>
        </w:tc>
        <w:tc>
          <w:tcPr>
            <w:tcW w:w="515"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9套</w:t>
            </w:r>
          </w:p>
        </w:tc>
        <w:tc>
          <w:tcPr>
            <w:tcW w:w="522"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258"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12</w:t>
            </w:r>
          </w:p>
        </w:tc>
        <w:tc>
          <w:tcPr>
            <w:tcW w:w="3191" w:type="pct"/>
            <w:gridSpan w:val="2"/>
            <w:noWrap/>
            <w:vAlign w:val="center"/>
          </w:tcPr>
          <w:p>
            <w:pPr>
              <w:spacing w:line="240" w:lineRule="atLeast"/>
              <w:jc w:val="left"/>
              <w:rPr>
                <w:rFonts w:ascii="宋体" w:hAnsi="宋体" w:cs="宋体"/>
                <w:color w:val="auto"/>
                <w:sz w:val="24"/>
                <w:szCs w:val="24"/>
              </w:rPr>
            </w:pPr>
            <w:r>
              <w:rPr>
                <w:rFonts w:hint="eastAsia" w:ascii="宋体" w:hAnsi="宋体" w:cs="宋体"/>
                <w:color w:val="auto"/>
                <w:sz w:val="24"/>
                <w:szCs w:val="24"/>
              </w:rPr>
              <w:t>站房配套设备（含机架、UPS、稳压电源、空调、除湿机、壁挂式温湿度计、灭火器等）</w:t>
            </w:r>
          </w:p>
        </w:tc>
        <w:tc>
          <w:tcPr>
            <w:tcW w:w="515"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9套</w:t>
            </w:r>
          </w:p>
        </w:tc>
        <w:tc>
          <w:tcPr>
            <w:tcW w:w="515"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9套</w:t>
            </w:r>
          </w:p>
        </w:tc>
        <w:tc>
          <w:tcPr>
            <w:tcW w:w="522"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58"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13</w:t>
            </w:r>
          </w:p>
        </w:tc>
        <w:tc>
          <w:tcPr>
            <w:tcW w:w="3191" w:type="pct"/>
            <w:gridSpan w:val="2"/>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监控设施</w:t>
            </w:r>
          </w:p>
        </w:tc>
        <w:tc>
          <w:tcPr>
            <w:tcW w:w="515"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9套</w:t>
            </w:r>
          </w:p>
        </w:tc>
        <w:tc>
          <w:tcPr>
            <w:tcW w:w="515"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9套</w:t>
            </w:r>
          </w:p>
        </w:tc>
        <w:tc>
          <w:tcPr>
            <w:tcW w:w="522"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9套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58"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14</w:t>
            </w:r>
          </w:p>
        </w:tc>
        <w:tc>
          <w:tcPr>
            <w:tcW w:w="3191" w:type="pct"/>
            <w:gridSpan w:val="2"/>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提供1年用耗材</w:t>
            </w:r>
          </w:p>
        </w:tc>
        <w:tc>
          <w:tcPr>
            <w:tcW w:w="515"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1年</w:t>
            </w:r>
          </w:p>
        </w:tc>
        <w:tc>
          <w:tcPr>
            <w:tcW w:w="515"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1年</w:t>
            </w:r>
          </w:p>
        </w:tc>
        <w:tc>
          <w:tcPr>
            <w:tcW w:w="522"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5000" w:type="pct"/>
            <w:gridSpan w:val="6"/>
            <w:noWrap/>
            <w:vAlign w:val="center"/>
          </w:tcPr>
          <w:p>
            <w:pPr>
              <w:numPr>
                <w:ilvl w:val="0"/>
                <w:numId w:val="1"/>
              </w:numPr>
              <w:spacing w:line="240" w:lineRule="atLeast"/>
              <w:jc w:val="center"/>
              <w:textAlignment w:val="auto"/>
              <w:rPr>
                <w:rFonts w:ascii="宋体" w:hAnsi="宋体"/>
                <w:color w:val="auto"/>
                <w:sz w:val="24"/>
                <w:szCs w:val="24"/>
              </w:rPr>
            </w:pPr>
            <w:r>
              <w:rPr>
                <w:rFonts w:hint="eastAsia" w:ascii="宋体" w:hAnsi="宋体" w:cs="宋体"/>
                <w:b/>
                <w:bCs/>
                <w:color w:val="auto"/>
                <w:sz w:val="24"/>
                <w:szCs w:val="24"/>
              </w:rPr>
              <w:t>包1、包2、包3服务概况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258"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1</w:t>
            </w:r>
          </w:p>
        </w:tc>
        <w:tc>
          <w:tcPr>
            <w:tcW w:w="4742" w:type="pct"/>
            <w:gridSpan w:val="5"/>
            <w:noWrap/>
            <w:vAlign w:val="center"/>
          </w:tcPr>
          <w:p>
            <w:pPr>
              <w:spacing w:line="240" w:lineRule="atLeast"/>
              <w:rPr>
                <w:rFonts w:ascii="宋体" w:hAnsi="宋体" w:cs="宋体"/>
                <w:color w:val="auto"/>
                <w:sz w:val="24"/>
                <w:szCs w:val="24"/>
              </w:rPr>
            </w:pPr>
            <w:r>
              <w:rPr>
                <w:rFonts w:hint="eastAsia" w:ascii="宋体" w:hAnsi="宋体" w:cs="宋体"/>
                <w:color w:val="auto"/>
                <w:sz w:val="24"/>
                <w:szCs w:val="24"/>
              </w:rPr>
              <w:t>包装及运输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58"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2</w:t>
            </w:r>
          </w:p>
        </w:tc>
        <w:tc>
          <w:tcPr>
            <w:tcW w:w="4742" w:type="pct"/>
            <w:gridSpan w:val="5"/>
            <w:noWrap/>
            <w:vAlign w:val="center"/>
          </w:tcPr>
          <w:p>
            <w:pPr>
              <w:spacing w:line="240" w:lineRule="atLeast"/>
              <w:rPr>
                <w:rFonts w:ascii="宋体" w:hAnsi="宋体" w:cs="宋体"/>
                <w:color w:val="auto"/>
                <w:sz w:val="24"/>
                <w:szCs w:val="24"/>
              </w:rPr>
            </w:pPr>
            <w:r>
              <w:rPr>
                <w:rFonts w:hint="eastAsia" w:ascii="宋体" w:hAnsi="宋体" w:cs="宋体"/>
                <w:color w:val="auto"/>
                <w:sz w:val="24"/>
                <w:szCs w:val="24"/>
              </w:rPr>
              <w:t>安装、调试、验收、质保期一年、气态污染物（SO</w:t>
            </w:r>
            <w:r>
              <w:rPr>
                <w:rFonts w:hint="eastAsia" w:ascii="宋体" w:hAnsi="宋体" w:cs="宋体"/>
                <w:color w:val="auto"/>
                <w:sz w:val="24"/>
                <w:szCs w:val="24"/>
                <w:vertAlign w:val="subscript"/>
              </w:rPr>
              <w:t>2</w:t>
            </w:r>
            <w:r>
              <w:rPr>
                <w:rFonts w:hint="eastAsia" w:ascii="宋体" w:hAnsi="宋体" w:cs="宋体"/>
                <w:color w:val="auto"/>
                <w:sz w:val="24"/>
                <w:szCs w:val="24"/>
              </w:rPr>
              <w:t>、O</w:t>
            </w:r>
            <w:r>
              <w:rPr>
                <w:rFonts w:hint="eastAsia" w:ascii="宋体" w:hAnsi="宋体" w:cs="宋体"/>
                <w:color w:val="auto"/>
                <w:sz w:val="24"/>
                <w:szCs w:val="24"/>
                <w:vertAlign w:val="subscript"/>
              </w:rPr>
              <w:t>3</w:t>
            </w:r>
            <w:r>
              <w:rPr>
                <w:rFonts w:hint="eastAsia" w:ascii="宋体" w:hAnsi="宋体" w:cs="宋体"/>
                <w:color w:val="auto"/>
                <w:sz w:val="24"/>
                <w:szCs w:val="24"/>
              </w:rPr>
              <w:t>、NO</w:t>
            </w:r>
            <w:r>
              <w:rPr>
                <w:rFonts w:hint="eastAsia" w:ascii="宋体" w:hAnsi="宋体" w:cs="宋体"/>
                <w:color w:val="auto"/>
                <w:sz w:val="24"/>
                <w:szCs w:val="24"/>
                <w:vertAlign w:val="subscript"/>
              </w:rPr>
              <w:t>2</w:t>
            </w:r>
            <w:r>
              <w:rPr>
                <w:rFonts w:hint="eastAsia" w:ascii="宋体" w:hAnsi="宋体" w:cs="宋体"/>
                <w:color w:val="auto"/>
                <w:sz w:val="24"/>
                <w:szCs w:val="24"/>
              </w:rPr>
              <w:t>、CO）及原有颗粒物仪器设备运维期限1年（运维期自项目验收合格之日起计）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258"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3</w:t>
            </w:r>
          </w:p>
        </w:tc>
        <w:tc>
          <w:tcPr>
            <w:tcW w:w="4742" w:type="pct"/>
            <w:gridSpan w:val="5"/>
            <w:noWrap/>
            <w:vAlign w:val="center"/>
          </w:tcPr>
          <w:p>
            <w:pPr>
              <w:spacing w:line="240" w:lineRule="atLeast"/>
              <w:jc w:val="left"/>
              <w:rPr>
                <w:rFonts w:ascii="宋体" w:hAnsi="宋体" w:cs="宋体"/>
                <w:color w:val="auto"/>
                <w:sz w:val="24"/>
                <w:szCs w:val="24"/>
              </w:rPr>
            </w:pPr>
            <w:r>
              <w:rPr>
                <w:rFonts w:hint="eastAsia" w:ascii="宋体" w:hAnsi="宋体" w:cs="宋体"/>
                <w:color w:val="auto"/>
                <w:sz w:val="24"/>
                <w:szCs w:val="24"/>
              </w:rPr>
              <w:t>市级管理平台升级改造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258"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4</w:t>
            </w:r>
          </w:p>
        </w:tc>
        <w:tc>
          <w:tcPr>
            <w:tcW w:w="4742" w:type="pct"/>
            <w:gridSpan w:val="5"/>
            <w:noWrap/>
            <w:vAlign w:val="center"/>
          </w:tcPr>
          <w:p>
            <w:pPr>
              <w:spacing w:line="240" w:lineRule="atLeast"/>
              <w:jc w:val="left"/>
              <w:rPr>
                <w:rFonts w:ascii="宋体" w:hAnsi="宋体" w:cs="宋体"/>
                <w:color w:val="auto"/>
                <w:sz w:val="24"/>
                <w:szCs w:val="24"/>
              </w:rPr>
            </w:pPr>
            <w:r>
              <w:rPr>
                <w:rFonts w:hint="eastAsia" w:ascii="宋体" w:hAnsi="宋体" w:cs="宋体"/>
                <w:color w:val="auto"/>
                <w:sz w:val="24"/>
                <w:szCs w:val="24"/>
              </w:rPr>
              <w:t>培训及技术指导服务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258" w:type="pct"/>
            <w:noWrap/>
            <w:vAlign w:val="center"/>
          </w:tcPr>
          <w:p>
            <w:pPr>
              <w:spacing w:line="240" w:lineRule="atLeast"/>
              <w:jc w:val="center"/>
              <w:rPr>
                <w:rFonts w:ascii="宋体" w:hAnsi="宋体" w:cs="宋体"/>
                <w:color w:val="auto"/>
                <w:sz w:val="24"/>
                <w:szCs w:val="24"/>
              </w:rPr>
            </w:pPr>
            <w:r>
              <w:rPr>
                <w:rFonts w:hint="eastAsia" w:ascii="宋体" w:hAnsi="宋体" w:cs="宋体"/>
                <w:color w:val="auto"/>
                <w:sz w:val="24"/>
                <w:szCs w:val="24"/>
              </w:rPr>
              <w:t>5</w:t>
            </w:r>
          </w:p>
        </w:tc>
        <w:tc>
          <w:tcPr>
            <w:tcW w:w="4742" w:type="pct"/>
            <w:gridSpan w:val="5"/>
            <w:noWrap/>
            <w:vAlign w:val="center"/>
          </w:tcPr>
          <w:p>
            <w:pPr>
              <w:spacing w:line="240" w:lineRule="atLeast"/>
              <w:jc w:val="left"/>
              <w:rPr>
                <w:rFonts w:ascii="宋体" w:hAnsi="宋体" w:cs="宋体"/>
                <w:color w:val="auto"/>
                <w:sz w:val="24"/>
                <w:szCs w:val="24"/>
              </w:rPr>
            </w:pPr>
            <w:r>
              <w:rPr>
                <w:rFonts w:hint="eastAsia" w:ascii="宋体" w:hAnsi="宋体" w:cs="宋体"/>
                <w:color w:val="auto"/>
                <w:sz w:val="24"/>
                <w:szCs w:val="24"/>
              </w:rPr>
              <w:t>备品备件：颗粒物、</w:t>
            </w:r>
            <w:r>
              <w:rPr>
                <w:rFonts w:hint="eastAsia" w:ascii="宋体" w:hAnsi="宋体" w:cs="宋体"/>
                <w:bCs/>
                <w:color w:val="auto"/>
                <w:sz w:val="24"/>
                <w:szCs w:val="24"/>
              </w:rPr>
              <w:t>气态污染物（SO</w:t>
            </w:r>
            <w:r>
              <w:rPr>
                <w:rFonts w:hint="eastAsia" w:ascii="宋体" w:hAnsi="宋体" w:cs="宋体"/>
                <w:bCs/>
                <w:color w:val="auto"/>
                <w:sz w:val="24"/>
                <w:szCs w:val="24"/>
                <w:vertAlign w:val="subscript"/>
              </w:rPr>
              <w:t>2</w:t>
            </w:r>
            <w:r>
              <w:rPr>
                <w:rFonts w:hint="eastAsia" w:ascii="宋体" w:hAnsi="宋体" w:cs="宋体"/>
                <w:bCs/>
                <w:color w:val="auto"/>
                <w:sz w:val="24"/>
                <w:szCs w:val="24"/>
              </w:rPr>
              <w:t>、NO</w:t>
            </w:r>
            <w:r>
              <w:rPr>
                <w:rFonts w:hint="eastAsia" w:ascii="宋体" w:hAnsi="宋体" w:cs="宋体"/>
                <w:bCs/>
                <w:color w:val="auto"/>
                <w:sz w:val="24"/>
                <w:szCs w:val="24"/>
                <w:vertAlign w:val="subscript"/>
              </w:rPr>
              <w:t>2</w:t>
            </w:r>
            <w:r>
              <w:rPr>
                <w:rFonts w:hint="eastAsia" w:ascii="宋体" w:hAnsi="宋体" w:cs="宋体"/>
                <w:bCs/>
                <w:color w:val="auto"/>
                <w:sz w:val="24"/>
                <w:szCs w:val="24"/>
              </w:rPr>
              <w:t>、O</w:t>
            </w:r>
            <w:r>
              <w:rPr>
                <w:rFonts w:hint="eastAsia" w:ascii="宋体" w:hAnsi="宋体" w:cs="宋体"/>
                <w:bCs/>
                <w:color w:val="auto"/>
                <w:sz w:val="24"/>
                <w:szCs w:val="24"/>
                <w:vertAlign w:val="subscript"/>
              </w:rPr>
              <w:t>3</w:t>
            </w:r>
            <w:r>
              <w:rPr>
                <w:rFonts w:hint="eastAsia" w:ascii="宋体" w:hAnsi="宋体" w:cs="宋体"/>
                <w:bCs/>
                <w:color w:val="auto"/>
                <w:sz w:val="24"/>
                <w:szCs w:val="24"/>
              </w:rPr>
              <w:t>、CO），每个包需提供2套备品备件。</w:t>
            </w:r>
          </w:p>
        </w:tc>
      </w:tr>
    </w:tbl>
    <w:p>
      <w:pPr>
        <w:spacing w:line="360" w:lineRule="auto"/>
        <w:rPr>
          <w:rFonts w:ascii="宋体" w:hAnsi="宋体" w:cs="宋体"/>
          <w:b/>
          <w:bCs/>
          <w:color w:val="auto"/>
          <w:sz w:val="24"/>
          <w:szCs w:val="24"/>
        </w:rPr>
      </w:pPr>
      <w:r>
        <w:rPr>
          <w:rFonts w:hint="eastAsia" w:ascii="宋体" w:hAnsi="宋体" w:cs="宋体"/>
          <w:b/>
          <w:bCs/>
          <w:color w:val="auto"/>
          <w:sz w:val="24"/>
          <w:szCs w:val="24"/>
        </w:rPr>
        <w:t>（二）主要设备基本要求</w:t>
      </w:r>
    </w:p>
    <w:p>
      <w:pPr>
        <w:pStyle w:val="68"/>
        <w:spacing w:line="360" w:lineRule="auto"/>
        <w:ind w:right="317" w:rightChars="151" w:firstLine="480"/>
        <w:rPr>
          <w:rFonts w:ascii="宋体" w:hAnsi="宋体" w:cs="宋体"/>
          <w:bCs/>
          <w:color w:val="auto"/>
          <w:sz w:val="24"/>
          <w:szCs w:val="24"/>
        </w:rPr>
      </w:pPr>
      <w:r>
        <w:rPr>
          <w:rFonts w:hint="eastAsia" w:ascii="宋体" w:hAnsi="宋体"/>
          <w:color w:val="auto"/>
          <w:sz w:val="24"/>
          <w:szCs w:val="24"/>
        </w:rPr>
        <w:t>1、</w:t>
      </w:r>
      <w:r>
        <w:rPr>
          <w:rFonts w:hint="eastAsia" w:ascii="宋体" w:hAnsi="宋体" w:cs="宋体"/>
          <w:bCs/>
          <w:color w:val="auto"/>
          <w:sz w:val="24"/>
          <w:szCs w:val="24"/>
        </w:rPr>
        <w:t>气态污染物（SO</w:t>
      </w:r>
      <w:r>
        <w:rPr>
          <w:rFonts w:hint="eastAsia" w:ascii="宋体" w:hAnsi="宋体" w:cs="宋体"/>
          <w:bCs/>
          <w:color w:val="auto"/>
          <w:sz w:val="24"/>
          <w:szCs w:val="24"/>
          <w:vertAlign w:val="subscript"/>
        </w:rPr>
        <w:t>2</w:t>
      </w:r>
      <w:r>
        <w:rPr>
          <w:rFonts w:hint="eastAsia" w:ascii="宋体" w:hAnsi="宋体" w:cs="宋体"/>
          <w:bCs/>
          <w:color w:val="auto"/>
          <w:sz w:val="24"/>
          <w:szCs w:val="24"/>
        </w:rPr>
        <w:t>、NO</w:t>
      </w:r>
      <w:r>
        <w:rPr>
          <w:rFonts w:hint="eastAsia" w:ascii="宋体" w:hAnsi="宋体" w:cs="宋体"/>
          <w:bCs/>
          <w:color w:val="auto"/>
          <w:sz w:val="24"/>
          <w:szCs w:val="24"/>
          <w:vertAlign w:val="subscript"/>
        </w:rPr>
        <w:t>2</w:t>
      </w:r>
      <w:r>
        <w:rPr>
          <w:rFonts w:hint="eastAsia" w:ascii="宋体" w:hAnsi="宋体" w:cs="宋体"/>
          <w:bCs/>
          <w:color w:val="auto"/>
          <w:sz w:val="24"/>
          <w:szCs w:val="24"/>
        </w:rPr>
        <w:t>、O</w:t>
      </w:r>
      <w:r>
        <w:rPr>
          <w:rFonts w:hint="eastAsia" w:ascii="宋体" w:hAnsi="宋体" w:cs="宋体"/>
          <w:bCs/>
          <w:color w:val="auto"/>
          <w:sz w:val="24"/>
          <w:szCs w:val="24"/>
          <w:vertAlign w:val="subscript"/>
        </w:rPr>
        <w:t>3</w:t>
      </w:r>
      <w:r>
        <w:rPr>
          <w:rFonts w:hint="eastAsia" w:ascii="宋体" w:hAnsi="宋体" w:cs="宋体"/>
          <w:bCs/>
          <w:color w:val="auto"/>
          <w:sz w:val="24"/>
          <w:szCs w:val="24"/>
        </w:rPr>
        <w:t>、CO）</w:t>
      </w:r>
      <w:r>
        <w:rPr>
          <w:rFonts w:hint="eastAsia" w:ascii="宋体" w:hAnsi="宋体"/>
          <w:color w:val="auto"/>
          <w:sz w:val="24"/>
          <w:szCs w:val="24"/>
        </w:rPr>
        <w:t>要求仪器稳定可靠、精度高，</w:t>
      </w:r>
      <w:r>
        <w:rPr>
          <w:rFonts w:hint="eastAsia" w:ascii="宋体" w:hAnsi="宋体" w:cs="宋体"/>
          <w:bCs/>
          <w:color w:val="auto"/>
          <w:sz w:val="24"/>
          <w:szCs w:val="24"/>
        </w:rPr>
        <w:t>通过生态环境部（原环境保护部）环境监测仪器质量监督检测中心检定，属环境空气连续监测系统使用性检测合格产品名录产品。（投标文件中提供检定证书或检测报告）</w:t>
      </w:r>
    </w:p>
    <w:p>
      <w:pPr>
        <w:pStyle w:val="68"/>
        <w:spacing w:line="360" w:lineRule="auto"/>
        <w:ind w:right="317" w:rightChars="151" w:firstLine="480"/>
        <w:rPr>
          <w:rFonts w:ascii="宋体" w:hAnsi="宋体"/>
          <w:color w:val="auto"/>
          <w:sz w:val="24"/>
          <w:szCs w:val="24"/>
        </w:rPr>
      </w:pPr>
      <w:r>
        <w:rPr>
          <w:rFonts w:hint="eastAsia" w:ascii="宋体" w:hAnsi="宋体"/>
          <w:color w:val="auto"/>
          <w:sz w:val="24"/>
          <w:szCs w:val="24"/>
        </w:rPr>
        <w:t xml:space="preserve">2、所投 </w:t>
      </w:r>
      <w:r>
        <w:rPr>
          <w:rFonts w:hint="eastAsia" w:ascii="宋体" w:hAnsi="宋体" w:cs="宋体"/>
          <w:bCs/>
          <w:color w:val="auto"/>
          <w:sz w:val="24"/>
          <w:szCs w:val="24"/>
        </w:rPr>
        <w:t>SO</w:t>
      </w:r>
      <w:r>
        <w:rPr>
          <w:rFonts w:hint="eastAsia" w:ascii="宋体" w:hAnsi="宋体" w:cs="宋体"/>
          <w:bCs/>
          <w:color w:val="auto"/>
          <w:sz w:val="24"/>
          <w:szCs w:val="24"/>
          <w:vertAlign w:val="subscript"/>
        </w:rPr>
        <w:t>2</w:t>
      </w:r>
      <w:r>
        <w:rPr>
          <w:rFonts w:hint="eastAsia" w:ascii="宋体" w:hAnsi="宋体" w:cs="宋体"/>
          <w:bCs/>
          <w:color w:val="auto"/>
          <w:sz w:val="24"/>
          <w:szCs w:val="24"/>
        </w:rPr>
        <w:t>、NO</w:t>
      </w:r>
      <w:r>
        <w:rPr>
          <w:rFonts w:hint="eastAsia" w:ascii="宋体" w:hAnsi="宋体" w:cs="宋体"/>
          <w:bCs/>
          <w:color w:val="auto"/>
          <w:sz w:val="24"/>
          <w:szCs w:val="24"/>
          <w:vertAlign w:val="subscript"/>
        </w:rPr>
        <w:t>2</w:t>
      </w:r>
      <w:r>
        <w:rPr>
          <w:rFonts w:hint="eastAsia" w:ascii="宋体" w:hAnsi="宋体" w:cs="宋体"/>
          <w:bCs/>
          <w:color w:val="auto"/>
          <w:sz w:val="24"/>
          <w:szCs w:val="24"/>
        </w:rPr>
        <w:t>、O</w:t>
      </w:r>
      <w:r>
        <w:rPr>
          <w:rFonts w:hint="eastAsia" w:ascii="宋体" w:hAnsi="宋体" w:cs="宋体"/>
          <w:bCs/>
          <w:color w:val="auto"/>
          <w:sz w:val="24"/>
          <w:szCs w:val="24"/>
          <w:vertAlign w:val="subscript"/>
        </w:rPr>
        <w:t>3</w:t>
      </w:r>
      <w:r>
        <w:rPr>
          <w:rFonts w:hint="eastAsia" w:ascii="宋体" w:hAnsi="宋体" w:cs="宋体"/>
          <w:bCs/>
          <w:color w:val="auto"/>
          <w:sz w:val="24"/>
          <w:szCs w:val="24"/>
        </w:rPr>
        <w:t>、CO</w:t>
      </w:r>
      <w:r>
        <w:rPr>
          <w:rFonts w:hint="eastAsia" w:ascii="宋体" w:hAnsi="宋体"/>
          <w:color w:val="auto"/>
          <w:sz w:val="24"/>
          <w:szCs w:val="24"/>
        </w:rPr>
        <w:t xml:space="preserve"> 仪器设备应满足《环境空气气态污染物（</w:t>
      </w:r>
      <w:r>
        <w:rPr>
          <w:rFonts w:hint="eastAsia" w:ascii="宋体" w:hAnsi="宋体" w:cs="宋体"/>
          <w:bCs/>
          <w:color w:val="auto"/>
          <w:sz w:val="24"/>
          <w:szCs w:val="24"/>
        </w:rPr>
        <w:t>SO</w:t>
      </w:r>
      <w:r>
        <w:rPr>
          <w:rFonts w:hint="eastAsia" w:ascii="宋体" w:hAnsi="宋体" w:cs="宋体"/>
          <w:bCs/>
          <w:color w:val="auto"/>
          <w:sz w:val="24"/>
          <w:szCs w:val="24"/>
          <w:vertAlign w:val="subscript"/>
        </w:rPr>
        <w:t>2</w:t>
      </w:r>
      <w:r>
        <w:rPr>
          <w:rFonts w:hint="eastAsia" w:ascii="宋体" w:hAnsi="宋体" w:cs="宋体"/>
          <w:bCs/>
          <w:color w:val="auto"/>
          <w:sz w:val="24"/>
          <w:szCs w:val="24"/>
        </w:rPr>
        <w:t>、NO</w:t>
      </w:r>
      <w:r>
        <w:rPr>
          <w:rFonts w:hint="eastAsia" w:ascii="宋体" w:hAnsi="宋体" w:cs="宋体"/>
          <w:bCs/>
          <w:color w:val="auto"/>
          <w:sz w:val="24"/>
          <w:szCs w:val="24"/>
          <w:vertAlign w:val="subscript"/>
        </w:rPr>
        <w:t>2</w:t>
      </w:r>
      <w:r>
        <w:rPr>
          <w:rFonts w:hint="eastAsia" w:ascii="宋体" w:hAnsi="宋体" w:cs="宋体"/>
          <w:bCs/>
          <w:color w:val="auto"/>
          <w:sz w:val="24"/>
          <w:szCs w:val="24"/>
        </w:rPr>
        <w:t>、O</w:t>
      </w:r>
      <w:r>
        <w:rPr>
          <w:rFonts w:hint="eastAsia" w:ascii="宋体" w:hAnsi="宋体" w:cs="宋体"/>
          <w:bCs/>
          <w:color w:val="auto"/>
          <w:sz w:val="24"/>
          <w:szCs w:val="24"/>
          <w:vertAlign w:val="subscript"/>
        </w:rPr>
        <w:t>3</w:t>
      </w:r>
      <w:r>
        <w:rPr>
          <w:rFonts w:hint="eastAsia" w:ascii="宋体" w:hAnsi="宋体" w:cs="宋体"/>
          <w:bCs/>
          <w:color w:val="auto"/>
          <w:sz w:val="24"/>
          <w:szCs w:val="24"/>
        </w:rPr>
        <w:t>、CO</w:t>
      </w:r>
      <w:r>
        <w:rPr>
          <w:rFonts w:hint="eastAsia" w:ascii="宋体" w:hAnsi="宋体"/>
          <w:color w:val="auto"/>
          <w:sz w:val="24"/>
          <w:szCs w:val="24"/>
        </w:rPr>
        <w:t>）连续自动监测系统安装验收技术规范》（HJ 193-2013）标准；</w:t>
      </w:r>
    </w:p>
    <w:p>
      <w:pPr>
        <w:pStyle w:val="68"/>
        <w:spacing w:line="360" w:lineRule="auto"/>
        <w:ind w:right="317" w:rightChars="151" w:firstLine="480"/>
        <w:rPr>
          <w:rFonts w:ascii="宋体" w:hAnsi="宋体"/>
          <w:color w:val="auto"/>
          <w:sz w:val="24"/>
          <w:szCs w:val="24"/>
        </w:rPr>
      </w:pPr>
      <w:r>
        <w:rPr>
          <w:rFonts w:hint="eastAsia" w:ascii="宋体" w:hAnsi="宋体"/>
          <w:color w:val="auto"/>
          <w:sz w:val="24"/>
          <w:szCs w:val="24"/>
        </w:rPr>
        <w:t xml:space="preserve">3、所投 </w:t>
      </w:r>
      <w:r>
        <w:rPr>
          <w:rFonts w:hint="eastAsia" w:ascii="宋体" w:hAnsi="宋体" w:cs="宋体"/>
          <w:bCs/>
          <w:color w:val="auto"/>
          <w:sz w:val="24"/>
          <w:szCs w:val="24"/>
        </w:rPr>
        <w:t>SO</w:t>
      </w:r>
      <w:r>
        <w:rPr>
          <w:rFonts w:hint="eastAsia" w:ascii="宋体" w:hAnsi="宋体" w:cs="宋体"/>
          <w:bCs/>
          <w:color w:val="auto"/>
          <w:sz w:val="24"/>
          <w:szCs w:val="24"/>
          <w:vertAlign w:val="subscript"/>
        </w:rPr>
        <w:t>2</w:t>
      </w:r>
      <w:r>
        <w:rPr>
          <w:rFonts w:hint="eastAsia" w:ascii="宋体" w:hAnsi="宋体" w:cs="宋体"/>
          <w:bCs/>
          <w:color w:val="auto"/>
          <w:sz w:val="24"/>
          <w:szCs w:val="24"/>
        </w:rPr>
        <w:t>、NO</w:t>
      </w:r>
      <w:r>
        <w:rPr>
          <w:rFonts w:hint="eastAsia" w:ascii="宋体" w:hAnsi="宋体" w:cs="宋体"/>
          <w:bCs/>
          <w:color w:val="auto"/>
          <w:sz w:val="24"/>
          <w:szCs w:val="24"/>
          <w:vertAlign w:val="subscript"/>
        </w:rPr>
        <w:t>2</w:t>
      </w:r>
      <w:r>
        <w:rPr>
          <w:rFonts w:hint="eastAsia" w:ascii="宋体" w:hAnsi="宋体" w:cs="宋体"/>
          <w:bCs/>
          <w:color w:val="auto"/>
          <w:sz w:val="24"/>
          <w:szCs w:val="24"/>
        </w:rPr>
        <w:t>、O</w:t>
      </w:r>
      <w:r>
        <w:rPr>
          <w:rFonts w:hint="eastAsia" w:ascii="宋体" w:hAnsi="宋体" w:cs="宋体"/>
          <w:bCs/>
          <w:color w:val="auto"/>
          <w:sz w:val="24"/>
          <w:szCs w:val="24"/>
          <w:vertAlign w:val="subscript"/>
        </w:rPr>
        <w:t>3</w:t>
      </w:r>
      <w:r>
        <w:rPr>
          <w:rFonts w:hint="eastAsia" w:ascii="宋体" w:hAnsi="宋体" w:cs="宋体"/>
          <w:bCs/>
          <w:color w:val="auto"/>
          <w:sz w:val="24"/>
          <w:szCs w:val="24"/>
        </w:rPr>
        <w:t>、CO</w:t>
      </w:r>
      <w:r>
        <w:rPr>
          <w:rFonts w:hint="eastAsia" w:ascii="宋体" w:hAnsi="宋体"/>
          <w:color w:val="auto"/>
          <w:sz w:val="24"/>
          <w:szCs w:val="24"/>
        </w:rPr>
        <w:t>仪器设备应符合《环境空气气态污染物（</w:t>
      </w:r>
      <w:r>
        <w:rPr>
          <w:rFonts w:hint="eastAsia" w:ascii="宋体" w:hAnsi="宋体" w:cs="宋体"/>
          <w:bCs/>
          <w:color w:val="auto"/>
          <w:sz w:val="24"/>
          <w:szCs w:val="24"/>
        </w:rPr>
        <w:t>SO</w:t>
      </w:r>
      <w:r>
        <w:rPr>
          <w:rFonts w:hint="eastAsia" w:ascii="宋体" w:hAnsi="宋体" w:cs="宋体"/>
          <w:bCs/>
          <w:color w:val="auto"/>
          <w:sz w:val="24"/>
          <w:szCs w:val="24"/>
          <w:vertAlign w:val="subscript"/>
        </w:rPr>
        <w:t>2</w:t>
      </w:r>
      <w:r>
        <w:rPr>
          <w:rFonts w:hint="eastAsia" w:ascii="宋体" w:hAnsi="宋体" w:cs="宋体"/>
          <w:bCs/>
          <w:color w:val="auto"/>
          <w:sz w:val="24"/>
          <w:szCs w:val="24"/>
        </w:rPr>
        <w:t>、NO</w:t>
      </w:r>
      <w:r>
        <w:rPr>
          <w:rFonts w:hint="eastAsia" w:ascii="宋体" w:hAnsi="宋体" w:cs="宋体"/>
          <w:bCs/>
          <w:color w:val="auto"/>
          <w:sz w:val="24"/>
          <w:szCs w:val="24"/>
          <w:vertAlign w:val="subscript"/>
        </w:rPr>
        <w:t>2</w:t>
      </w:r>
      <w:r>
        <w:rPr>
          <w:rFonts w:hint="eastAsia" w:ascii="宋体" w:hAnsi="宋体" w:cs="宋体"/>
          <w:bCs/>
          <w:color w:val="auto"/>
          <w:sz w:val="24"/>
          <w:szCs w:val="24"/>
        </w:rPr>
        <w:t>、O</w:t>
      </w:r>
      <w:r>
        <w:rPr>
          <w:rFonts w:hint="eastAsia" w:ascii="宋体" w:hAnsi="宋体" w:cs="宋体"/>
          <w:bCs/>
          <w:color w:val="auto"/>
          <w:sz w:val="24"/>
          <w:szCs w:val="24"/>
          <w:vertAlign w:val="subscript"/>
        </w:rPr>
        <w:t>3</w:t>
      </w:r>
      <w:r>
        <w:rPr>
          <w:rFonts w:hint="eastAsia" w:ascii="宋体" w:hAnsi="宋体" w:cs="宋体"/>
          <w:bCs/>
          <w:color w:val="auto"/>
          <w:sz w:val="24"/>
          <w:szCs w:val="24"/>
        </w:rPr>
        <w:t>、CO</w:t>
      </w:r>
      <w:r>
        <w:rPr>
          <w:rFonts w:hint="eastAsia" w:ascii="宋体" w:hAnsi="宋体"/>
          <w:color w:val="auto"/>
          <w:sz w:val="24"/>
          <w:szCs w:val="24"/>
        </w:rPr>
        <w:t>）连续自动监测系统技术要求及检测方法》（HJ 654-2013）要求；</w:t>
      </w:r>
    </w:p>
    <w:p>
      <w:pPr>
        <w:pStyle w:val="68"/>
        <w:spacing w:line="360" w:lineRule="auto"/>
        <w:ind w:right="317" w:rightChars="151" w:firstLine="480"/>
        <w:rPr>
          <w:rFonts w:ascii="宋体" w:hAnsi="宋体"/>
          <w:color w:val="auto"/>
          <w:sz w:val="24"/>
          <w:szCs w:val="24"/>
        </w:rPr>
      </w:pPr>
      <w:r>
        <w:rPr>
          <w:rFonts w:hint="eastAsia" w:ascii="宋体" w:hAnsi="宋体"/>
          <w:color w:val="auto"/>
          <w:sz w:val="24"/>
          <w:szCs w:val="24"/>
        </w:rPr>
        <w:t>4、投标人提供气态污染物仪器设备以下内容：</w:t>
      </w:r>
    </w:p>
    <w:p>
      <w:pPr>
        <w:pStyle w:val="68"/>
        <w:spacing w:line="360" w:lineRule="auto"/>
        <w:ind w:right="317" w:rightChars="151" w:firstLine="480"/>
        <w:rPr>
          <w:rFonts w:ascii="宋体" w:hAnsi="宋体"/>
          <w:color w:val="auto"/>
          <w:sz w:val="24"/>
          <w:szCs w:val="24"/>
        </w:rPr>
      </w:pPr>
      <w:r>
        <w:rPr>
          <w:rFonts w:hint="eastAsia" w:ascii="宋体" w:hAnsi="宋体"/>
          <w:color w:val="auto"/>
          <w:sz w:val="24"/>
          <w:szCs w:val="24"/>
        </w:rPr>
        <w:t>4.1 提供实时数据采集指令、历史监测数据回补指令、仪器运行状态参数查询指令和与质控操作相关的指令（包括气路控制指令、仪器背景值读取与修改指令、监测值修改斜率读取与修改指令）；</w:t>
      </w:r>
    </w:p>
    <w:p>
      <w:pPr>
        <w:pStyle w:val="68"/>
        <w:spacing w:line="360" w:lineRule="auto"/>
        <w:ind w:right="317" w:rightChars="151" w:firstLine="480"/>
        <w:rPr>
          <w:rFonts w:ascii="宋体" w:hAnsi="宋体"/>
          <w:color w:val="auto"/>
          <w:sz w:val="24"/>
          <w:szCs w:val="24"/>
        </w:rPr>
      </w:pPr>
      <w:r>
        <w:rPr>
          <w:rFonts w:hint="eastAsia" w:ascii="宋体" w:hAnsi="宋体"/>
          <w:color w:val="auto"/>
          <w:sz w:val="24"/>
          <w:szCs w:val="24"/>
        </w:rPr>
        <w:t>4.2 提供仪器设备的通讯协议、仪器正常状态参数上下限等信息；所有仪器设备的监测数据和仪器状态参数，均应能够直接连入目前在用的市级空气数据管理平台，同时实现与当地现有数采系统的连接，以满足数据采集、传输、审核等业务工作要求。</w:t>
      </w:r>
    </w:p>
    <w:p>
      <w:pPr>
        <w:pStyle w:val="68"/>
        <w:spacing w:line="360" w:lineRule="auto"/>
        <w:ind w:right="317" w:rightChars="151" w:firstLine="480"/>
        <w:rPr>
          <w:rFonts w:ascii="宋体" w:hAnsi="宋体"/>
          <w:color w:val="auto"/>
          <w:sz w:val="24"/>
          <w:szCs w:val="24"/>
        </w:rPr>
      </w:pPr>
      <w:r>
        <w:rPr>
          <w:rFonts w:hint="eastAsia" w:ascii="宋体" w:hAnsi="宋体"/>
          <w:color w:val="auto"/>
          <w:sz w:val="24"/>
          <w:szCs w:val="24"/>
        </w:rPr>
        <w:t>4.3 应保证仪器设备具备为统一数据采集预留软硬件接口的功能；应提供监测仪器设备分钟、小时均值的计算方法。</w:t>
      </w:r>
    </w:p>
    <w:p>
      <w:pPr>
        <w:pStyle w:val="68"/>
        <w:spacing w:line="360" w:lineRule="auto"/>
        <w:ind w:right="317" w:rightChars="151" w:firstLine="480"/>
        <w:rPr>
          <w:rFonts w:ascii="宋体" w:hAnsi="宋体"/>
          <w:color w:val="auto"/>
          <w:sz w:val="24"/>
          <w:szCs w:val="24"/>
        </w:rPr>
      </w:pPr>
      <w:r>
        <w:rPr>
          <w:rFonts w:hint="eastAsia" w:ascii="宋体" w:hAnsi="宋体"/>
          <w:color w:val="auto"/>
          <w:sz w:val="24"/>
          <w:szCs w:val="24"/>
        </w:rPr>
        <w:t>4.4 提供的全部仪器的附件要求为：标准附件、仪器操作说明书，必要软件及软件说明书，必要的零配件与附属设备（固定架、电缆、teflon 采样连接管等）安装附件。</w:t>
      </w:r>
    </w:p>
    <w:p>
      <w:pPr>
        <w:pStyle w:val="68"/>
        <w:spacing w:line="360" w:lineRule="auto"/>
        <w:ind w:right="317" w:rightChars="151" w:firstLine="480"/>
        <w:rPr>
          <w:rFonts w:ascii="宋体" w:hAnsi="宋体"/>
          <w:color w:val="auto"/>
          <w:sz w:val="24"/>
          <w:szCs w:val="24"/>
        </w:rPr>
      </w:pPr>
      <w:r>
        <w:rPr>
          <w:rFonts w:hint="eastAsia" w:ascii="宋体" w:hAnsi="宋体"/>
          <w:color w:val="auto"/>
          <w:sz w:val="24"/>
          <w:szCs w:val="24"/>
        </w:rPr>
        <w:t>4.5 中标人保证安装时由厂家授权技术工程师在现场安装相应包中所有涉及的仪器设备（含数采软件系统）、调试及培训。投标文件中提供承诺函。</w:t>
      </w:r>
    </w:p>
    <w:p>
      <w:pPr>
        <w:pStyle w:val="68"/>
        <w:spacing w:line="360" w:lineRule="auto"/>
        <w:ind w:right="317" w:rightChars="151" w:firstLine="480"/>
        <w:rPr>
          <w:rFonts w:ascii="宋体" w:hAnsi="宋体"/>
          <w:color w:val="auto"/>
          <w:sz w:val="24"/>
          <w:szCs w:val="24"/>
        </w:rPr>
      </w:pPr>
      <w:r>
        <w:rPr>
          <w:rFonts w:hint="eastAsia" w:ascii="宋体" w:hAnsi="宋体"/>
          <w:color w:val="auto"/>
          <w:sz w:val="24"/>
          <w:szCs w:val="24"/>
        </w:rPr>
        <w:t>4.6 中标人保证应提供原厂技术服务，包括原厂返厂维修服务。投标文件中提供承诺函。</w:t>
      </w:r>
    </w:p>
    <w:p>
      <w:pPr>
        <w:spacing w:line="360" w:lineRule="auto"/>
        <w:rPr>
          <w:rFonts w:ascii="宋体" w:hAnsi="宋体" w:cs="宋体"/>
          <w:b/>
          <w:bCs/>
          <w:color w:val="auto"/>
          <w:sz w:val="24"/>
          <w:szCs w:val="24"/>
        </w:rPr>
      </w:pPr>
      <w:r>
        <w:rPr>
          <w:rFonts w:hint="eastAsia" w:ascii="宋体" w:hAnsi="宋体" w:cs="宋体"/>
          <w:b/>
          <w:bCs/>
          <w:color w:val="auto"/>
          <w:sz w:val="24"/>
          <w:szCs w:val="24"/>
        </w:rPr>
        <w:t>（三）主要设备具体功能及技术参数</w:t>
      </w:r>
    </w:p>
    <w:p>
      <w:pPr>
        <w:pStyle w:val="68"/>
        <w:spacing w:line="360" w:lineRule="auto"/>
        <w:ind w:right="317" w:rightChars="151" w:firstLine="480"/>
        <w:rPr>
          <w:rFonts w:ascii="宋体" w:hAnsi="宋体"/>
          <w:color w:val="auto"/>
          <w:sz w:val="24"/>
          <w:szCs w:val="24"/>
        </w:rPr>
      </w:pPr>
      <w:r>
        <w:rPr>
          <w:rFonts w:hint="eastAsia" w:ascii="宋体" w:hAnsi="宋体"/>
          <w:color w:val="auto"/>
          <w:sz w:val="24"/>
          <w:szCs w:val="24"/>
        </w:rPr>
        <w:t>根据项目建设内容，主要设备具体功能及技术参数要求如下：</w:t>
      </w:r>
    </w:p>
    <w:p>
      <w:pPr>
        <w:pStyle w:val="68"/>
        <w:spacing w:line="360" w:lineRule="auto"/>
        <w:ind w:right="317" w:rightChars="151" w:firstLine="482"/>
        <w:rPr>
          <w:rFonts w:ascii="宋体" w:hAnsi="宋体" w:cs="仿宋"/>
          <w:b/>
          <w:bCs/>
          <w:color w:val="auto"/>
          <w:sz w:val="24"/>
          <w:szCs w:val="24"/>
        </w:rPr>
      </w:pPr>
      <w:r>
        <w:rPr>
          <w:rFonts w:hint="eastAsia" w:ascii="宋体" w:hAnsi="宋体" w:cs="仿宋"/>
          <w:b/>
          <w:bCs/>
          <w:color w:val="auto"/>
          <w:sz w:val="24"/>
          <w:szCs w:val="24"/>
        </w:rPr>
        <w:t>1.SO</w:t>
      </w:r>
      <w:r>
        <w:rPr>
          <w:rFonts w:hint="eastAsia" w:ascii="宋体" w:hAnsi="宋体" w:cs="仿宋"/>
          <w:b/>
          <w:bCs/>
          <w:color w:val="auto"/>
          <w:sz w:val="24"/>
          <w:szCs w:val="24"/>
          <w:vertAlign w:val="subscript"/>
        </w:rPr>
        <w:t>2</w:t>
      </w:r>
      <w:r>
        <w:rPr>
          <w:rFonts w:hint="eastAsia" w:ascii="宋体" w:hAnsi="宋体" w:cs="仿宋"/>
          <w:b/>
          <w:bCs/>
          <w:color w:val="auto"/>
          <w:sz w:val="24"/>
          <w:szCs w:val="24"/>
        </w:rPr>
        <w:t>分析仪</w:t>
      </w:r>
      <w:r>
        <w:rPr>
          <w:rFonts w:hint="eastAsia" w:ascii="宋体" w:hAnsi="宋体" w:cs="宋体"/>
          <w:color w:val="auto"/>
          <w:sz w:val="24"/>
          <w:szCs w:val="24"/>
        </w:rPr>
        <w:t>(</w:t>
      </w:r>
      <w:r>
        <w:rPr>
          <w:rFonts w:hint="eastAsia" w:ascii="宋体" w:hAnsi="宋体" w:cs="宋体"/>
          <w:b/>
          <w:bCs/>
          <w:color w:val="auto"/>
          <w:sz w:val="24"/>
          <w:szCs w:val="24"/>
        </w:rPr>
        <w:t>核心产品)</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（1）功能要求：</w:t>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（1.1）设备描述：点式 SO</w:t>
      </w:r>
      <w:r>
        <w:rPr>
          <w:rFonts w:hint="eastAsia" w:ascii="宋体" w:hAnsi="宋体" w:cs="宋体"/>
          <w:color w:val="auto"/>
          <w:sz w:val="24"/>
          <w:szCs w:val="24"/>
          <w:vertAlign w:val="subscript"/>
        </w:rPr>
        <w:t>2</w:t>
      </w:r>
      <w:r>
        <w:rPr>
          <w:rFonts w:hint="eastAsia" w:ascii="宋体" w:hAnsi="宋体" w:cs="宋体"/>
          <w:color w:val="auto"/>
          <w:sz w:val="24"/>
          <w:szCs w:val="24"/>
        </w:rPr>
        <w:t>分析仪;</w:t>
      </w:r>
    </w:p>
    <w:p>
      <w:pPr>
        <w:pStyle w:val="68"/>
        <w:spacing w:line="360" w:lineRule="auto"/>
        <w:ind w:right="317" w:rightChars="151" w:firstLine="480"/>
        <w:rPr>
          <w:rFonts w:ascii="宋体" w:hAnsi="宋体" w:cs="仿宋"/>
          <w:color w:val="auto"/>
          <w:sz w:val="24"/>
          <w:szCs w:val="24"/>
        </w:rPr>
      </w:pPr>
      <w:r>
        <w:rPr>
          <w:rFonts w:hint="eastAsia" w:ascii="宋体" w:hAnsi="宋体" w:cs="宋体"/>
          <w:color w:val="auto"/>
          <w:sz w:val="24"/>
          <w:szCs w:val="24"/>
        </w:rPr>
        <w:t>（1.2）分析方法：紫外荧光法;</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（1.3）设备用途：用于空气中二氧化硫浓度的监测;</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（1.4）配置要求：含过滤滤膜等耗材、配套提供钢瓶气（8L）及减压阀等辅助设施，标气为一级标气，减压阀材质为316L不锈钢;</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（1.5）数字输出信号：不少于2个RS232/485 数字接口（分别用于本地数采仪、VPN实时传输和智能维护和质控系统接口）；不少于1个以太网输出接口，各接口输出的数据不得存在差异;</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（1.6）运行方式：微处理机控制,具有参数设定,自我诊断报警、仪器运行状态参数显示、远程遥控诊断操作、存储分析数据和运行状态参数的功能;</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（1.7）所投设备具备五分钟实时监测数据，并形成合理曲线。投标文件中提供相关证明材料;</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（1.8）支持数据下载;</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（1.9）投标文件中提供国家计量行政部门颁发的计量器具型式批准证书和计量器具批准评价证书（评价证书里的核心部件及外观等和交货时完全一致）及查询网址。</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（2）技术参数：</w:t>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（2.1）测量范围：0-500nmol/mol或更多可选量程，具有量程自动切换，用户自定义功能;</w:t>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★（2.2）零点噪声：≤0.1nmol/mol;</w:t>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（2.3）量程噪声：≤1.5nmol/mol;</w:t>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★（2.4）最低检出限：≤0.2nmol/mol;</w:t>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（2.5）示值误差：≤±0.1%F.S.;</w:t>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（2.6）干扰成分影响：≤±0.2%F.S（2%H2O）；≤±0.5%F.S（0.1μmol/mol%甲苯）;</w:t>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（2.7）24h零点漂移：≤±2.0nmol/mol;</w:t>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（2.8）24h 20%量程漂移：≤±2.5nmol/mol;</w:t>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（2.9）24h 80%量程漂移：≤±5 nmol/mol;</w:t>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（2.10）长期量程漂移：≤±5nmol/mol（7d）;</w:t>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（2.11）长期零点漂移：≤±1.5nmol/mol（7d）;</w:t>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（2.12）电压稳定性：≤±1.0%F.S.;</w:t>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★（2.13）流量稳定性</w:t>
      </w:r>
      <w:r>
        <w:rPr>
          <w:rFonts w:hint="eastAsia" w:ascii="宋体" w:hAnsi="宋体" w:cs="宋体"/>
          <w:color w:val="auto"/>
          <w:sz w:val="24"/>
          <w:szCs w:val="24"/>
        </w:rPr>
        <w:tab/>
      </w:r>
      <w:r>
        <w:rPr>
          <w:rFonts w:hint="eastAsia" w:ascii="宋体" w:hAnsi="宋体" w:cs="宋体"/>
          <w:color w:val="auto"/>
          <w:sz w:val="24"/>
          <w:szCs w:val="24"/>
        </w:rPr>
        <w:t>：≤±2.0%;</w:t>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★（2.14）所投的二氧化硫分析仪，所使用的光源为脉冲紫外灯，以保证光源强度衰减慢和寿命较长;</w:t>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（2.15）20%量程精密度：≤2nmol/mol；80%量程精密度：≤4nmol/mol;</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w:t>
      </w:r>
      <w:r>
        <w:rPr>
          <w:rFonts w:hint="eastAsia" w:ascii="宋体" w:hAnsi="宋体" w:cs="仿宋"/>
          <w:color w:val="auto"/>
          <w:sz w:val="24"/>
          <w:szCs w:val="24"/>
        </w:rPr>
        <w:t>2.16</w:t>
      </w:r>
      <w:r>
        <w:rPr>
          <w:rFonts w:hint="eastAsia" w:ascii="宋体" w:hAnsi="宋体" w:cs="宋体"/>
          <w:color w:val="auto"/>
          <w:sz w:val="24"/>
          <w:szCs w:val="24"/>
        </w:rPr>
        <w:t>）响应时间：小于 180 秒（从 0 上升到 90％满量程）;</w:t>
      </w:r>
    </w:p>
    <w:p>
      <w:pPr>
        <w:pStyle w:val="68"/>
        <w:spacing w:line="360" w:lineRule="auto"/>
        <w:ind w:right="317" w:rightChars="151" w:firstLine="482"/>
        <w:rPr>
          <w:rFonts w:ascii="宋体" w:hAnsi="宋体" w:cs="仿宋"/>
          <w:b/>
          <w:bCs/>
          <w:color w:val="auto"/>
          <w:sz w:val="24"/>
          <w:szCs w:val="24"/>
        </w:rPr>
      </w:pPr>
      <w:r>
        <w:rPr>
          <w:rFonts w:hint="eastAsia" w:ascii="宋体" w:hAnsi="宋体" w:cs="仿宋"/>
          <w:b/>
          <w:bCs/>
          <w:color w:val="auto"/>
          <w:sz w:val="24"/>
          <w:szCs w:val="24"/>
        </w:rPr>
        <w:t>2.NO</w:t>
      </w:r>
      <w:r>
        <w:rPr>
          <w:rFonts w:hint="eastAsia" w:ascii="宋体" w:hAnsi="宋体" w:cs="仿宋"/>
          <w:b/>
          <w:bCs/>
          <w:color w:val="auto"/>
          <w:sz w:val="24"/>
          <w:szCs w:val="24"/>
          <w:vertAlign w:val="subscript"/>
        </w:rPr>
        <w:t>2</w:t>
      </w:r>
      <w:r>
        <w:rPr>
          <w:rFonts w:hint="eastAsia" w:ascii="宋体" w:hAnsi="宋体" w:cs="仿宋"/>
          <w:b/>
          <w:bCs/>
          <w:color w:val="auto"/>
          <w:sz w:val="24"/>
          <w:szCs w:val="24"/>
        </w:rPr>
        <w:t>分析仪</w:t>
      </w:r>
    </w:p>
    <w:p>
      <w:pPr>
        <w:pStyle w:val="68"/>
        <w:spacing w:line="360" w:lineRule="auto"/>
        <w:ind w:right="317" w:rightChars="151" w:firstLine="480"/>
        <w:rPr>
          <w:rFonts w:ascii="宋体" w:hAnsi="宋体" w:cs="仿宋"/>
          <w:color w:val="auto"/>
          <w:sz w:val="24"/>
          <w:szCs w:val="24"/>
        </w:rPr>
      </w:pPr>
      <w:r>
        <w:rPr>
          <w:rFonts w:hint="eastAsia" w:ascii="宋体" w:hAnsi="宋体" w:cs="宋体"/>
          <w:color w:val="auto"/>
          <w:sz w:val="24"/>
          <w:szCs w:val="24"/>
        </w:rPr>
        <w:t>（1）功能要求：</w:t>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（1.1）设备描述：点式 NO</w:t>
      </w:r>
      <w:r>
        <w:rPr>
          <w:rFonts w:hint="eastAsia" w:ascii="宋体" w:hAnsi="宋体" w:cs="宋体"/>
          <w:color w:val="auto"/>
          <w:sz w:val="24"/>
          <w:szCs w:val="24"/>
          <w:vertAlign w:val="subscript"/>
        </w:rPr>
        <w:t>2</w:t>
      </w:r>
      <w:r>
        <w:rPr>
          <w:rFonts w:hint="eastAsia" w:ascii="宋体" w:hAnsi="宋体" w:cs="宋体"/>
          <w:color w:val="auto"/>
          <w:sz w:val="24"/>
          <w:szCs w:val="24"/>
        </w:rPr>
        <w:t>分析仪;</w:t>
      </w:r>
    </w:p>
    <w:p>
      <w:pPr>
        <w:pStyle w:val="68"/>
        <w:spacing w:line="360" w:lineRule="auto"/>
        <w:ind w:right="317" w:rightChars="151" w:firstLine="480"/>
        <w:rPr>
          <w:rFonts w:ascii="宋体" w:hAnsi="宋体" w:cs="仿宋"/>
          <w:color w:val="auto"/>
          <w:sz w:val="24"/>
          <w:szCs w:val="24"/>
        </w:rPr>
      </w:pPr>
      <w:r>
        <w:rPr>
          <w:rFonts w:hint="eastAsia" w:ascii="宋体" w:hAnsi="宋体" w:cs="宋体"/>
          <w:color w:val="auto"/>
          <w:sz w:val="24"/>
          <w:szCs w:val="24"/>
        </w:rPr>
        <w:t>（1.2）分析方法：化学发光法;</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（1.3）设备用途：用于空气中氮氧化物浓度的监测;</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（1.4）配置要求：含过滤滤膜等耗材、配套提供钢瓶气（8L）及减压阀等辅助设施，标气为一级标气，减压阀材质为316L不锈钢;</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（1.5）数字输出信号：不少于2个RS232/485 数字接口（分别用于本地数采仪、VPN实时传输和智能维护和质控系统接口）；不少于1个以太网输出接口，各接口输出的数据不得存在差异;</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（1.6）运行方式：微处理机控制,具有参数设定,自我诊断报警、仪器运行状态参数显示、远程遥控诊断操作、存储分析数据和运行状态参数的功能;</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（1.7）提供所投设备五分钟实时监测数据，并形成合理曲线。投标文件中提供相关证明材料;</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（1.8）支持数据下载;</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（1.9）投标文件中提供国家计量行政部门颁发的计量器具型式批准证书和计量器具批准评价证书（评价证书里的核心部件及外观等和交货时完全一致）及查询网址。</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（2）技术参数：</w:t>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（2.1）测量范围：0-500nmol/mol或更多可选量程，具有量程自动切换，用户自定义功能；</w:t>
      </w:r>
    </w:p>
    <w:p>
      <w:pPr>
        <w:pStyle w:val="68"/>
        <w:spacing w:line="360" w:lineRule="auto"/>
        <w:ind w:right="317" w:rightChars="151" w:firstLine="480"/>
        <w:rPr>
          <w:rFonts w:ascii="宋体" w:hAnsi="宋体" w:cs="宋体"/>
          <w:color w:val="auto"/>
          <w:sz w:val="24"/>
          <w:szCs w:val="24"/>
        </w:rPr>
      </w:pPr>
      <w:r>
        <w:rPr>
          <w:rFonts w:hint="eastAsia" w:ascii="宋体" w:hAnsi="宋体" w:cs="宋体"/>
          <w:snapToGrid w:val="0"/>
          <w:color w:val="auto"/>
          <w:sz w:val="24"/>
          <w:szCs w:val="24"/>
        </w:rPr>
        <w:t>★</w:t>
      </w:r>
      <w:r>
        <w:rPr>
          <w:rFonts w:hint="eastAsia" w:ascii="宋体" w:hAnsi="宋体" w:cs="宋体"/>
          <w:color w:val="auto"/>
          <w:sz w:val="24"/>
          <w:szCs w:val="24"/>
        </w:rPr>
        <w:t>（2.2）零点噪声：≤0.1nmol/mol；</w:t>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（2.3）量程噪声：≤1.0nmol/mol;</w:t>
      </w:r>
    </w:p>
    <w:p>
      <w:pPr>
        <w:pStyle w:val="68"/>
        <w:spacing w:line="360" w:lineRule="auto"/>
        <w:ind w:right="317" w:rightChars="151" w:firstLine="480"/>
        <w:rPr>
          <w:rFonts w:ascii="宋体" w:hAnsi="宋体" w:cs="宋体"/>
          <w:color w:val="auto"/>
          <w:sz w:val="24"/>
          <w:szCs w:val="24"/>
        </w:rPr>
      </w:pPr>
      <w:r>
        <w:rPr>
          <w:rFonts w:hint="eastAsia" w:ascii="宋体" w:hAnsi="宋体" w:cs="宋体"/>
          <w:snapToGrid w:val="0"/>
          <w:color w:val="auto"/>
          <w:sz w:val="24"/>
          <w:szCs w:val="24"/>
        </w:rPr>
        <w:t>★</w:t>
      </w:r>
      <w:r>
        <w:rPr>
          <w:rFonts w:hint="eastAsia" w:ascii="宋体" w:hAnsi="宋体" w:cs="宋体"/>
          <w:color w:val="auto"/>
          <w:sz w:val="24"/>
          <w:szCs w:val="24"/>
        </w:rPr>
        <w:t>（2.4）最低检出限：≤1.0nmol/mol;</w:t>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（2.5）示值误差：≤±0.1%F.S.;</w:t>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（2.6）干扰成分影响：≤±0.1%F.S（2.5%H2O）；≤±0.1%F.S（1μmol/molNH</w:t>
      </w:r>
      <w:r>
        <w:rPr>
          <w:rFonts w:hint="eastAsia" w:ascii="宋体" w:hAnsi="宋体" w:cs="宋体"/>
          <w:color w:val="auto"/>
          <w:sz w:val="24"/>
          <w:szCs w:val="24"/>
          <w:vertAlign w:val="subscript"/>
        </w:rPr>
        <w:t>3</w:t>
      </w:r>
      <w:r>
        <w:rPr>
          <w:rFonts w:hint="eastAsia" w:ascii="宋体" w:hAnsi="宋体" w:cs="宋体"/>
          <w:color w:val="auto"/>
          <w:sz w:val="24"/>
          <w:szCs w:val="24"/>
        </w:rPr>
        <w:t>）；≤±0.1%F.S.（200nmol/mol O</w:t>
      </w:r>
      <w:r>
        <w:rPr>
          <w:rFonts w:hint="eastAsia" w:ascii="宋体" w:hAnsi="宋体" w:cs="宋体"/>
          <w:color w:val="auto"/>
          <w:sz w:val="24"/>
          <w:szCs w:val="24"/>
          <w:vertAlign w:val="subscript"/>
        </w:rPr>
        <w:t>3</w:t>
      </w:r>
      <w:r>
        <w:rPr>
          <w:rFonts w:hint="eastAsia" w:ascii="宋体" w:hAnsi="宋体" w:cs="宋体"/>
          <w:color w:val="auto"/>
          <w:sz w:val="24"/>
          <w:szCs w:val="24"/>
        </w:rPr>
        <w:t>）；≤±0.5%F.S.（500nmol/molSO</w:t>
      </w:r>
      <w:r>
        <w:rPr>
          <w:rFonts w:hint="eastAsia" w:ascii="宋体" w:hAnsi="宋体" w:cs="宋体"/>
          <w:color w:val="auto"/>
          <w:sz w:val="24"/>
          <w:szCs w:val="24"/>
          <w:vertAlign w:val="subscript"/>
        </w:rPr>
        <w:t>2</w:t>
      </w:r>
      <w:r>
        <w:rPr>
          <w:rFonts w:hint="eastAsia" w:ascii="宋体" w:hAnsi="宋体" w:cs="宋体"/>
          <w:color w:val="auto"/>
          <w:sz w:val="24"/>
          <w:szCs w:val="24"/>
        </w:rPr>
        <w:t>）;</w:t>
      </w:r>
      <w:r>
        <w:rPr>
          <w:rFonts w:hint="eastAsia" w:ascii="宋体" w:hAnsi="宋体" w:cs="宋体"/>
          <w:color w:val="auto"/>
          <w:sz w:val="24"/>
          <w:szCs w:val="24"/>
        </w:rPr>
        <w:tab/>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（2.7）24h零点漂移：≤±2.0nmol/mol;</w:t>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（2.8）24h 20%量程漂移：≤</w:t>
      </w:r>
      <w:r>
        <w:rPr>
          <w:rFonts w:hint="eastAsia" w:ascii="宋体" w:hAnsi="宋体" w:cs="仿宋"/>
          <w:color w:val="auto"/>
          <w:sz w:val="24"/>
          <w:szCs w:val="24"/>
        </w:rPr>
        <w:t>±</w:t>
      </w:r>
      <w:r>
        <w:rPr>
          <w:rFonts w:hint="eastAsia" w:ascii="宋体" w:hAnsi="宋体" w:cs="宋体"/>
          <w:color w:val="auto"/>
          <w:sz w:val="24"/>
          <w:szCs w:val="24"/>
        </w:rPr>
        <w:t>2.5nmol/mol;</w:t>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（2.9）24h 80%量程漂移：≤</w:t>
      </w:r>
      <w:r>
        <w:rPr>
          <w:rFonts w:hint="eastAsia" w:ascii="宋体" w:hAnsi="宋体" w:cs="仿宋"/>
          <w:color w:val="auto"/>
          <w:sz w:val="24"/>
          <w:szCs w:val="24"/>
        </w:rPr>
        <w:t>±</w:t>
      </w:r>
      <w:r>
        <w:rPr>
          <w:rFonts w:hint="eastAsia" w:ascii="宋体" w:hAnsi="宋体" w:cs="宋体"/>
          <w:color w:val="auto"/>
          <w:sz w:val="24"/>
          <w:szCs w:val="24"/>
        </w:rPr>
        <w:t>5 nmol/mol;</w:t>
      </w:r>
      <w:r>
        <w:rPr>
          <w:rFonts w:hint="eastAsia" w:ascii="宋体" w:hAnsi="宋体" w:cs="宋体"/>
          <w:color w:val="auto"/>
          <w:sz w:val="24"/>
          <w:szCs w:val="24"/>
        </w:rPr>
        <w:tab/>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（2.10）长期量程漂移：≤±5nmol/mol</w:t>
      </w:r>
      <w:r>
        <w:rPr>
          <w:rFonts w:hint="eastAsia" w:ascii="宋体" w:hAnsi="宋体" w:cs="仿宋"/>
          <w:color w:val="auto"/>
          <w:sz w:val="24"/>
          <w:szCs w:val="24"/>
        </w:rPr>
        <w:t>（7d）</w:t>
      </w:r>
      <w:r>
        <w:rPr>
          <w:rFonts w:hint="eastAsia" w:ascii="宋体" w:hAnsi="宋体" w:cs="宋体"/>
          <w:color w:val="auto"/>
          <w:sz w:val="24"/>
          <w:szCs w:val="24"/>
        </w:rPr>
        <w:t>;</w:t>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（2.11）长期零点漂移：≤±1.5nmol/mol</w:t>
      </w:r>
      <w:r>
        <w:rPr>
          <w:rFonts w:hint="eastAsia" w:ascii="宋体" w:hAnsi="宋体" w:cs="仿宋"/>
          <w:color w:val="auto"/>
          <w:sz w:val="24"/>
          <w:szCs w:val="24"/>
        </w:rPr>
        <w:t>（7d）</w:t>
      </w:r>
      <w:r>
        <w:rPr>
          <w:rFonts w:hint="eastAsia" w:ascii="宋体" w:hAnsi="宋体" w:cs="宋体"/>
          <w:color w:val="auto"/>
          <w:sz w:val="24"/>
          <w:szCs w:val="24"/>
        </w:rPr>
        <w:t>;</w:t>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（2.12）电压稳定性：≤±1.0%F.S.;</w:t>
      </w:r>
    </w:p>
    <w:p>
      <w:pPr>
        <w:pStyle w:val="68"/>
        <w:spacing w:line="360" w:lineRule="auto"/>
        <w:ind w:right="317" w:rightChars="151" w:firstLine="480"/>
        <w:rPr>
          <w:rFonts w:ascii="宋体" w:hAnsi="宋体" w:cs="宋体"/>
          <w:color w:val="auto"/>
          <w:sz w:val="24"/>
          <w:szCs w:val="24"/>
        </w:rPr>
      </w:pPr>
      <w:r>
        <w:rPr>
          <w:rFonts w:hint="eastAsia" w:ascii="宋体" w:hAnsi="宋体" w:cs="宋体"/>
          <w:snapToGrid w:val="0"/>
          <w:color w:val="auto"/>
          <w:sz w:val="24"/>
          <w:szCs w:val="24"/>
        </w:rPr>
        <w:t>★</w:t>
      </w:r>
      <w:r>
        <w:rPr>
          <w:rFonts w:hint="eastAsia" w:ascii="宋体" w:hAnsi="宋体" w:cs="宋体"/>
          <w:color w:val="auto"/>
          <w:sz w:val="24"/>
          <w:szCs w:val="24"/>
        </w:rPr>
        <w:t>（2.13）流量稳定性</w:t>
      </w:r>
      <w:r>
        <w:rPr>
          <w:rFonts w:hint="eastAsia" w:ascii="宋体" w:hAnsi="宋体" w:cs="宋体"/>
          <w:color w:val="auto"/>
          <w:sz w:val="24"/>
          <w:szCs w:val="24"/>
        </w:rPr>
        <w:tab/>
      </w:r>
      <w:r>
        <w:rPr>
          <w:rFonts w:hint="eastAsia" w:ascii="宋体" w:hAnsi="宋体" w:cs="宋体"/>
          <w:color w:val="auto"/>
          <w:sz w:val="24"/>
          <w:szCs w:val="24"/>
        </w:rPr>
        <w:t>：≤±2.0%;</w:t>
      </w:r>
    </w:p>
    <w:p>
      <w:pPr>
        <w:pStyle w:val="68"/>
        <w:spacing w:line="360" w:lineRule="auto"/>
        <w:ind w:right="317" w:rightChars="151" w:firstLine="480"/>
        <w:rPr>
          <w:rFonts w:ascii="宋体" w:hAnsi="宋体" w:cs="宋体"/>
          <w:color w:val="auto"/>
          <w:sz w:val="24"/>
          <w:szCs w:val="24"/>
        </w:rPr>
      </w:pPr>
      <w:r>
        <w:rPr>
          <w:rFonts w:hint="eastAsia" w:ascii="宋体" w:hAnsi="宋体" w:cs="宋体"/>
          <w:snapToGrid w:val="0"/>
          <w:color w:val="auto"/>
          <w:sz w:val="24"/>
          <w:szCs w:val="24"/>
        </w:rPr>
        <w:t>★</w:t>
      </w:r>
      <w:r>
        <w:rPr>
          <w:rFonts w:hint="eastAsia" w:ascii="宋体" w:hAnsi="宋体" w:cs="宋体"/>
          <w:color w:val="auto"/>
          <w:sz w:val="24"/>
          <w:szCs w:val="24"/>
        </w:rPr>
        <w:t>（2.14）二氧化氮的转化率不小于99.0%（投标文件中提供国家计量行政部门颁发的计量器具型式批准证书或计量器具批准评价证书）及查询网址;</w:t>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（2.15）20%量程精密度：≤2nmol/mol；80%量程精密度：≤4nmol/mol;</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w:t>
      </w:r>
      <w:r>
        <w:rPr>
          <w:rFonts w:hint="eastAsia" w:ascii="宋体" w:hAnsi="宋体" w:cs="仿宋"/>
          <w:color w:val="auto"/>
          <w:sz w:val="24"/>
          <w:szCs w:val="24"/>
        </w:rPr>
        <w:t>2.16</w:t>
      </w:r>
      <w:r>
        <w:rPr>
          <w:rFonts w:hint="eastAsia" w:ascii="宋体" w:hAnsi="宋体" w:cs="宋体"/>
          <w:color w:val="auto"/>
          <w:sz w:val="24"/>
          <w:szCs w:val="24"/>
        </w:rPr>
        <w:t>）响应时间：小于 180 秒（从 0 上升到 90％满量程）。</w:t>
      </w:r>
    </w:p>
    <w:p>
      <w:pPr>
        <w:pStyle w:val="68"/>
        <w:spacing w:line="360" w:lineRule="auto"/>
        <w:ind w:right="317" w:rightChars="151" w:firstLine="482"/>
        <w:rPr>
          <w:rFonts w:ascii="宋体" w:hAnsi="宋体" w:cs="仿宋"/>
          <w:b/>
          <w:bCs/>
          <w:color w:val="auto"/>
          <w:sz w:val="24"/>
          <w:szCs w:val="24"/>
        </w:rPr>
      </w:pPr>
      <w:r>
        <w:rPr>
          <w:rFonts w:hint="eastAsia" w:ascii="宋体" w:hAnsi="宋体" w:cs="仿宋"/>
          <w:b/>
          <w:bCs/>
          <w:color w:val="auto"/>
          <w:sz w:val="24"/>
          <w:szCs w:val="24"/>
        </w:rPr>
        <w:t>3. O</w:t>
      </w:r>
      <w:r>
        <w:rPr>
          <w:rFonts w:hint="eastAsia" w:ascii="宋体" w:hAnsi="宋体" w:cs="仿宋"/>
          <w:b/>
          <w:bCs/>
          <w:color w:val="auto"/>
          <w:sz w:val="24"/>
          <w:szCs w:val="24"/>
          <w:vertAlign w:val="subscript"/>
        </w:rPr>
        <w:t>3</w:t>
      </w:r>
      <w:r>
        <w:rPr>
          <w:rFonts w:hint="eastAsia" w:ascii="宋体" w:hAnsi="宋体" w:cs="仿宋"/>
          <w:b/>
          <w:bCs/>
          <w:color w:val="auto"/>
          <w:sz w:val="24"/>
          <w:szCs w:val="24"/>
        </w:rPr>
        <w:t>分析仪</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（1）功能要求：</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（1.1）设备描述：点式 O</w:t>
      </w:r>
      <w:r>
        <w:rPr>
          <w:rFonts w:hint="eastAsia" w:ascii="宋体" w:hAnsi="宋体" w:cs="宋体"/>
          <w:color w:val="auto"/>
          <w:sz w:val="24"/>
          <w:szCs w:val="24"/>
          <w:vertAlign w:val="subscript"/>
        </w:rPr>
        <w:t>3</w:t>
      </w:r>
      <w:r>
        <w:rPr>
          <w:rFonts w:hint="eastAsia" w:ascii="宋体" w:hAnsi="宋体" w:cs="宋体"/>
          <w:color w:val="auto"/>
          <w:sz w:val="24"/>
          <w:szCs w:val="24"/>
        </w:rPr>
        <w:t>分析仪;</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（1.2）分析方法：紫外吸收法;</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（1.3）设备用途：用于空气中臭氧浓度的监测;</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（1.4）配置要求：含过滤滤膜等耗材;</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（1.5）数字输出信号：不少于2个RS232/485 数字接口（分别用于本地数采仪、VPN实时传输和智能维护和质控系统接口）；不少于1个以太网输出接口，各接口输出的数据不得存在差异;</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（1.6）运行方式：微处理机控制,具有参数设定,自我诊断报警、仪器运行状态参数显示、远程遥控诊断操作、存储分析数据和运行状态参数的功能;</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（1.7）所投设备五分钟实时监测数据，并形成合理曲线。投标文件中提供相关证明材料;</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（1.8）支持数据下载;</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★（1.9）光池结构：同中国环境监测总站溯源标准SRP采用的双光池结构一致。（投标文件中提供仪器说明书或产品彩页或具有双光池结构的图片）。</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（2）技术参数：</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（2.1）测量范围：0-500nmol/mol或更多可选量程，具有量程自动切换，用户自定义功能;</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★（2.2）零点噪声：≤0.2nmol/mol;</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（2.3）量程噪声：≤4nmol/mol;</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★（2.4）最低检出限：≤0.4nmol/mol;</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（2.5）示值误差：≤±0.4%F.S.;</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（2.6）干扰成分影响：≤±0.1%F.S（2%H2O）(±0.3%F.S（2%H2O）)；≤±0.1%F.S（1μmol/mol甲苯）</w:t>
      </w:r>
      <w:bookmarkStart w:id="20" w:name="_Hlk76109016"/>
      <w:r>
        <w:rPr>
          <w:rFonts w:hint="eastAsia" w:ascii="宋体" w:hAnsi="宋体" w:cs="宋体"/>
          <w:color w:val="auto"/>
          <w:sz w:val="24"/>
          <w:szCs w:val="24"/>
        </w:rPr>
        <w:t>；≤±0.5%F.S.（0.2μmol/molSO2）；≤±0.1%F.S.（0.5μmol/molNO/NO2）;</w:t>
      </w:r>
    </w:p>
    <w:bookmarkEnd w:id="20"/>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（2.7）24h零点漂移：≤±1.0nmol/mol;</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（2.8）24h 20%量程漂移：≤3nmol/mol;</w:t>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（2.9）24h 80%量程漂移：≤4nmol/mol;</w:t>
      </w:r>
    </w:p>
    <w:p>
      <w:pPr>
        <w:pStyle w:val="68"/>
        <w:spacing w:line="360" w:lineRule="auto"/>
        <w:ind w:right="317" w:rightChars="151" w:firstLine="480"/>
        <w:rPr>
          <w:rFonts w:ascii="宋体" w:hAnsi="宋体" w:cs="仿宋"/>
          <w:color w:val="auto"/>
          <w:sz w:val="24"/>
          <w:szCs w:val="24"/>
        </w:rPr>
      </w:pPr>
      <w:r>
        <w:rPr>
          <w:rFonts w:hint="eastAsia" w:ascii="宋体" w:hAnsi="宋体" w:cs="宋体"/>
          <w:color w:val="auto"/>
          <w:sz w:val="24"/>
          <w:szCs w:val="24"/>
        </w:rPr>
        <w:t>（2.10）长期量程漂移：≤±8nmol/mol</w:t>
      </w:r>
      <w:r>
        <w:rPr>
          <w:rFonts w:hint="eastAsia" w:ascii="宋体" w:hAnsi="宋体" w:cs="仿宋"/>
          <w:color w:val="auto"/>
          <w:sz w:val="24"/>
          <w:szCs w:val="24"/>
        </w:rPr>
        <w:t>（7d）;</w:t>
      </w:r>
    </w:p>
    <w:p>
      <w:pPr>
        <w:pStyle w:val="68"/>
        <w:spacing w:line="360" w:lineRule="auto"/>
        <w:ind w:right="317" w:rightChars="151" w:firstLine="480"/>
        <w:rPr>
          <w:rFonts w:ascii="宋体" w:hAnsi="宋体" w:cs="宋体"/>
          <w:color w:val="auto"/>
          <w:sz w:val="24"/>
          <w:szCs w:val="24"/>
        </w:rPr>
      </w:pPr>
      <w:r>
        <w:rPr>
          <w:rFonts w:hint="eastAsia" w:ascii="宋体" w:hAnsi="宋体" w:cs="仿宋"/>
          <w:color w:val="auto"/>
          <w:sz w:val="24"/>
          <w:szCs w:val="24"/>
        </w:rPr>
        <w:t>（2.1</w:t>
      </w:r>
      <w:r>
        <w:rPr>
          <w:rFonts w:hint="eastAsia" w:ascii="宋体" w:hAnsi="宋体" w:cs="宋体"/>
          <w:color w:val="auto"/>
          <w:sz w:val="24"/>
          <w:szCs w:val="24"/>
        </w:rPr>
        <w:t>1）长期零点漂移：≤±2.0nmol/mol</w:t>
      </w:r>
      <w:r>
        <w:rPr>
          <w:rFonts w:hint="eastAsia" w:ascii="宋体" w:hAnsi="宋体" w:cs="仿宋"/>
          <w:color w:val="auto"/>
          <w:sz w:val="24"/>
          <w:szCs w:val="24"/>
        </w:rPr>
        <w:t>（7d）;</w:t>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★（2.12）流量稳定性</w:t>
      </w:r>
      <w:r>
        <w:rPr>
          <w:rFonts w:hint="eastAsia" w:ascii="宋体" w:hAnsi="宋体" w:cs="宋体"/>
          <w:color w:val="auto"/>
          <w:sz w:val="24"/>
          <w:szCs w:val="24"/>
        </w:rPr>
        <w:tab/>
      </w:r>
      <w:r>
        <w:rPr>
          <w:rFonts w:hint="eastAsia" w:ascii="宋体" w:hAnsi="宋体" w:cs="宋体"/>
          <w:color w:val="auto"/>
          <w:sz w:val="24"/>
          <w:szCs w:val="24"/>
        </w:rPr>
        <w:t>：≤±2.0%;</w:t>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（2.13）20%量程精密度：≤2nmol/mol；80%量程精密度：≤4nmol/mol;</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w:t>
      </w:r>
      <w:r>
        <w:rPr>
          <w:rFonts w:hint="eastAsia" w:ascii="宋体" w:hAnsi="宋体" w:cs="仿宋"/>
          <w:color w:val="auto"/>
          <w:sz w:val="24"/>
          <w:szCs w:val="24"/>
        </w:rPr>
        <w:t>2.14</w:t>
      </w:r>
      <w:r>
        <w:rPr>
          <w:rFonts w:hint="eastAsia" w:ascii="宋体" w:hAnsi="宋体" w:cs="宋体"/>
          <w:color w:val="auto"/>
          <w:sz w:val="24"/>
          <w:szCs w:val="24"/>
        </w:rPr>
        <w:t>）响应时间：小于 180 秒（从 0 上升到 90％满量程）。</w:t>
      </w:r>
    </w:p>
    <w:p>
      <w:pPr>
        <w:pStyle w:val="68"/>
        <w:spacing w:line="360" w:lineRule="auto"/>
        <w:ind w:right="317" w:rightChars="151" w:firstLine="482"/>
        <w:rPr>
          <w:rFonts w:ascii="宋体" w:hAnsi="宋体" w:cs="仿宋"/>
          <w:b/>
          <w:bCs/>
          <w:color w:val="auto"/>
          <w:sz w:val="24"/>
          <w:szCs w:val="24"/>
        </w:rPr>
      </w:pPr>
      <w:r>
        <w:rPr>
          <w:rFonts w:hint="eastAsia" w:ascii="宋体" w:hAnsi="宋体" w:cs="仿宋"/>
          <w:b/>
          <w:bCs/>
          <w:color w:val="auto"/>
          <w:sz w:val="24"/>
          <w:szCs w:val="24"/>
        </w:rPr>
        <w:t>4. CO分析仪</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（1）功能要求：</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（1.1）设备描述：点式 CO 分析仪;</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（1.2）分析方法：气体滤波相关红外吸收法，波长：4.6um;</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（1.3）设备用途：用于空气中 CO 的监测;</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（1.4）配置要求：含过滤滤膜等耗材、配套提供钢瓶气（8L）及减压阀等辅助设施，标气为一级标气，减压阀材质为316L不锈钢;</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（1.5）数字输出信号：不少于2个RS232/485 数字接口（分别用于本地数采仪、VPN实时传输和智能维护和质控系统接口）；不少于1个以太网输出接口，各接口输出的数据不得存在差异;</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（1.6）运行方式：微处理机控制,具有参数设定,自我诊断报警、仪器运行状态参数显示、远程遥控诊断操作、存储分析数据和运行状态参数的功能;</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（1.7）所投设备五分钟实时监测数据，并形成合理曲线。投标文件中提供相关证明材料;</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（1.8）支持数据下载;</w:t>
      </w:r>
    </w:p>
    <w:p>
      <w:pPr>
        <w:pStyle w:val="68"/>
        <w:spacing w:line="360" w:lineRule="auto"/>
        <w:ind w:right="317" w:rightChars="151" w:firstLine="480"/>
        <w:rPr>
          <w:rFonts w:ascii="宋体" w:hAnsi="宋体" w:cs="仿宋"/>
          <w:color w:val="auto"/>
          <w:sz w:val="24"/>
          <w:szCs w:val="24"/>
        </w:rPr>
      </w:pPr>
      <w:r>
        <w:rPr>
          <w:rFonts w:hint="eastAsia" w:ascii="宋体" w:hAnsi="宋体" w:cs="仿宋"/>
          <w:color w:val="auto"/>
          <w:sz w:val="24"/>
          <w:szCs w:val="24"/>
        </w:rPr>
        <w:t>（1.9）</w:t>
      </w:r>
      <w:r>
        <w:rPr>
          <w:rFonts w:hint="eastAsia" w:ascii="宋体" w:hAnsi="宋体" w:cs="宋体"/>
          <w:color w:val="auto"/>
          <w:sz w:val="24"/>
          <w:szCs w:val="24"/>
        </w:rPr>
        <w:t>投标文件中提供国家计量行政部门颁发的计量器具型式批准证书和计量器具批准评价证书（评价证书里的核心部件及外观等和交货时完全一致）及查询网址。</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（2）技术参数：</w:t>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（2.1）测量范围：0-50µmol/mol或更多可选量程，具有量程自动切换，用户自定义功能;</w:t>
      </w:r>
    </w:p>
    <w:p>
      <w:pPr>
        <w:pStyle w:val="68"/>
        <w:spacing w:line="360" w:lineRule="auto"/>
        <w:ind w:right="317" w:rightChars="151" w:firstLine="480"/>
        <w:rPr>
          <w:rFonts w:ascii="宋体" w:hAnsi="宋体" w:cs="宋体"/>
          <w:color w:val="auto"/>
          <w:sz w:val="24"/>
          <w:szCs w:val="24"/>
        </w:rPr>
      </w:pPr>
      <w:r>
        <w:rPr>
          <w:rFonts w:hint="eastAsia" w:ascii="宋体" w:hAnsi="宋体" w:cs="宋体"/>
          <w:snapToGrid w:val="0"/>
          <w:color w:val="auto"/>
          <w:sz w:val="24"/>
          <w:szCs w:val="24"/>
        </w:rPr>
        <w:t>★</w:t>
      </w:r>
      <w:r>
        <w:rPr>
          <w:rFonts w:hint="eastAsia" w:ascii="宋体" w:hAnsi="宋体" w:cs="宋体"/>
          <w:color w:val="auto"/>
          <w:sz w:val="24"/>
          <w:szCs w:val="24"/>
        </w:rPr>
        <w:t>（2.2）零点噪声：≤0.2μmol/mol;</w:t>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（2.3）量程噪声：≤1.0μmol/mol;</w:t>
      </w:r>
    </w:p>
    <w:p>
      <w:pPr>
        <w:pStyle w:val="68"/>
        <w:spacing w:line="360" w:lineRule="auto"/>
        <w:ind w:right="317" w:rightChars="151" w:firstLine="480"/>
        <w:rPr>
          <w:rFonts w:ascii="宋体" w:hAnsi="宋体" w:cs="宋体"/>
          <w:color w:val="auto"/>
          <w:sz w:val="24"/>
          <w:szCs w:val="24"/>
        </w:rPr>
      </w:pPr>
      <w:r>
        <w:rPr>
          <w:rFonts w:hint="eastAsia" w:ascii="宋体" w:hAnsi="宋体" w:cs="宋体"/>
          <w:snapToGrid w:val="0"/>
          <w:color w:val="auto"/>
          <w:sz w:val="24"/>
          <w:szCs w:val="24"/>
        </w:rPr>
        <w:t>★</w:t>
      </w:r>
      <w:r>
        <w:rPr>
          <w:rFonts w:hint="eastAsia" w:ascii="宋体" w:hAnsi="宋体" w:cs="宋体"/>
          <w:color w:val="auto"/>
          <w:sz w:val="24"/>
          <w:szCs w:val="24"/>
        </w:rPr>
        <w:t>（2.4）最低检出限：≤0.2μmol/mol;</w:t>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（2.5）示值误差：≤±0.2%F.S.;</w:t>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（2.6）干扰成分影响：≤±0.4%F.S（2.5%H2O）；≤±0.6%F.S（1000μmol/molCO2）;</w:t>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（2.7）24h零点漂移：≤±0.1μmol/mol;</w:t>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（2.8）24h 20%量程漂移：≤0.2μmol/mol;</w:t>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（2.9）24h 80%量程漂移：≤0.5μmol/mol;</w:t>
      </w:r>
    </w:p>
    <w:p>
      <w:pPr>
        <w:spacing w:line="360" w:lineRule="auto"/>
        <w:ind w:right="317" w:rightChars="151" w:firstLine="480" w:firstLineChars="200"/>
        <w:rPr>
          <w:rFonts w:ascii="宋体" w:hAnsi="宋体" w:cs="宋体"/>
          <w:color w:val="auto"/>
          <w:sz w:val="24"/>
          <w:szCs w:val="24"/>
        </w:rPr>
      </w:pPr>
      <w:r>
        <w:rPr>
          <w:rFonts w:hint="eastAsia" w:ascii="宋体" w:hAnsi="宋体" w:cs="宋体"/>
          <w:color w:val="auto"/>
          <w:sz w:val="24"/>
          <w:szCs w:val="24"/>
        </w:rPr>
        <w:t>（2.10）长期零点漂移：≤±1.0μmol/mol</w:t>
      </w:r>
      <w:r>
        <w:rPr>
          <w:rFonts w:hint="eastAsia" w:ascii="宋体" w:hAnsi="宋体" w:cs="仿宋"/>
          <w:color w:val="auto"/>
          <w:sz w:val="24"/>
          <w:szCs w:val="24"/>
        </w:rPr>
        <w:t>（7d）</w:t>
      </w:r>
      <w:r>
        <w:rPr>
          <w:rFonts w:hint="eastAsia" w:ascii="宋体" w:hAnsi="宋体" w:cs="宋体"/>
          <w:color w:val="auto"/>
          <w:sz w:val="24"/>
          <w:szCs w:val="24"/>
        </w:rPr>
        <w:t>;</w:t>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（2.11）长期量程漂移：≤±1.5μmol/mol</w:t>
      </w:r>
      <w:r>
        <w:rPr>
          <w:rFonts w:hint="eastAsia" w:ascii="宋体" w:hAnsi="宋体" w:cs="仿宋"/>
          <w:color w:val="auto"/>
          <w:sz w:val="24"/>
          <w:szCs w:val="24"/>
        </w:rPr>
        <w:t>（7d）</w:t>
      </w:r>
      <w:r>
        <w:rPr>
          <w:rFonts w:hint="eastAsia" w:ascii="宋体" w:hAnsi="宋体" w:cs="宋体"/>
          <w:color w:val="auto"/>
          <w:sz w:val="24"/>
          <w:szCs w:val="24"/>
        </w:rPr>
        <w:t>。</w:t>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（2.12）电压稳定性：≤±0.5%F.S.;</w:t>
      </w:r>
      <w:r>
        <w:rPr>
          <w:rFonts w:hint="eastAsia" w:ascii="宋体" w:hAnsi="宋体" w:cs="宋体"/>
          <w:color w:val="auto"/>
          <w:sz w:val="24"/>
          <w:szCs w:val="24"/>
        </w:rPr>
        <w:tab/>
      </w:r>
    </w:p>
    <w:p>
      <w:pPr>
        <w:pStyle w:val="68"/>
        <w:spacing w:line="360" w:lineRule="auto"/>
        <w:ind w:right="317" w:rightChars="151" w:firstLine="480"/>
        <w:rPr>
          <w:rFonts w:ascii="宋体" w:hAnsi="宋体" w:cs="宋体"/>
          <w:color w:val="auto"/>
          <w:sz w:val="24"/>
          <w:szCs w:val="24"/>
        </w:rPr>
      </w:pPr>
      <w:r>
        <w:rPr>
          <w:rFonts w:hint="eastAsia" w:ascii="宋体" w:hAnsi="宋体" w:cs="宋体"/>
          <w:snapToGrid w:val="0"/>
          <w:color w:val="auto"/>
          <w:sz w:val="24"/>
          <w:szCs w:val="24"/>
        </w:rPr>
        <w:t>★</w:t>
      </w:r>
      <w:r>
        <w:rPr>
          <w:rFonts w:hint="eastAsia" w:ascii="宋体" w:hAnsi="宋体" w:cs="宋体"/>
          <w:color w:val="auto"/>
          <w:sz w:val="24"/>
          <w:szCs w:val="24"/>
        </w:rPr>
        <w:t>（2.13）流量稳定性：≤±2.0%;</w:t>
      </w:r>
      <w:r>
        <w:rPr>
          <w:rFonts w:hint="eastAsia" w:ascii="宋体" w:hAnsi="宋体" w:cs="宋体"/>
          <w:color w:val="auto"/>
          <w:sz w:val="24"/>
          <w:szCs w:val="24"/>
        </w:rPr>
        <w:tab/>
      </w:r>
    </w:p>
    <w:p>
      <w:pPr>
        <w:pStyle w:val="68"/>
        <w:spacing w:line="360" w:lineRule="auto"/>
        <w:ind w:right="317" w:rightChars="151" w:firstLine="480"/>
        <w:rPr>
          <w:rFonts w:ascii="宋体" w:hAnsi="宋体" w:cs="宋体"/>
          <w:color w:val="auto"/>
          <w:sz w:val="24"/>
          <w:szCs w:val="24"/>
        </w:rPr>
      </w:pPr>
      <w:r>
        <w:rPr>
          <w:rFonts w:hint="eastAsia" w:ascii="宋体" w:hAnsi="宋体" w:cs="宋体"/>
          <w:color w:val="auto"/>
          <w:sz w:val="24"/>
          <w:szCs w:val="24"/>
        </w:rPr>
        <w:t>（2.14）20%量程精密度：≤0.5μmol/mol；80%量程精密度：≤0.2μmol/mol;</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w:t>
      </w:r>
      <w:r>
        <w:rPr>
          <w:rFonts w:hint="eastAsia" w:ascii="宋体" w:hAnsi="宋体" w:cs="仿宋"/>
          <w:color w:val="auto"/>
          <w:sz w:val="24"/>
          <w:szCs w:val="24"/>
        </w:rPr>
        <w:t>2.15</w:t>
      </w:r>
      <w:r>
        <w:rPr>
          <w:rFonts w:hint="eastAsia" w:ascii="宋体" w:hAnsi="宋体" w:cs="宋体"/>
          <w:color w:val="auto"/>
          <w:sz w:val="24"/>
          <w:szCs w:val="24"/>
        </w:rPr>
        <w:t>）响应时间：小于 180 秒（从 0 上升到 90％满量程）。</w:t>
      </w:r>
    </w:p>
    <w:p>
      <w:pPr>
        <w:spacing w:line="360" w:lineRule="auto"/>
        <w:ind w:firstLine="482" w:firstLineChars="200"/>
        <w:jc w:val="left"/>
        <w:rPr>
          <w:rFonts w:ascii="宋体" w:hAnsi="宋体" w:cs="宋体"/>
          <w:color w:val="auto"/>
          <w:sz w:val="24"/>
          <w:szCs w:val="24"/>
        </w:rPr>
      </w:pPr>
      <w:r>
        <w:rPr>
          <w:rFonts w:hint="eastAsia" w:ascii="宋体" w:hAnsi="宋体" w:cs="宋体"/>
          <w:b/>
          <w:bCs/>
          <w:color w:val="auto"/>
          <w:sz w:val="24"/>
          <w:szCs w:val="24"/>
        </w:rPr>
        <w:t xml:space="preserve">（四）辅助监测设备 </w:t>
      </w:r>
    </w:p>
    <w:p>
      <w:pPr>
        <w:pStyle w:val="68"/>
        <w:spacing w:line="360" w:lineRule="auto"/>
        <w:ind w:right="317" w:rightChars="151" w:firstLine="482"/>
        <w:rPr>
          <w:rFonts w:ascii="宋体" w:hAnsi="宋体" w:cs="仿宋"/>
          <w:b/>
          <w:bCs/>
          <w:color w:val="auto"/>
          <w:sz w:val="24"/>
          <w:szCs w:val="24"/>
        </w:rPr>
      </w:pPr>
      <w:r>
        <w:rPr>
          <w:rFonts w:hint="eastAsia" w:ascii="宋体" w:hAnsi="宋体" w:cs="仿宋"/>
          <w:b/>
          <w:bCs/>
          <w:color w:val="auto"/>
          <w:sz w:val="24"/>
          <w:szCs w:val="24"/>
        </w:rPr>
        <w:t>1、动态气体校准仪</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szCs w:val="24"/>
        </w:rPr>
        <w:t>设备用途：</w:t>
      </w:r>
      <w:r>
        <w:rPr>
          <w:rFonts w:hint="eastAsia" w:ascii="宋体" w:hAnsi="宋体" w:cs="宋体"/>
          <w:color w:val="auto"/>
          <w:sz w:val="24"/>
          <w:szCs w:val="24"/>
        </w:rPr>
        <w:t>动态校准仪需和气态污染物仪器设备为同一品牌，同时具备气体稀释、气相滴定和臭氧溯源传递三种功能，能满足常规空气站气态项目的日常校准，能依据外接标准气体种类提供精确浓度的SO</w:t>
      </w:r>
      <w:r>
        <w:rPr>
          <w:rFonts w:hint="eastAsia" w:ascii="宋体" w:hAnsi="宋体" w:cs="宋体"/>
          <w:color w:val="auto"/>
          <w:sz w:val="24"/>
          <w:szCs w:val="24"/>
          <w:vertAlign w:val="subscript"/>
        </w:rPr>
        <w:t>2</w:t>
      </w:r>
      <w:r>
        <w:rPr>
          <w:rFonts w:hint="eastAsia" w:ascii="宋体" w:hAnsi="宋体" w:cs="宋体"/>
          <w:color w:val="auto"/>
          <w:sz w:val="24"/>
          <w:szCs w:val="24"/>
        </w:rPr>
        <w:t>、CO、NO等标准气体输出，具有臭氧发生器和高精度光度计，能够产生和精确检测O</w:t>
      </w:r>
      <w:r>
        <w:rPr>
          <w:rFonts w:hint="eastAsia" w:ascii="宋体" w:hAnsi="宋体" w:cs="宋体"/>
          <w:color w:val="auto"/>
          <w:sz w:val="24"/>
          <w:szCs w:val="24"/>
          <w:vertAlign w:val="subscript"/>
        </w:rPr>
        <w:t>3</w:t>
      </w:r>
      <w:r>
        <w:rPr>
          <w:rFonts w:hint="eastAsia" w:ascii="宋体" w:hAnsi="宋体" w:cs="宋体"/>
          <w:color w:val="auto"/>
          <w:sz w:val="24"/>
          <w:szCs w:val="24"/>
        </w:rPr>
        <w:t>浓度，完成大气自动监测分析仪器的零点、跨度、精密度及多点校准工作。</w:t>
      </w:r>
    </w:p>
    <w:p>
      <w:pPr>
        <w:spacing w:line="360" w:lineRule="auto"/>
        <w:ind w:firstLine="480" w:firstLineChars="200"/>
        <w:jc w:val="left"/>
        <w:rPr>
          <w:rFonts w:ascii="宋体" w:hAnsi="宋体" w:cs="宋体"/>
          <w:color w:val="auto"/>
          <w:sz w:val="24"/>
          <w:szCs w:val="24"/>
        </w:rPr>
      </w:pPr>
      <w:r>
        <w:rPr>
          <w:rFonts w:hint="eastAsia" w:ascii="宋体" w:hAnsi="宋体" w:cs="宋体"/>
          <w:snapToGrid w:val="0"/>
          <w:color w:val="auto"/>
          <w:sz w:val="24"/>
          <w:szCs w:val="24"/>
        </w:rPr>
        <w:t>★</w:t>
      </w:r>
      <w:r>
        <w:rPr>
          <w:rFonts w:hint="eastAsia" w:ascii="宋体" w:hAnsi="宋体" w:cs="宋体"/>
          <w:color w:val="auto"/>
          <w:sz w:val="24"/>
          <w:szCs w:val="24"/>
        </w:rPr>
        <w:t xml:space="preserve">（2） 配有内置臭氧发生器和臭氧光度计，臭氧光度计的技术指标需满足臭氧监测仪相关技术指标要求； </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（3）流量测量准确度：±1% 满量程； </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（4）流量测量重现性：±1% 满量程； </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（5）流量线性误差：±1%； </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（6）标气流量范围：0-100SCCM(标准)； </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（7）零气流量计量程：0-10SLPM(标准)； </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（8）标准气输入口3个或以上，稀释气输出口1个。</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（9）臭氧发生浓度误差：≤±2%； </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（10）臭氧发生器输出响应时间：小于180s（从0上升到90％满量程）;</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（11）紫外光度计：100ppb 至 5ppm; </w:t>
      </w:r>
    </w:p>
    <w:p>
      <w:pPr>
        <w:pStyle w:val="73"/>
      </w:pPr>
      <w:r>
        <w:rPr>
          <w:rFonts w:hint="eastAsia" w:cs="宋体"/>
        </w:rPr>
        <w:t>（12）</w:t>
      </w:r>
      <w:r>
        <w:rPr>
          <w:rFonts w:hint="eastAsia" w:cs="宋体"/>
          <w:bCs/>
        </w:rPr>
        <w:t>标准附件：</w:t>
      </w:r>
      <w:r>
        <w:rPr>
          <w:rFonts w:hint="eastAsia" w:cs="宋体"/>
        </w:rPr>
        <w:t>配置碳氢去除器（高温催化转化器）；配置分子筛罐（含氧化剂）、活性碳罐（含活性碳）；配置拉手、安装导轨、仪器防震垫脚。</w:t>
      </w:r>
    </w:p>
    <w:p>
      <w:pPr>
        <w:pStyle w:val="68"/>
        <w:spacing w:line="360" w:lineRule="auto"/>
        <w:ind w:right="317" w:rightChars="151" w:firstLine="482"/>
        <w:rPr>
          <w:rFonts w:ascii="宋体" w:hAnsi="宋体" w:cs="仿宋"/>
          <w:b/>
          <w:bCs/>
          <w:color w:val="auto"/>
          <w:sz w:val="24"/>
          <w:szCs w:val="24"/>
        </w:rPr>
      </w:pPr>
      <w:r>
        <w:rPr>
          <w:rFonts w:hint="eastAsia" w:ascii="宋体" w:hAnsi="宋体" w:cs="仿宋"/>
          <w:b/>
          <w:bCs/>
          <w:color w:val="auto"/>
          <w:sz w:val="24"/>
          <w:szCs w:val="24"/>
        </w:rPr>
        <w:t>2.零气发生器</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(1) </w:t>
      </w:r>
      <w:r>
        <w:rPr>
          <w:rFonts w:hint="eastAsia" w:ascii="宋体" w:hAnsi="宋体" w:cs="宋体"/>
          <w:bCs/>
          <w:color w:val="auto"/>
          <w:sz w:val="24"/>
          <w:szCs w:val="24"/>
        </w:rPr>
        <w:t>基本配置：</w:t>
      </w:r>
      <w:r>
        <w:rPr>
          <w:rFonts w:hint="eastAsia" w:ascii="宋体" w:hAnsi="宋体" w:cs="宋体"/>
          <w:color w:val="auto"/>
          <w:sz w:val="24"/>
          <w:szCs w:val="24"/>
        </w:rPr>
        <w:t>配置碳氢去除器（高温催化转化器）；配置分子筛罐（含氧化剂）、活性碳罐（含活性碳）；配置拉手、安装导轨、仪器防震垫脚;</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 输出流量：≥10L/min;</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 输出压力：10-30PSI;</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 含去除 HC 和 CO 装置;</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(5) 零气纯度：NO、NO</w:t>
      </w:r>
      <w:r>
        <w:rPr>
          <w:rFonts w:hint="eastAsia" w:ascii="宋体" w:hAnsi="宋体" w:cs="宋体"/>
          <w:color w:val="auto"/>
          <w:sz w:val="24"/>
          <w:szCs w:val="24"/>
          <w:vertAlign w:val="subscript"/>
        </w:rPr>
        <w:t>2</w:t>
      </w:r>
      <w:r>
        <w:rPr>
          <w:rFonts w:hint="eastAsia" w:ascii="宋体" w:hAnsi="宋体" w:cs="宋体"/>
          <w:color w:val="auto"/>
          <w:sz w:val="24"/>
          <w:szCs w:val="24"/>
        </w:rPr>
        <w:t>、SO</w:t>
      </w:r>
      <w:r>
        <w:rPr>
          <w:rFonts w:hint="eastAsia" w:ascii="宋体" w:hAnsi="宋体" w:cs="宋体"/>
          <w:color w:val="auto"/>
          <w:sz w:val="24"/>
          <w:szCs w:val="24"/>
          <w:vertAlign w:val="subscript"/>
        </w:rPr>
        <w:t>2</w:t>
      </w:r>
      <w:r>
        <w:rPr>
          <w:rFonts w:hint="eastAsia" w:ascii="宋体" w:hAnsi="宋体" w:cs="宋体"/>
          <w:color w:val="auto"/>
          <w:sz w:val="24"/>
          <w:szCs w:val="24"/>
        </w:rPr>
        <w:t>、O</w:t>
      </w:r>
      <w:r>
        <w:rPr>
          <w:rFonts w:hint="eastAsia" w:ascii="宋体" w:hAnsi="宋体" w:cs="宋体"/>
          <w:color w:val="auto"/>
          <w:sz w:val="24"/>
          <w:szCs w:val="24"/>
          <w:vertAlign w:val="subscript"/>
        </w:rPr>
        <w:t>3</w:t>
      </w:r>
      <w:r>
        <w:rPr>
          <w:rFonts w:hint="eastAsia" w:ascii="宋体" w:hAnsi="宋体" w:cs="宋体"/>
          <w:color w:val="auto"/>
          <w:sz w:val="24"/>
          <w:szCs w:val="24"/>
        </w:rPr>
        <w:t>＜0.5ppb，CO、HC≤0.03ppm;</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(6) 电源电压：220 VAC±10%/50Hz;</w:t>
      </w:r>
    </w:p>
    <w:p>
      <w:pPr>
        <w:pStyle w:val="73"/>
      </w:pPr>
      <w:r>
        <w:rPr>
          <w:rFonts w:hint="eastAsia" w:cs="宋体"/>
        </w:rPr>
        <w:t>(7) 空气压缩机：外置无油空气压缩机，低噪音；结露点≤0℃；储气罐≥10L，气流稳定，避免空压机的频繁启动。</w:t>
      </w:r>
    </w:p>
    <w:p>
      <w:pPr>
        <w:pStyle w:val="68"/>
        <w:spacing w:line="360" w:lineRule="auto"/>
        <w:ind w:right="317" w:rightChars="151" w:firstLine="482"/>
        <w:rPr>
          <w:rFonts w:ascii="宋体" w:hAnsi="宋体" w:cs="仿宋"/>
          <w:b/>
          <w:bCs/>
          <w:color w:val="auto"/>
          <w:sz w:val="24"/>
          <w:szCs w:val="24"/>
        </w:rPr>
      </w:pPr>
      <w:r>
        <w:rPr>
          <w:rFonts w:hint="eastAsia" w:ascii="宋体" w:hAnsi="宋体" w:cs="仿宋"/>
          <w:b/>
          <w:bCs/>
          <w:color w:val="auto"/>
          <w:sz w:val="24"/>
          <w:szCs w:val="24"/>
        </w:rPr>
        <w:t>3.臭氧校准仪</w:t>
      </w:r>
    </w:p>
    <w:p>
      <w:pPr>
        <w:pStyle w:val="75"/>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（1）测量方式：紫外光度法，双光池检测技术，同时检测样气和参比气。</w:t>
      </w:r>
    </w:p>
    <w:p>
      <w:pPr>
        <w:pStyle w:val="75"/>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（2）零点噪声：≤0.25ppb;</w:t>
      </w:r>
    </w:p>
    <w:p>
      <w:pPr>
        <w:pStyle w:val="75"/>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（3）最低检出限：≤0.5 ppb；</w:t>
      </w:r>
    </w:p>
    <w:p>
      <w:pPr>
        <w:pStyle w:val="75"/>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（4）响应时间：≤20秒；</w:t>
      </w:r>
    </w:p>
    <w:p>
      <w:pPr>
        <w:pStyle w:val="75"/>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（5）线性：≤±1%满量程；</w:t>
      </w:r>
    </w:p>
    <w:p>
      <w:pPr>
        <w:pStyle w:val="75"/>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（6）精度：≤1.0ppb；</w:t>
      </w:r>
    </w:p>
    <w:p>
      <w:pPr>
        <w:pStyle w:val="75"/>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（7）采样流量：1～3升/分钟；</w:t>
      </w:r>
    </w:p>
    <w:p>
      <w:pPr>
        <w:pStyle w:val="75"/>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（8）臭氧发生器输出：0.025-5.000ppm；</w:t>
      </w:r>
    </w:p>
    <w:p>
      <w:pPr>
        <w:pStyle w:val="75"/>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（9）臭氧发生器稳定度：≤±4ppb。</w:t>
      </w:r>
    </w:p>
    <w:p>
      <w:pPr>
        <w:pStyle w:val="74"/>
        <w:spacing w:before="134" w:line="360" w:lineRule="auto"/>
        <w:ind w:right="122" w:firstLine="241" w:firstLineChars="100"/>
        <w:rPr>
          <w:rFonts w:cs="仿宋"/>
          <w:b/>
          <w:bCs/>
          <w:lang w:val="en-US" w:bidi="ar-SA"/>
        </w:rPr>
      </w:pPr>
      <w:r>
        <w:rPr>
          <w:rFonts w:hint="eastAsia" w:cs="仿宋"/>
          <w:b/>
          <w:bCs/>
          <w:lang w:val="en-US" w:bidi="ar-SA"/>
        </w:rPr>
        <w:t>4.环境监控与质控联动设备</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功能要求：支持采集站房环境监控常规的站房运行监测设备数据，包括站房温湿度、总管温湿度、采样总管静压、站房电压、站房电流等。 </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支持接受远程下达的分析仪器质控任务并启动控制阀门的开关，为分析仪器质控任务计划做提前预热准备，并能解决质控气回流、气路死区、压力异常等影响采样、质控精度的问题；环境监控与质控联动设备须配套相关质控监管平台，在到达启动时间时自动执行质控任务，质控结束后生成详细的质控报表，并上传至环境监控与质控联动设备配套平台。 </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乡镇站仪器状态数据、站房环境数据、质控数据等应能够按照中国环境监测总站《地方乡镇空气站数据联网工作实施方案》（简 称《实施方案》）中“（四）数据要求”的相关内容要求执行，并能按《实施方案》中的数据文件传输要求传输至国家和省中心相关平台。</w:t>
      </w:r>
    </w:p>
    <w:p>
      <w:pPr>
        <w:spacing w:line="360" w:lineRule="auto"/>
        <w:ind w:firstLine="482" w:firstLineChars="200"/>
        <w:jc w:val="left"/>
        <w:rPr>
          <w:rFonts w:ascii="宋体" w:hAnsi="宋体" w:cs="宋体"/>
          <w:color w:val="auto"/>
          <w:sz w:val="24"/>
          <w:szCs w:val="24"/>
        </w:rPr>
      </w:pPr>
      <w:r>
        <w:rPr>
          <w:rFonts w:hint="eastAsia" w:ascii="宋体" w:hAnsi="宋体" w:cs="宋体"/>
          <w:b/>
          <w:bCs/>
          <w:color w:val="auto"/>
          <w:sz w:val="24"/>
          <w:szCs w:val="24"/>
        </w:rPr>
        <w:t xml:space="preserve">5.气象五参数 </w:t>
      </w:r>
    </w:p>
    <w:p>
      <w:pPr>
        <w:spacing w:line="360" w:lineRule="auto"/>
        <w:ind w:firstLine="480" w:firstLineChars="200"/>
        <w:jc w:val="left"/>
        <w:rPr>
          <w:rFonts w:ascii="宋体" w:hAnsi="宋体" w:cs="宋体"/>
          <w:b/>
          <w:bCs/>
          <w:color w:val="auto"/>
          <w:sz w:val="24"/>
          <w:szCs w:val="24"/>
        </w:rPr>
      </w:pPr>
      <w:r>
        <w:rPr>
          <w:rFonts w:hint="eastAsia" w:ascii="宋体" w:hAnsi="宋体" w:cs="宋体"/>
          <w:color w:val="auto"/>
          <w:sz w:val="24"/>
          <w:szCs w:val="24"/>
        </w:rPr>
        <w:t>可测量指标：风速、风向、温度、湿度、大气压力</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（1） 风速：测量原理：超声波；测量范围：0～60 米/秒；精度：±3%（0～ 35 米/秒）；±5%（36～60 米/秒）；分辨率：0.1 米/秒； </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（2） 风向：测量原理：超声波；测量范围：0～360°全方位、无盲区； </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精度：±3°；分辨率：1°； </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（3） 大气压力：测量范围：600～1100 hPa；精度：±0.1 hPa（0～40℃）；分辨率：0.1hpa； </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（4） 大气温度：测量范围：-50～+50℃；精度：±0.3℃；分辨率：0.1℃； </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（5） 相对湿度：测量范围：0～100%RH；精度：±3%RH（0～90 %RH）； ±5 %RH（90～100 %RH）；分辨率：1%。</w:t>
      </w:r>
    </w:p>
    <w:p>
      <w:pPr>
        <w:spacing w:line="360" w:lineRule="auto"/>
        <w:ind w:firstLine="482" w:firstLineChars="200"/>
        <w:jc w:val="left"/>
        <w:rPr>
          <w:rFonts w:ascii="宋体" w:hAnsi="宋体" w:cs="宋体"/>
          <w:color w:val="auto"/>
          <w:sz w:val="24"/>
          <w:szCs w:val="24"/>
        </w:rPr>
      </w:pPr>
      <w:r>
        <w:rPr>
          <w:rFonts w:hint="eastAsia" w:ascii="宋体" w:hAnsi="宋体" w:cs="宋体"/>
          <w:b/>
          <w:bCs/>
          <w:color w:val="auto"/>
          <w:sz w:val="24"/>
          <w:szCs w:val="24"/>
        </w:rPr>
        <w:t xml:space="preserve">6.辅助设施（配套采样系统等） </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（1）本次采购的 SO</w:t>
      </w:r>
      <w:r>
        <w:rPr>
          <w:rFonts w:hint="eastAsia" w:ascii="宋体" w:hAnsi="宋体" w:cs="宋体"/>
          <w:color w:val="auto"/>
          <w:sz w:val="24"/>
          <w:szCs w:val="24"/>
          <w:vertAlign w:val="subscript"/>
        </w:rPr>
        <w:t>2</w:t>
      </w:r>
      <w:r>
        <w:rPr>
          <w:rFonts w:hint="eastAsia" w:ascii="宋体" w:hAnsi="宋体" w:cs="宋体"/>
          <w:color w:val="auto"/>
          <w:sz w:val="24"/>
          <w:szCs w:val="24"/>
        </w:rPr>
        <w:t>、NO</w:t>
      </w:r>
      <w:r>
        <w:rPr>
          <w:rFonts w:hint="eastAsia" w:ascii="宋体" w:hAnsi="宋体" w:cs="宋体"/>
          <w:color w:val="auto"/>
          <w:sz w:val="24"/>
          <w:szCs w:val="24"/>
          <w:vertAlign w:val="subscript"/>
        </w:rPr>
        <w:t>2</w:t>
      </w:r>
      <w:r>
        <w:rPr>
          <w:rFonts w:hint="eastAsia" w:ascii="宋体" w:hAnsi="宋体" w:cs="宋体"/>
          <w:color w:val="auto"/>
          <w:sz w:val="24"/>
          <w:szCs w:val="24"/>
        </w:rPr>
        <w:t>、CO、O</w:t>
      </w:r>
      <w:r>
        <w:rPr>
          <w:rFonts w:hint="eastAsia" w:ascii="宋体" w:hAnsi="宋体" w:cs="宋体"/>
          <w:color w:val="auto"/>
          <w:sz w:val="24"/>
          <w:szCs w:val="24"/>
          <w:vertAlign w:val="subscript"/>
        </w:rPr>
        <w:t>3</w:t>
      </w:r>
      <w:r>
        <w:rPr>
          <w:rFonts w:hint="eastAsia" w:ascii="宋体" w:hAnsi="宋体" w:cs="宋体"/>
          <w:color w:val="auto"/>
          <w:sz w:val="24"/>
          <w:szCs w:val="24"/>
        </w:rPr>
        <w:t>分析仪等仪器及配套设备所必须配备的采样系统、钢瓶器及减压阀等辅助设施，标气为一级标气，减压阀材质为316L不锈钢；</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（2）采样头应能防止雨水、粗大颗粒物及昆虫等进入总管； </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（3）采样总管为多支路防水采样管路，制作材料选用不与被监测污染物发 生化学反应和不释放有干扰物质的材料； </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（4）采样总管内径选择在 1.5-15cm 之间； </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（5）采样总管应具有加热功能，加热温度一般控制在（30-50）℃； </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（6） 采样管长度应满足各子站采样高度设置要求（高于站房房顶 1.2 米），保证采样不受周边障碍物影响； </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（7）机架和设备均需具备防雷措施。 </w:t>
      </w:r>
    </w:p>
    <w:p>
      <w:pPr>
        <w:spacing w:line="360" w:lineRule="auto"/>
        <w:ind w:firstLine="482" w:firstLineChars="200"/>
        <w:jc w:val="left"/>
        <w:rPr>
          <w:rFonts w:ascii="宋体" w:hAnsi="宋体" w:cs="宋体"/>
          <w:color w:val="auto"/>
          <w:sz w:val="24"/>
          <w:szCs w:val="24"/>
        </w:rPr>
      </w:pPr>
      <w:r>
        <w:rPr>
          <w:rFonts w:hint="eastAsia" w:ascii="宋体" w:hAnsi="宋体" w:cs="宋体"/>
          <w:b/>
          <w:bCs/>
          <w:color w:val="auto"/>
          <w:sz w:val="24"/>
          <w:szCs w:val="24"/>
        </w:rPr>
        <w:t xml:space="preserve">7.稳压电源 </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（1）负载≥12KW，能够确保仪器设备长期稳定运行； </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（2）可接地，三相四线制。 </w:t>
      </w:r>
    </w:p>
    <w:p>
      <w:pPr>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rPr>
        <w:t>8.UPS</w:t>
      </w:r>
    </w:p>
    <w:p>
      <w:pPr>
        <w:numPr>
          <w:ilvl w:val="0"/>
          <w:numId w:val="2"/>
        </w:numPr>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UPS主机为单进单出双变换纯在线式，功率≥10kVA；</w:t>
      </w:r>
    </w:p>
    <w:p>
      <w:pPr>
        <w:numPr>
          <w:ilvl w:val="0"/>
          <w:numId w:val="2"/>
        </w:numPr>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输入电压范围：120～275Vac；</w:t>
      </w:r>
    </w:p>
    <w:p>
      <w:pPr>
        <w:numPr>
          <w:ilvl w:val="0"/>
          <w:numId w:val="2"/>
        </w:numPr>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输入功率因数：≥0.98；</w:t>
      </w:r>
    </w:p>
    <w:p>
      <w:pPr>
        <w:numPr>
          <w:ilvl w:val="0"/>
          <w:numId w:val="2"/>
        </w:numPr>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输出电压精度：220VAC；</w:t>
      </w:r>
    </w:p>
    <w:p>
      <w:pPr>
        <w:numPr>
          <w:ilvl w:val="0"/>
          <w:numId w:val="2"/>
        </w:numPr>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输出功率因数：≥0.9；</w:t>
      </w:r>
    </w:p>
    <w:p>
      <w:pPr>
        <w:numPr>
          <w:ilvl w:val="0"/>
          <w:numId w:val="2"/>
        </w:numPr>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过载能力：125%维持≥10分钟；</w:t>
      </w:r>
    </w:p>
    <w:p>
      <w:pPr>
        <w:numPr>
          <w:ilvl w:val="0"/>
          <w:numId w:val="2"/>
        </w:numPr>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整机UPS效率：＞90%；</w:t>
      </w:r>
    </w:p>
    <w:p>
      <w:pPr>
        <w:numPr>
          <w:ilvl w:val="0"/>
          <w:numId w:val="2"/>
        </w:numPr>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输出谐波失真度：＜1%（线性负载），＜3%（非线性负载）</w:t>
      </w:r>
    </w:p>
    <w:p>
      <w:pPr>
        <w:numPr>
          <w:ilvl w:val="0"/>
          <w:numId w:val="2"/>
        </w:numPr>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铅酸蓄电池：数量16只；</w:t>
      </w:r>
    </w:p>
    <w:p>
      <w:pPr>
        <w:numPr>
          <w:ilvl w:val="0"/>
          <w:numId w:val="2"/>
        </w:numPr>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额定电压:12V；</w:t>
      </w:r>
    </w:p>
    <w:p>
      <w:pPr>
        <w:numPr>
          <w:ilvl w:val="0"/>
          <w:numId w:val="2"/>
        </w:numPr>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额定容量：100Ah；</w:t>
      </w:r>
    </w:p>
    <w:p>
      <w:pPr>
        <w:numPr>
          <w:ilvl w:val="0"/>
          <w:numId w:val="2"/>
        </w:numPr>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设计寿命：≥6年；</w:t>
      </w:r>
    </w:p>
    <w:p>
      <w:pPr>
        <w:numPr>
          <w:ilvl w:val="0"/>
          <w:numId w:val="2"/>
        </w:numPr>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吸附式玻璃纤维隔板技术，气体复合效率达到99%，无需加水维护；</w:t>
      </w:r>
    </w:p>
    <w:p>
      <w:pPr>
        <w:numPr>
          <w:ilvl w:val="0"/>
          <w:numId w:val="2"/>
        </w:numPr>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专业阀控密封式设计，有效确保电池不漏（渗）液、无酸雾、不腐蚀；</w:t>
      </w:r>
    </w:p>
    <w:p>
      <w:pPr>
        <w:numPr>
          <w:ilvl w:val="0"/>
          <w:numId w:val="2"/>
        </w:numPr>
        <w:spacing w:line="360" w:lineRule="auto"/>
        <w:ind w:firstLine="480" w:firstLineChars="200"/>
        <w:jc w:val="left"/>
        <w:textAlignment w:val="auto"/>
        <w:rPr>
          <w:rFonts w:ascii="宋体" w:hAnsi="宋体"/>
          <w:color w:val="auto"/>
          <w:sz w:val="24"/>
          <w:szCs w:val="24"/>
        </w:rPr>
      </w:pPr>
      <w:r>
        <w:rPr>
          <w:rFonts w:hint="eastAsia" w:ascii="宋体" w:hAnsi="宋体"/>
          <w:color w:val="auto"/>
          <w:sz w:val="24"/>
          <w:szCs w:val="24"/>
        </w:rPr>
        <w:t>保障六因子监测设备至少正常运行4小时。</w:t>
      </w:r>
    </w:p>
    <w:p>
      <w:pPr>
        <w:spacing w:line="360" w:lineRule="auto"/>
        <w:ind w:firstLine="482" w:firstLineChars="200"/>
        <w:jc w:val="left"/>
        <w:rPr>
          <w:rFonts w:ascii="宋体" w:hAnsi="宋体" w:cs="宋体"/>
          <w:color w:val="auto"/>
          <w:sz w:val="24"/>
          <w:szCs w:val="24"/>
        </w:rPr>
      </w:pPr>
      <w:r>
        <w:rPr>
          <w:rFonts w:hint="eastAsia" w:ascii="宋体" w:hAnsi="宋体" w:cs="宋体"/>
          <w:b/>
          <w:bCs/>
          <w:color w:val="auto"/>
          <w:sz w:val="24"/>
          <w:szCs w:val="24"/>
        </w:rPr>
        <w:t xml:space="preserve">9.温湿度控制设备 </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2匹及以上可断电自启的品牌冷暖空调（每站挂机、柜机式空调各1台）；</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除湿量不小于45L/天的除湿机（每站1台）；</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壁挂式温湿度计：分辨率：0.1℃（温度）/0.1%RH（湿度）；传感器：一体式温湿度传感器；通讯接口USB/RS232/RS485/（10M/100M自适应），每站1台。</w:t>
      </w:r>
    </w:p>
    <w:p>
      <w:pPr>
        <w:spacing w:line="360" w:lineRule="auto"/>
        <w:ind w:firstLine="482" w:firstLineChars="200"/>
        <w:jc w:val="left"/>
        <w:rPr>
          <w:rFonts w:ascii="宋体" w:hAnsi="宋体" w:cs="宋体"/>
          <w:b/>
          <w:color w:val="auto"/>
          <w:sz w:val="24"/>
          <w:szCs w:val="24"/>
        </w:rPr>
      </w:pPr>
      <w:r>
        <w:rPr>
          <w:rFonts w:hint="eastAsia" w:ascii="宋体" w:hAnsi="宋体" w:cs="宋体"/>
          <w:b/>
          <w:color w:val="auto"/>
          <w:sz w:val="24"/>
          <w:szCs w:val="24"/>
        </w:rPr>
        <w:t>10.灭火器</w:t>
      </w:r>
    </w:p>
    <w:p>
      <w:pPr>
        <w:pStyle w:val="73"/>
      </w:pPr>
      <w:r>
        <w:rPr>
          <w:rFonts w:hint="eastAsia"/>
        </w:rPr>
        <w:t>悬挂式干粉自动灭火器。</w:t>
      </w:r>
    </w:p>
    <w:p>
      <w:pPr>
        <w:pStyle w:val="73"/>
        <w:rPr>
          <w:rFonts w:cs="宋体"/>
        </w:rPr>
      </w:pPr>
      <w:r>
        <w:rPr>
          <w:rFonts w:hint="eastAsia" w:cs="宋体"/>
        </w:rPr>
        <w:t>（1）灭火剂重量：10Kg；</w:t>
      </w:r>
    </w:p>
    <w:p>
      <w:pPr>
        <w:spacing w:line="360" w:lineRule="auto"/>
        <w:jc w:val="left"/>
        <w:rPr>
          <w:rFonts w:ascii="宋体" w:hAnsi="宋体" w:cs="宋体"/>
          <w:color w:val="auto"/>
          <w:sz w:val="24"/>
          <w:szCs w:val="24"/>
        </w:rPr>
      </w:pPr>
      <w:r>
        <w:rPr>
          <w:rFonts w:hint="eastAsia" w:ascii="宋体" w:hAnsi="宋体" w:cs="宋体"/>
          <w:color w:val="auto"/>
          <w:sz w:val="24"/>
          <w:szCs w:val="24"/>
        </w:rPr>
        <w:t xml:space="preserve">    （2）灭火等级：1A 34B；</w:t>
      </w:r>
    </w:p>
    <w:p>
      <w:pPr>
        <w:spacing w:line="360" w:lineRule="auto"/>
        <w:jc w:val="left"/>
        <w:rPr>
          <w:rFonts w:ascii="宋体" w:hAnsi="宋体" w:cs="宋体"/>
          <w:color w:val="auto"/>
          <w:sz w:val="24"/>
          <w:szCs w:val="24"/>
        </w:rPr>
      </w:pPr>
      <w:r>
        <w:rPr>
          <w:rFonts w:hint="eastAsia" w:ascii="宋体" w:hAnsi="宋体" w:cs="宋体"/>
          <w:color w:val="auto"/>
          <w:sz w:val="24"/>
          <w:szCs w:val="24"/>
        </w:rPr>
        <w:t xml:space="preserve">    （3）驱动气体：1.2MPaN2；</w:t>
      </w:r>
    </w:p>
    <w:p>
      <w:pPr>
        <w:spacing w:line="360" w:lineRule="auto"/>
        <w:jc w:val="left"/>
        <w:rPr>
          <w:rFonts w:ascii="宋体" w:hAnsi="宋体" w:cs="宋体"/>
          <w:color w:val="auto"/>
          <w:sz w:val="24"/>
          <w:szCs w:val="24"/>
        </w:rPr>
      </w:pPr>
      <w:r>
        <w:rPr>
          <w:rFonts w:hint="eastAsia" w:ascii="宋体" w:hAnsi="宋体" w:cs="宋体"/>
          <w:color w:val="auto"/>
          <w:sz w:val="24"/>
          <w:szCs w:val="24"/>
        </w:rPr>
        <w:t xml:space="preserve">    （4）使用温度 -10℃~+50℃。</w:t>
      </w:r>
    </w:p>
    <w:p>
      <w:pPr>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rPr>
        <w:t>11.监控设施</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站房内、外部要安装必要的监控设施达到以下功能要求：内部至少有2台监控探头摄像头，其中一台可以覆盖监测仪器，另一台在进入站房门口上方位置，并具备人脸识别功能；采样区域应有2台对射的摄像头，并可覆盖整个采样区域。视频监控所有摄像头应传输正常，与市平台视频监控平台联网。视频监控系统硬盘录像机应至少能够储存一个月视频资料，并具有回放及区域入侵报警功能。</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设备清单：</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2760"/>
        <w:gridCol w:w="1215"/>
        <w:gridCol w:w="1095"/>
        <w:gridCol w:w="2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noWrap/>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序号</w:t>
            </w:r>
          </w:p>
        </w:tc>
        <w:tc>
          <w:tcPr>
            <w:tcW w:w="2760" w:type="dxa"/>
            <w:noWrap/>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名称</w:t>
            </w:r>
          </w:p>
        </w:tc>
        <w:tc>
          <w:tcPr>
            <w:tcW w:w="1215" w:type="dxa"/>
            <w:noWrap/>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单位</w:t>
            </w:r>
          </w:p>
        </w:tc>
        <w:tc>
          <w:tcPr>
            <w:tcW w:w="1095" w:type="dxa"/>
            <w:noWrap/>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数量</w:t>
            </w:r>
          </w:p>
        </w:tc>
        <w:tc>
          <w:tcPr>
            <w:tcW w:w="2486" w:type="dxa"/>
            <w:noWrap/>
          </w:tcPr>
          <w:p>
            <w:pPr>
              <w:spacing w:line="360" w:lineRule="auto"/>
              <w:rPr>
                <w:rFonts w:ascii="宋体" w:hAnsi="宋体" w:cs="宋体"/>
                <w:color w:val="auto"/>
                <w:sz w:val="24"/>
                <w:szCs w:val="24"/>
              </w:rPr>
            </w:pPr>
            <w:r>
              <w:rPr>
                <w:rFonts w:hint="eastAsia" w:ascii="宋体" w:hAnsi="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66" w:type="dxa"/>
            <w:noWrap/>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1</w:t>
            </w:r>
          </w:p>
        </w:tc>
        <w:tc>
          <w:tcPr>
            <w:tcW w:w="2760" w:type="dxa"/>
            <w:noWrap/>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人脸识别摄像机</w:t>
            </w:r>
          </w:p>
        </w:tc>
        <w:tc>
          <w:tcPr>
            <w:tcW w:w="1215" w:type="dxa"/>
            <w:noWrap/>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台/站</w:t>
            </w:r>
          </w:p>
        </w:tc>
        <w:tc>
          <w:tcPr>
            <w:tcW w:w="1095" w:type="dxa"/>
            <w:noWrap/>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1</w:t>
            </w:r>
          </w:p>
        </w:tc>
        <w:tc>
          <w:tcPr>
            <w:tcW w:w="2486" w:type="dxa"/>
            <w:noWrap/>
          </w:tcPr>
          <w:p>
            <w:pPr>
              <w:spacing w:line="360" w:lineRule="auto"/>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noWrap/>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2</w:t>
            </w:r>
          </w:p>
        </w:tc>
        <w:tc>
          <w:tcPr>
            <w:tcW w:w="2760" w:type="dxa"/>
            <w:noWrap/>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区域入侵摄像机</w:t>
            </w:r>
          </w:p>
        </w:tc>
        <w:tc>
          <w:tcPr>
            <w:tcW w:w="1215" w:type="dxa"/>
            <w:noWrap/>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台/站</w:t>
            </w:r>
          </w:p>
        </w:tc>
        <w:tc>
          <w:tcPr>
            <w:tcW w:w="1095" w:type="dxa"/>
            <w:noWrap/>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1</w:t>
            </w:r>
          </w:p>
        </w:tc>
        <w:tc>
          <w:tcPr>
            <w:tcW w:w="2486" w:type="dxa"/>
            <w:noWrap/>
          </w:tcPr>
          <w:p>
            <w:pPr>
              <w:spacing w:line="360" w:lineRule="auto"/>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noWrap/>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3</w:t>
            </w:r>
          </w:p>
        </w:tc>
        <w:tc>
          <w:tcPr>
            <w:tcW w:w="2760" w:type="dxa"/>
            <w:noWrap/>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采样区域对射的摄像头</w:t>
            </w:r>
          </w:p>
        </w:tc>
        <w:tc>
          <w:tcPr>
            <w:tcW w:w="1215" w:type="dxa"/>
            <w:noWrap/>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台/站</w:t>
            </w:r>
          </w:p>
        </w:tc>
        <w:tc>
          <w:tcPr>
            <w:tcW w:w="1095" w:type="dxa"/>
            <w:noWrap/>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2</w:t>
            </w:r>
          </w:p>
        </w:tc>
        <w:tc>
          <w:tcPr>
            <w:tcW w:w="2486" w:type="dxa"/>
            <w:noWrap/>
          </w:tcPr>
          <w:p>
            <w:pPr>
              <w:spacing w:line="360" w:lineRule="auto"/>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noWrap/>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4</w:t>
            </w:r>
          </w:p>
        </w:tc>
        <w:tc>
          <w:tcPr>
            <w:tcW w:w="2760" w:type="dxa"/>
            <w:noWrap/>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硬盘刻录机（存储硬盘）</w:t>
            </w:r>
          </w:p>
        </w:tc>
        <w:tc>
          <w:tcPr>
            <w:tcW w:w="1215" w:type="dxa"/>
            <w:noWrap/>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个/站</w:t>
            </w:r>
          </w:p>
        </w:tc>
        <w:tc>
          <w:tcPr>
            <w:tcW w:w="1095" w:type="dxa"/>
            <w:noWrap/>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1</w:t>
            </w:r>
          </w:p>
        </w:tc>
        <w:tc>
          <w:tcPr>
            <w:tcW w:w="2486" w:type="dxa"/>
            <w:noWrap/>
          </w:tcPr>
          <w:p>
            <w:pPr>
              <w:spacing w:line="360" w:lineRule="auto"/>
              <w:rPr>
                <w:rFonts w:ascii="宋体" w:hAnsi="宋体" w:cs="宋体"/>
                <w:color w:val="auto"/>
                <w:sz w:val="24"/>
                <w:szCs w:val="24"/>
              </w:rPr>
            </w:pPr>
            <w:r>
              <w:rPr>
                <w:rFonts w:hint="eastAsia" w:ascii="宋体" w:hAnsi="宋体" w:cs="宋体"/>
                <w:color w:val="auto"/>
                <w:sz w:val="24"/>
                <w:szCs w:val="24"/>
              </w:rPr>
              <w:t>8T及以上（至少保证存储1个月视频资料）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noWrap/>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5</w:t>
            </w:r>
          </w:p>
        </w:tc>
        <w:tc>
          <w:tcPr>
            <w:tcW w:w="2760" w:type="dxa"/>
            <w:noWrap/>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视频传输专用交换机</w:t>
            </w:r>
          </w:p>
        </w:tc>
        <w:tc>
          <w:tcPr>
            <w:tcW w:w="1215" w:type="dxa"/>
            <w:noWrap/>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个/站</w:t>
            </w:r>
          </w:p>
        </w:tc>
        <w:tc>
          <w:tcPr>
            <w:tcW w:w="1095" w:type="dxa"/>
            <w:noWrap/>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1</w:t>
            </w:r>
          </w:p>
        </w:tc>
        <w:tc>
          <w:tcPr>
            <w:tcW w:w="2486" w:type="dxa"/>
            <w:noWrap/>
          </w:tcPr>
          <w:p>
            <w:pPr>
              <w:spacing w:line="360" w:lineRule="auto"/>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noWrap/>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6</w:t>
            </w:r>
          </w:p>
        </w:tc>
        <w:tc>
          <w:tcPr>
            <w:tcW w:w="2760" w:type="dxa"/>
            <w:noWrap/>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立杆、网线等配套设施</w:t>
            </w:r>
          </w:p>
        </w:tc>
        <w:tc>
          <w:tcPr>
            <w:tcW w:w="1215" w:type="dxa"/>
            <w:noWrap/>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套/站</w:t>
            </w:r>
          </w:p>
        </w:tc>
        <w:tc>
          <w:tcPr>
            <w:tcW w:w="1095" w:type="dxa"/>
            <w:noWrap/>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1</w:t>
            </w:r>
          </w:p>
        </w:tc>
        <w:tc>
          <w:tcPr>
            <w:tcW w:w="2486" w:type="dxa"/>
            <w:noWrap/>
          </w:tcPr>
          <w:p>
            <w:pPr>
              <w:spacing w:line="360" w:lineRule="auto"/>
              <w:rPr>
                <w:rFonts w:ascii="宋体" w:hAnsi="宋体" w:cs="宋体"/>
                <w:color w:val="auto"/>
                <w:sz w:val="24"/>
                <w:szCs w:val="24"/>
              </w:rPr>
            </w:pPr>
          </w:p>
        </w:tc>
      </w:tr>
    </w:tbl>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人脸识别摄像机主要参数：</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200w像素；支持MD5、SHA256加密算法；支持检出两眼瞳距40像素点以上的人脸图片，支持单场景同时检出不少于30张人脸图片，并支持面部跟踪，人脸检出率不小于99%；</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支持侧脸过滤功能，可过滤上下、左右角度达到预设值的人脸；支持人脸区域自动曝光功能，可根据外部不同场景和光照变化自动调节人脸区域曝光参数；设备具有耀光抑制功能，耀光区域≤1%。</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区域入侵摄像机主要参数：</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200W像素；具备区域入侵检测、越界检测、进入区域、离开区域、徘徊、人员聚集、场景变更、虚焦检测、音频异常检测等功能；需具有区域裁剪功能，且裁剪区域支持不小于 7 种分辨率显示；高清镜头；自动光圈；焦距：4-15mm；靶面：1/1.8"；接口：CS 接口；光圈数1:1.5≤±10%；</w:t>
      </w:r>
    </w:p>
    <w:p>
      <w:pPr>
        <w:pStyle w:val="73"/>
      </w:pPr>
      <w:r>
        <w:rPr>
          <w:rFonts w:hint="eastAsia" w:cs="宋体"/>
        </w:rPr>
        <w:t>采样区域对射摄像头主要参数：</w:t>
      </w:r>
    </w:p>
    <w:p>
      <w:pPr>
        <w:pStyle w:val="73"/>
      </w:pPr>
      <w:r>
        <w:rPr>
          <w:rFonts w:hint="eastAsia"/>
        </w:rPr>
        <w:t>（1）支持最大2560×1440@25fps高清画面输出；</w:t>
      </w:r>
    </w:p>
    <w:p>
      <w:pPr>
        <w:pStyle w:val="73"/>
      </w:pPr>
      <w:r>
        <w:rPr>
          <w:rFonts w:hint="eastAsia"/>
        </w:rPr>
        <w:t>（2）支持H.265高效压缩算法，可较大节省存储空间；</w:t>
      </w:r>
    </w:p>
    <w:p>
      <w:pPr>
        <w:pStyle w:val="73"/>
      </w:pPr>
      <w:r>
        <w:rPr>
          <w:rFonts w:hint="eastAsia"/>
        </w:rPr>
        <w:t>（3）支持超低照度，0.005Lux/F1.5(彩色),0.001Lux/F1.5(黑白) ,0 Lux with IR；</w:t>
      </w:r>
    </w:p>
    <w:p>
      <w:pPr>
        <w:pStyle w:val="73"/>
      </w:pPr>
      <w:r>
        <w:rPr>
          <w:rFonts w:hint="eastAsia"/>
        </w:rPr>
        <w:t>（4）支持30倍光学变倍，16倍数字变倍；</w:t>
      </w:r>
    </w:p>
    <w:p>
      <w:pPr>
        <w:pStyle w:val="73"/>
      </w:pPr>
      <w:r>
        <w:rPr>
          <w:rFonts w:hint="eastAsia"/>
        </w:rPr>
        <w:t>（5）采用高效红外阵列，低功耗，照射距离最远可达150m；</w:t>
      </w:r>
    </w:p>
    <w:p>
      <w:pPr>
        <w:pStyle w:val="73"/>
      </w:pPr>
      <w:r>
        <w:rPr>
          <w:rFonts w:hint="eastAsia"/>
        </w:rPr>
        <w:t>（6）支持玻璃加热除雾；</w:t>
      </w:r>
    </w:p>
    <w:p>
      <w:pPr>
        <w:pStyle w:val="73"/>
      </w:pPr>
      <w:r>
        <w:rPr>
          <w:rFonts w:hint="eastAsia"/>
        </w:rPr>
        <w:t>（7）支持三码流技术，每路码流可独立配置分辨率及帧率；</w:t>
      </w:r>
    </w:p>
    <w:p>
      <w:pPr>
        <w:pStyle w:val="73"/>
      </w:pPr>
      <w:r>
        <w:rPr>
          <w:rFonts w:hint="eastAsia"/>
        </w:rPr>
        <w:t>（8）支持区域入侵侦测、越界侦测、移动侦测等智能侦测功能；</w:t>
      </w:r>
    </w:p>
    <w:p>
      <w:pPr>
        <w:pStyle w:val="73"/>
        <w:ind w:left="480" w:firstLine="0" w:firstLineChars="0"/>
        <w:rPr>
          <w:rFonts w:cs="宋体"/>
          <w:b/>
        </w:rPr>
      </w:pPr>
      <w:r>
        <w:rPr>
          <w:rFonts w:hint="eastAsia" w:cs="宋体"/>
          <w:b/>
        </w:rPr>
        <w:t>12.大气压计</w:t>
      </w:r>
    </w:p>
    <w:p>
      <w:pPr>
        <w:pStyle w:val="73"/>
        <w:rPr>
          <w:rFonts w:cs="宋体"/>
        </w:rPr>
      </w:pPr>
      <w:r>
        <w:rPr>
          <w:rFonts w:hint="eastAsia" w:cs="宋体"/>
        </w:rPr>
        <w:t>(1) 测量范围：800～1064hpa；</w:t>
      </w:r>
    </w:p>
    <w:p>
      <w:pPr>
        <w:pStyle w:val="73"/>
        <w:rPr>
          <w:rFonts w:cs="宋体"/>
        </w:rPr>
      </w:pPr>
      <w:r>
        <w:rPr>
          <w:rFonts w:hint="eastAsia" w:cs="宋体"/>
        </w:rPr>
        <w:t>(2) 使用温度范围：-10～+40℃；</w:t>
      </w:r>
    </w:p>
    <w:p>
      <w:pPr>
        <w:pStyle w:val="73"/>
        <w:rPr>
          <w:rFonts w:cs="宋体"/>
        </w:rPr>
      </w:pPr>
      <w:r>
        <w:rPr>
          <w:rFonts w:hint="eastAsia" w:cs="宋体"/>
        </w:rPr>
        <w:t>(3) 经过温度、示度和补充正后的测量误差不大于2.0hpa；</w:t>
      </w:r>
    </w:p>
    <w:p>
      <w:pPr>
        <w:pStyle w:val="73"/>
        <w:rPr>
          <w:rFonts w:cs="宋体"/>
        </w:rPr>
      </w:pPr>
      <w:r>
        <w:rPr>
          <w:rFonts w:hint="eastAsia" w:cs="宋体"/>
        </w:rPr>
        <w:t>(4) 示度盘小分值：1hpa；</w:t>
      </w:r>
    </w:p>
    <w:p>
      <w:pPr>
        <w:pStyle w:val="73"/>
        <w:rPr>
          <w:rFonts w:cs="宋体"/>
        </w:rPr>
      </w:pPr>
      <w:r>
        <w:rPr>
          <w:rFonts w:hint="eastAsia" w:cs="宋体"/>
        </w:rPr>
        <w:t>(5) 附温表小分值：1℃。</w:t>
      </w:r>
    </w:p>
    <w:p>
      <w:pPr>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rPr>
        <w:t>13.仪器机架（机柜）</w:t>
      </w:r>
    </w:p>
    <w:p>
      <w:pPr>
        <w:pStyle w:val="73"/>
        <w:rPr>
          <w:rFonts w:cs="宋体"/>
        </w:rPr>
      </w:pPr>
      <w:r>
        <w:rPr>
          <w:rFonts w:hint="eastAsia" w:cs="宋体"/>
        </w:rPr>
        <w:t>立式机柜，散热性能良好，可容纳SO</w:t>
      </w:r>
      <w:r>
        <w:rPr>
          <w:rFonts w:hint="eastAsia" w:cs="宋体"/>
          <w:vertAlign w:val="subscript"/>
        </w:rPr>
        <w:t>2</w:t>
      </w:r>
      <w:r>
        <w:rPr>
          <w:rFonts w:hint="eastAsia" w:cs="宋体"/>
        </w:rPr>
        <w:t>、NO</w:t>
      </w:r>
      <w:r>
        <w:rPr>
          <w:rFonts w:hint="eastAsia" w:cs="宋体"/>
          <w:vertAlign w:val="subscript"/>
        </w:rPr>
        <w:t>2</w:t>
      </w:r>
      <w:r>
        <w:rPr>
          <w:rFonts w:hint="eastAsia" w:cs="宋体"/>
        </w:rPr>
        <w:t>、CO、O</w:t>
      </w:r>
      <w:r>
        <w:rPr>
          <w:rFonts w:hint="eastAsia" w:cs="宋体"/>
          <w:vertAlign w:val="subscript"/>
        </w:rPr>
        <w:t>3</w:t>
      </w:r>
      <w:r>
        <w:rPr>
          <w:rFonts w:hint="eastAsia" w:cs="宋体"/>
        </w:rPr>
        <w:t>分析仪、零气发生器、校准仪、数采仪等仪器；</w:t>
      </w:r>
    </w:p>
    <w:p>
      <w:pPr>
        <w:pStyle w:val="73"/>
        <w:rPr>
          <w:rFonts w:cs="宋体"/>
        </w:rPr>
      </w:pPr>
      <w:r>
        <w:rPr>
          <w:rFonts w:hint="eastAsia" w:cs="宋体"/>
        </w:rPr>
        <w:t>所有的连接管线、接头等应采用防腐材质，不与被测污染物发生化学反应；</w:t>
      </w:r>
    </w:p>
    <w:p>
      <w:pPr>
        <w:pStyle w:val="73"/>
        <w:rPr>
          <w:rFonts w:cs="宋体"/>
        </w:rPr>
      </w:pPr>
      <w:r>
        <w:rPr>
          <w:rFonts w:hint="eastAsia" w:cs="宋体"/>
        </w:rPr>
        <w:t>导轨抽拉连接装载仪器，方便拆卸仪器与清洗仪器内部管路，机柜后侧有纵向导轨汇总各仪器的电缆线路。</w:t>
      </w:r>
    </w:p>
    <w:p>
      <w:pPr>
        <w:pStyle w:val="73"/>
        <w:ind w:firstLine="482"/>
        <w:rPr>
          <w:rFonts w:cs="宋体"/>
          <w:b/>
        </w:rPr>
      </w:pPr>
      <w:r>
        <w:rPr>
          <w:rFonts w:hint="eastAsia" w:cs="宋体"/>
          <w:b/>
        </w:rPr>
        <w:t>14.VPN</w:t>
      </w:r>
    </w:p>
    <w:p>
      <w:pPr>
        <w:pStyle w:val="73"/>
        <w:rPr>
          <w:rFonts w:cs="宋体"/>
        </w:rPr>
      </w:pPr>
      <w:r>
        <w:rPr>
          <w:rFonts w:hint="eastAsia" w:cs="宋体"/>
        </w:rPr>
        <w:t>(1)配置要求：VPN硬件1套；</w:t>
      </w:r>
    </w:p>
    <w:p>
      <w:pPr>
        <w:pStyle w:val="73"/>
        <w:rPr>
          <w:rFonts w:cs="宋体"/>
        </w:rPr>
      </w:pPr>
      <w:r>
        <w:rPr>
          <w:rFonts w:hint="eastAsia" w:cs="宋体"/>
        </w:rPr>
        <w:t>(2)吞吐量≥150Mbps，并发数≥300，千兆电口≥4个；SSL最大加密流量≥100Mbps；</w:t>
      </w:r>
    </w:p>
    <w:p>
      <w:pPr>
        <w:pStyle w:val="73"/>
        <w:rPr>
          <w:rFonts w:cs="宋体"/>
        </w:rPr>
      </w:pPr>
      <w:r>
        <w:rPr>
          <w:rFonts w:hint="eastAsia" w:cs="宋体"/>
        </w:rPr>
        <w:t>(3)支持单点登陆的功能，通过VPN登陆之后，能够不需要进行二次登陆就可以实现访问内部的业务系统；</w:t>
      </w:r>
    </w:p>
    <w:p>
      <w:pPr>
        <w:pStyle w:val="73"/>
        <w:rPr>
          <w:rFonts w:cs="宋体"/>
        </w:rPr>
      </w:pPr>
      <w:r>
        <w:rPr>
          <w:rFonts w:hint="eastAsia" w:cs="宋体"/>
        </w:rPr>
        <w:t>(4)支持关键文件保护功能，可针对特定应用关键文件进行锁定，防止用户进行篡改进行越权；</w:t>
      </w:r>
    </w:p>
    <w:p>
      <w:pPr>
        <w:pStyle w:val="73"/>
        <w:rPr>
          <w:rFonts w:cs="宋体"/>
        </w:rPr>
      </w:pPr>
      <w:r>
        <w:rPr>
          <w:rFonts w:hint="eastAsia" w:cs="宋体"/>
        </w:rPr>
        <w:t>(5)支持用户登录界面、服务界面的完全自定义，上传单独的Web页面作为用户登录界面、服务界面；</w:t>
      </w:r>
    </w:p>
    <w:p>
      <w:pPr>
        <w:pStyle w:val="73"/>
        <w:rPr>
          <w:rFonts w:cs="宋体"/>
        </w:rPr>
      </w:pPr>
      <w:r>
        <w:rPr>
          <w:rFonts w:hint="eastAsia" w:cs="宋体"/>
        </w:rPr>
        <w:t>(6)支持随机验证码短信认证，可自定义所发送短信信息格式，支持用户端短信重发功能；</w:t>
      </w:r>
    </w:p>
    <w:p>
      <w:pPr>
        <w:pStyle w:val="73"/>
        <w:rPr>
          <w:rFonts w:cs="宋体"/>
        </w:rPr>
      </w:pPr>
      <w:r>
        <w:rPr>
          <w:rFonts w:hint="eastAsia" w:cs="宋体"/>
        </w:rPr>
        <w:t>(7)支持设置对控制台管理员密码复杂度的要求，提升设备的安全性。</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（五）服务</w:t>
      </w:r>
    </w:p>
    <w:p>
      <w:pPr>
        <w:pStyle w:val="73"/>
        <w:rPr>
          <w:rFonts w:cs="宋体"/>
        </w:rPr>
      </w:pPr>
      <w:r>
        <w:rPr>
          <w:rFonts w:hint="eastAsia" w:cs="宋体"/>
        </w:rPr>
        <w:t>1、提供一年设备运维服务（涵盖原有PM</w:t>
      </w:r>
      <w:r>
        <w:rPr>
          <w:rFonts w:hint="eastAsia" w:cs="宋体"/>
          <w:vertAlign w:val="subscript"/>
        </w:rPr>
        <w:t>10</w:t>
      </w:r>
      <w:r>
        <w:rPr>
          <w:rFonts w:hint="eastAsia" w:cs="宋体"/>
        </w:rPr>
        <w:t>、PM</w:t>
      </w:r>
      <w:r>
        <w:rPr>
          <w:rFonts w:hint="eastAsia" w:cs="宋体"/>
          <w:vertAlign w:val="subscript"/>
        </w:rPr>
        <w:t>2.5</w:t>
      </w:r>
      <w:r>
        <w:rPr>
          <w:rFonts w:hint="eastAsia" w:cs="宋体"/>
        </w:rPr>
        <w:t>和新建SO</w:t>
      </w:r>
      <w:r>
        <w:rPr>
          <w:rFonts w:hint="eastAsia" w:cs="宋体"/>
          <w:vertAlign w:val="subscript"/>
        </w:rPr>
        <w:t>2</w:t>
      </w:r>
      <w:r>
        <w:rPr>
          <w:rFonts w:hint="eastAsia" w:cs="宋体"/>
        </w:rPr>
        <w:t>、O</w:t>
      </w:r>
      <w:r>
        <w:rPr>
          <w:rFonts w:hint="eastAsia" w:cs="宋体"/>
          <w:vertAlign w:val="subscript"/>
        </w:rPr>
        <w:t>3</w:t>
      </w:r>
      <w:r>
        <w:rPr>
          <w:rFonts w:hint="eastAsia" w:cs="宋体"/>
        </w:rPr>
        <w:t>、NO</w:t>
      </w:r>
      <w:r>
        <w:rPr>
          <w:rFonts w:hint="eastAsia" w:cs="宋体"/>
          <w:vertAlign w:val="subscript"/>
        </w:rPr>
        <w:t>2</w:t>
      </w:r>
      <w:r>
        <w:rPr>
          <w:rFonts w:hint="eastAsia" w:cs="宋体"/>
        </w:rPr>
        <w:t>、CO）。</w:t>
      </w:r>
    </w:p>
    <w:p>
      <w:pPr>
        <w:pStyle w:val="73"/>
        <w:rPr>
          <w:rFonts w:cs="宋体"/>
        </w:rPr>
      </w:pPr>
      <w:r>
        <w:rPr>
          <w:rFonts w:hint="eastAsia" w:cs="宋体"/>
        </w:rPr>
        <w:t>2、投标人应提供本包中所有仪器设备的通讯协议、仪器正常状态参数上下限等信息；所有仪器设备的监测数据、仪器状态参数、视频监控、质控措施，均需按照采购人要求实现与国家、省和市环境空气质量监测网数据管理平台或质控监测管理平台无缝对接联网，满足国家、省和市数据采集、传输、审核等业务工作要求（联网过程中产生的软、硬件升级改造费用均包含在投标报价中）。</w:t>
      </w:r>
    </w:p>
    <w:p>
      <w:pPr>
        <w:pStyle w:val="73"/>
        <w:rPr>
          <w:rFonts w:cs="宋体"/>
        </w:rPr>
      </w:pPr>
      <w:r>
        <w:rPr>
          <w:rFonts w:hint="eastAsia" w:cs="宋体"/>
        </w:rPr>
        <w:t>3、投标人按照《环境空气气态污染物（SO</w:t>
      </w:r>
      <w:r>
        <w:rPr>
          <w:rFonts w:hint="eastAsia" w:cs="宋体"/>
          <w:vertAlign w:val="subscript"/>
        </w:rPr>
        <w:t>2</w:t>
      </w:r>
      <w:r>
        <w:rPr>
          <w:rFonts w:hint="eastAsia" w:cs="宋体"/>
        </w:rPr>
        <w:t>、O</w:t>
      </w:r>
      <w:r>
        <w:rPr>
          <w:rFonts w:hint="eastAsia" w:cs="宋体"/>
          <w:vertAlign w:val="subscript"/>
        </w:rPr>
        <w:t>3</w:t>
      </w:r>
      <w:r>
        <w:rPr>
          <w:rFonts w:hint="eastAsia" w:cs="宋体"/>
        </w:rPr>
        <w:t>、NO</w:t>
      </w:r>
      <w:r>
        <w:rPr>
          <w:rFonts w:hint="eastAsia" w:cs="宋体"/>
          <w:vertAlign w:val="subscript"/>
        </w:rPr>
        <w:t>2</w:t>
      </w:r>
      <w:r>
        <w:rPr>
          <w:rFonts w:hint="eastAsia" w:cs="宋体"/>
        </w:rPr>
        <w:t>、CO）连续自动监测系统安装验收技术规范》（HJ193-2013）等相关监测规范，在派驻监测中心的监督下完成仪器设备的安装调试、试运行、验收测试以及与其他在用辅助设备、质控设备的匹配连接。安装调试、试运行及验收测试时不得影响乡镇站已有设备（颗粒物）的正常运行。测试完成后形成验收报告，并通过省生态环境厅组织的验收。</w:t>
      </w:r>
    </w:p>
    <w:p>
      <w:pPr>
        <w:pStyle w:val="73"/>
        <w:rPr>
          <w:rFonts w:cs="宋体"/>
        </w:rPr>
      </w:pPr>
      <w:r>
        <w:rPr>
          <w:rFonts w:hint="eastAsia" w:cs="宋体"/>
        </w:rPr>
        <w:t>4、自设备完成验收之日起，质保期一年。若因仪器自身原因未通过安装调试、试运行、验收测试，自行承担相应违约责任。</w:t>
      </w:r>
    </w:p>
    <w:p>
      <w:pPr>
        <w:pStyle w:val="73"/>
        <w:rPr>
          <w:rFonts w:cs="宋体"/>
        </w:rPr>
      </w:pPr>
      <w:r>
        <w:rPr>
          <w:rFonts w:hint="eastAsia" w:cs="宋体"/>
        </w:rPr>
        <w:t>5、中标人应提供仪器所安装站房工控机串口加装、弱电防雷、宽带网络传输升级、电费、网费等问题，确保站点能够满足重点乡镇空气自动监测站升级改造工作需求，相关费用均包含在投标报价中。</w:t>
      </w:r>
    </w:p>
    <w:p>
      <w:pPr>
        <w:widowControl w:val="0"/>
        <w:adjustRightInd w:val="0"/>
        <w:snapToGrid w:val="0"/>
        <w:spacing w:beforeLines="50" w:line="300" w:lineRule="auto"/>
        <w:ind w:firstLine="460" w:firstLineChars="192"/>
        <w:rPr>
          <w:color w:val="auto"/>
          <w:sz w:val="24"/>
          <w:szCs w:val="24"/>
        </w:rPr>
      </w:pPr>
      <w:r>
        <w:rPr>
          <w:rFonts w:hint="eastAsia"/>
          <w:color w:val="auto"/>
          <w:sz w:val="24"/>
          <w:szCs w:val="24"/>
        </w:rPr>
        <w:t>注：1、本项目所涉设备（货物）的中小企业划分标准所属行业为：工业。</w:t>
      </w:r>
    </w:p>
    <w:p>
      <w:pPr>
        <w:widowControl w:val="0"/>
        <w:adjustRightInd w:val="0"/>
        <w:snapToGrid w:val="0"/>
        <w:spacing w:beforeLines="50" w:line="300" w:lineRule="auto"/>
        <w:ind w:firstLine="360" w:firstLineChars="150"/>
        <w:rPr>
          <w:rFonts w:ascii="宋体" w:cs="宋体"/>
          <w:color w:val="auto"/>
          <w:sz w:val="24"/>
          <w:szCs w:val="24"/>
        </w:rPr>
      </w:pPr>
      <w:r>
        <w:rPr>
          <w:rFonts w:hint="eastAsia" w:ascii="宋体" w:cs="宋体"/>
          <w:color w:val="auto"/>
          <w:sz w:val="24"/>
          <w:szCs w:val="24"/>
        </w:rPr>
        <w:t>2、本项目标段（包）1、2、3核心产品均为：SO</w:t>
      </w:r>
      <w:r>
        <w:rPr>
          <w:rFonts w:hint="eastAsia" w:ascii="宋体" w:cs="宋体"/>
          <w:color w:val="auto"/>
          <w:sz w:val="24"/>
          <w:szCs w:val="24"/>
          <w:vertAlign w:val="subscript"/>
        </w:rPr>
        <w:t>2</w:t>
      </w:r>
      <w:r>
        <w:rPr>
          <w:rFonts w:hint="eastAsia" w:ascii="宋体" w:cs="宋体"/>
          <w:color w:val="auto"/>
          <w:sz w:val="24"/>
          <w:szCs w:val="24"/>
        </w:rPr>
        <w:t>分析仪</w:t>
      </w:r>
    </w:p>
    <w:p>
      <w:pPr>
        <w:adjustRightInd w:val="0"/>
        <w:snapToGrid w:val="0"/>
        <w:spacing w:beforeLines="50" w:line="300" w:lineRule="auto"/>
        <w:ind w:firstLine="482" w:firstLineChars="200"/>
        <w:rPr>
          <w:rFonts w:ascii="黑体" w:hAnsi="黑体" w:eastAsia="黑体"/>
          <w:b/>
          <w:color w:val="auto"/>
          <w:sz w:val="24"/>
          <w:szCs w:val="24"/>
        </w:rPr>
      </w:pPr>
    </w:p>
    <w:p>
      <w:pPr>
        <w:adjustRightInd w:val="0"/>
        <w:snapToGrid w:val="0"/>
        <w:spacing w:beforeLines="50" w:line="300" w:lineRule="auto"/>
        <w:ind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5</w:t>
      </w:r>
      <w:r>
        <w:rPr>
          <w:rFonts w:ascii="黑体" w:hAnsi="黑体" w:eastAsia="黑体"/>
          <w:b/>
          <w:color w:val="auto"/>
          <w:sz w:val="24"/>
          <w:szCs w:val="24"/>
        </w:rPr>
        <w:t xml:space="preserve"> </w:t>
      </w:r>
      <w:r>
        <w:rPr>
          <w:rFonts w:hint="eastAsia" w:ascii="黑体" w:hAnsi="黑体" w:eastAsia="黑体"/>
          <w:b/>
          <w:color w:val="auto"/>
          <w:sz w:val="24"/>
          <w:szCs w:val="24"/>
        </w:rPr>
        <w:t>安</w:t>
      </w:r>
      <w:r>
        <w:rPr>
          <w:rFonts w:ascii="黑体" w:hAnsi="黑体" w:eastAsia="黑体"/>
          <w:b/>
          <w:color w:val="auto"/>
          <w:sz w:val="24"/>
          <w:szCs w:val="24"/>
        </w:rPr>
        <w:t>全</w:t>
      </w:r>
    </w:p>
    <w:p>
      <w:pPr>
        <w:widowControl w:val="0"/>
        <w:adjustRightInd w:val="0"/>
        <w:snapToGrid w:val="0"/>
        <w:spacing w:beforeLines="50" w:line="300" w:lineRule="auto"/>
        <w:ind w:left="22" w:firstLine="555"/>
        <w:jc w:val="left"/>
        <w:rPr>
          <w:color w:val="auto"/>
          <w:sz w:val="24"/>
          <w:szCs w:val="24"/>
        </w:rPr>
      </w:pPr>
      <w:r>
        <w:rPr>
          <w:rFonts w:hint="eastAsia"/>
          <w:color w:val="auto"/>
          <w:sz w:val="24"/>
          <w:szCs w:val="24"/>
        </w:rPr>
        <w:t>投标产品应符合国家、行业的各</w:t>
      </w:r>
      <w:r>
        <w:rPr>
          <w:color w:val="auto"/>
          <w:sz w:val="24"/>
          <w:szCs w:val="24"/>
        </w:rPr>
        <w:t>项</w:t>
      </w:r>
      <w:r>
        <w:rPr>
          <w:rFonts w:hint="eastAsia"/>
          <w:color w:val="auto"/>
          <w:sz w:val="24"/>
          <w:szCs w:val="24"/>
        </w:rPr>
        <w:t>安全标准，投</w:t>
      </w:r>
      <w:r>
        <w:rPr>
          <w:color w:val="auto"/>
          <w:sz w:val="24"/>
          <w:szCs w:val="24"/>
        </w:rPr>
        <w:t>标</w:t>
      </w:r>
      <w:r>
        <w:rPr>
          <w:rFonts w:hint="eastAsia"/>
          <w:color w:val="auto"/>
          <w:sz w:val="24"/>
          <w:szCs w:val="24"/>
        </w:rPr>
        <w:t>人</w:t>
      </w:r>
      <w:r>
        <w:rPr>
          <w:color w:val="auto"/>
          <w:sz w:val="24"/>
          <w:szCs w:val="24"/>
        </w:rPr>
        <w:t>对</w:t>
      </w:r>
      <w:r>
        <w:rPr>
          <w:rFonts w:hint="eastAsia"/>
          <w:color w:val="auto"/>
          <w:sz w:val="24"/>
          <w:szCs w:val="24"/>
        </w:rPr>
        <w:t>投标产品的</w:t>
      </w:r>
      <w:r>
        <w:rPr>
          <w:color w:val="auto"/>
          <w:sz w:val="24"/>
          <w:szCs w:val="24"/>
        </w:rPr>
        <w:t>安全性承担全部责任。</w:t>
      </w:r>
      <w:r>
        <w:rPr>
          <w:rFonts w:hint="eastAsia"/>
          <w:color w:val="auto"/>
          <w:sz w:val="24"/>
          <w:szCs w:val="24"/>
        </w:rPr>
        <w:t>生产或销售不符合保障人身、财产安全的国家标准、行业标准的产品，将</w:t>
      </w:r>
      <w:r>
        <w:rPr>
          <w:color w:val="auto"/>
          <w:sz w:val="24"/>
          <w:szCs w:val="24"/>
        </w:rPr>
        <w:t>依法承担民事及相应刑事责任</w:t>
      </w:r>
      <w:r>
        <w:rPr>
          <w:rFonts w:hint="eastAsia"/>
          <w:color w:val="auto"/>
          <w:sz w:val="24"/>
          <w:szCs w:val="24"/>
        </w:rPr>
        <w:t>。合</w:t>
      </w:r>
      <w:r>
        <w:rPr>
          <w:color w:val="auto"/>
          <w:sz w:val="24"/>
          <w:szCs w:val="24"/>
        </w:rPr>
        <w:t>同履行中的安全责任由中标人承担全部责任。</w:t>
      </w:r>
    </w:p>
    <w:p>
      <w:pPr>
        <w:adjustRightInd w:val="0"/>
        <w:snapToGrid w:val="0"/>
        <w:spacing w:beforeLines="50" w:line="300" w:lineRule="auto"/>
        <w:ind w:firstLine="482" w:firstLineChars="200"/>
        <w:rPr>
          <w:rFonts w:ascii="黑体" w:hAnsi="黑体" w:eastAsia="黑体"/>
          <w:b/>
          <w:color w:val="auto"/>
          <w:sz w:val="24"/>
          <w:szCs w:val="24"/>
        </w:rPr>
      </w:pPr>
    </w:p>
    <w:p>
      <w:pPr>
        <w:adjustRightInd w:val="0"/>
        <w:snapToGrid w:val="0"/>
        <w:spacing w:beforeLines="50" w:line="300" w:lineRule="auto"/>
        <w:ind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6</w:t>
      </w:r>
      <w:r>
        <w:rPr>
          <w:rFonts w:ascii="黑体" w:hAnsi="黑体" w:eastAsia="黑体"/>
          <w:b/>
          <w:color w:val="auto"/>
          <w:sz w:val="24"/>
          <w:szCs w:val="24"/>
        </w:rPr>
        <w:t xml:space="preserve"> </w:t>
      </w:r>
      <w:r>
        <w:rPr>
          <w:rFonts w:hint="eastAsia" w:ascii="黑体" w:hAnsi="黑体" w:eastAsia="黑体"/>
          <w:b/>
          <w:color w:val="auto"/>
          <w:sz w:val="24"/>
          <w:szCs w:val="24"/>
        </w:rPr>
        <w:t>投</w:t>
      </w:r>
      <w:r>
        <w:rPr>
          <w:rFonts w:ascii="黑体" w:hAnsi="黑体" w:eastAsia="黑体"/>
          <w:b/>
          <w:color w:val="auto"/>
          <w:sz w:val="24"/>
          <w:szCs w:val="24"/>
        </w:rPr>
        <w:t>标文件</w:t>
      </w:r>
      <w:r>
        <w:rPr>
          <w:rFonts w:hint="eastAsia" w:ascii="黑体" w:hAnsi="黑体" w:eastAsia="黑体"/>
          <w:b/>
          <w:color w:val="auto"/>
          <w:sz w:val="24"/>
          <w:szCs w:val="24"/>
        </w:rPr>
        <w:t>对“</w:t>
      </w:r>
      <w:r>
        <w:rPr>
          <w:rFonts w:ascii="黑体" w:hAnsi="黑体" w:eastAsia="黑体"/>
          <w:b/>
          <w:color w:val="auto"/>
          <w:sz w:val="24"/>
          <w:szCs w:val="24"/>
        </w:rPr>
        <w:t>2.4</w:t>
      </w:r>
      <w:r>
        <w:rPr>
          <w:rFonts w:hint="eastAsia" w:ascii="黑体" w:hAnsi="黑体" w:eastAsia="黑体"/>
          <w:b/>
          <w:color w:val="auto"/>
          <w:sz w:val="24"/>
          <w:szCs w:val="24"/>
        </w:rPr>
        <w:t>标段（包）内容（具体范围、数量），具体技术要求”的</w:t>
      </w:r>
      <w:r>
        <w:rPr>
          <w:rFonts w:ascii="黑体" w:hAnsi="黑体" w:eastAsia="黑体"/>
          <w:b/>
          <w:color w:val="auto"/>
          <w:sz w:val="24"/>
          <w:szCs w:val="24"/>
        </w:rPr>
        <w:t>响应</w:t>
      </w:r>
    </w:p>
    <w:p>
      <w:pPr>
        <w:widowControl w:val="0"/>
        <w:adjustRightInd w:val="0"/>
        <w:snapToGrid w:val="0"/>
        <w:spacing w:beforeLines="50" w:line="300" w:lineRule="auto"/>
        <w:ind w:left="22" w:firstLine="555"/>
        <w:jc w:val="left"/>
        <w:rPr>
          <w:color w:val="auto"/>
          <w:sz w:val="24"/>
          <w:szCs w:val="24"/>
        </w:rPr>
      </w:pPr>
      <w:r>
        <w:rPr>
          <w:rFonts w:hint="eastAsia"/>
          <w:color w:val="auto"/>
          <w:sz w:val="24"/>
          <w:szCs w:val="24"/>
        </w:rPr>
        <w:t>“2.4标段（包）内容（具体范围、数量），具体技术要求”为采购</w:t>
      </w:r>
      <w:r>
        <w:rPr>
          <w:color w:val="auto"/>
          <w:sz w:val="24"/>
          <w:szCs w:val="24"/>
        </w:rPr>
        <w:t>需求的</w:t>
      </w:r>
      <w:r>
        <w:rPr>
          <w:rFonts w:hint="eastAsia"/>
          <w:color w:val="auto"/>
          <w:sz w:val="24"/>
          <w:szCs w:val="24"/>
        </w:rPr>
        <w:t>基础</w:t>
      </w:r>
      <w:r>
        <w:rPr>
          <w:color w:val="auto"/>
          <w:sz w:val="24"/>
          <w:szCs w:val="24"/>
        </w:rPr>
        <w:t>性</w:t>
      </w:r>
      <w:r>
        <w:rPr>
          <w:rFonts w:hint="eastAsia"/>
          <w:color w:val="auto"/>
          <w:sz w:val="24"/>
          <w:szCs w:val="24"/>
        </w:rPr>
        <w:t>要求，投</w:t>
      </w:r>
      <w:r>
        <w:rPr>
          <w:color w:val="auto"/>
          <w:sz w:val="24"/>
          <w:szCs w:val="24"/>
        </w:rPr>
        <w:t>标产品应当明确，</w:t>
      </w:r>
      <w:r>
        <w:rPr>
          <w:rFonts w:hint="eastAsia"/>
          <w:color w:val="auto"/>
          <w:sz w:val="24"/>
          <w:szCs w:val="24"/>
        </w:rPr>
        <w:t>投</w:t>
      </w:r>
      <w:r>
        <w:rPr>
          <w:color w:val="auto"/>
          <w:sz w:val="24"/>
          <w:szCs w:val="24"/>
        </w:rPr>
        <w:t>标</w:t>
      </w:r>
      <w:r>
        <w:rPr>
          <w:rFonts w:hint="eastAsia"/>
          <w:color w:val="auto"/>
          <w:sz w:val="24"/>
          <w:szCs w:val="24"/>
        </w:rPr>
        <w:t>技术参数应最</w:t>
      </w:r>
      <w:r>
        <w:rPr>
          <w:color w:val="auto"/>
          <w:sz w:val="24"/>
          <w:szCs w:val="24"/>
        </w:rPr>
        <w:t>终指向具体明确的产</w:t>
      </w:r>
      <w:r>
        <w:rPr>
          <w:rFonts w:hint="eastAsia"/>
          <w:color w:val="auto"/>
          <w:sz w:val="24"/>
          <w:szCs w:val="24"/>
        </w:rPr>
        <w:t>品。投</w:t>
      </w:r>
      <w:r>
        <w:rPr>
          <w:color w:val="auto"/>
          <w:sz w:val="24"/>
          <w:szCs w:val="24"/>
        </w:rPr>
        <w:t>标</w:t>
      </w:r>
      <w:r>
        <w:rPr>
          <w:rFonts w:hint="eastAsia"/>
          <w:color w:val="auto"/>
          <w:sz w:val="24"/>
          <w:szCs w:val="24"/>
        </w:rPr>
        <w:t>文</w:t>
      </w:r>
      <w:r>
        <w:rPr>
          <w:color w:val="auto"/>
          <w:sz w:val="24"/>
          <w:szCs w:val="24"/>
        </w:rPr>
        <w:t>件</w:t>
      </w:r>
      <w:r>
        <w:rPr>
          <w:rFonts w:hint="eastAsia"/>
          <w:color w:val="auto"/>
          <w:sz w:val="24"/>
          <w:szCs w:val="24"/>
        </w:rPr>
        <w:t>技术参数抄袭招标文件“2.4标段（包）内容（具体范围、数量），具体技术要求”，投</w:t>
      </w:r>
      <w:r>
        <w:rPr>
          <w:color w:val="auto"/>
          <w:sz w:val="24"/>
          <w:szCs w:val="24"/>
        </w:rPr>
        <w:t>标产品</w:t>
      </w:r>
      <w:r>
        <w:rPr>
          <w:rFonts w:hint="eastAsia"/>
          <w:color w:val="auto"/>
          <w:sz w:val="24"/>
          <w:szCs w:val="24"/>
        </w:rPr>
        <w:t>不</w:t>
      </w:r>
      <w:r>
        <w:rPr>
          <w:color w:val="auto"/>
          <w:sz w:val="24"/>
          <w:szCs w:val="24"/>
        </w:rPr>
        <w:t>明确</w:t>
      </w:r>
      <w:r>
        <w:rPr>
          <w:rFonts w:hint="eastAsia"/>
          <w:color w:val="auto"/>
          <w:sz w:val="24"/>
          <w:szCs w:val="24"/>
        </w:rPr>
        <w:t>的</w:t>
      </w:r>
      <w:r>
        <w:rPr>
          <w:color w:val="auto"/>
          <w:sz w:val="24"/>
          <w:szCs w:val="24"/>
        </w:rPr>
        <w:t>、或</w:t>
      </w:r>
      <w:r>
        <w:rPr>
          <w:rFonts w:hint="eastAsia"/>
          <w:color w:val="auto"/>
          <w:sz w:val="24"/>
          <w:szCs w:val="24"/>
        </w:rPr>
        <w:t>与投</w:t>
      </w:r>
      <w:r>
        <w:rPr>
          <w:color w:val="auto"/>
          <w:sz w:val="24"/>
          <w:szCs w:val="24"/>
        </w:rPr>
        <w:t>标产品</w:t>
      </w:r>
      <w:r>
        <w:rPr>
          <w:rFonts w:hint="eastAsia"/>
          <w:color w:val="auto"/>
          <w:sz w:val="24"/>
          <w:szCs w:val="24"/>
        </w:rPr>
        <w:t>不</w:t>
      </w:r>
      <w:r>
        <w:rPr>
          <w:color w:val="auto"/>
          <w:sz w:val="24"/>
          <w:szCs w:val="24"/>
        </w:rPr>
        <w:t>一致</w:t>
      </w:r>
      <w:r>
        <w:rPr>
          <w:rFonts w:hint="eastAsia"/>
          <w:color w:val="auto"/>
          <w:sz w:val="24"/>
          <w:szCs w:val="24"/>
        </w:rPr>
        <w:t>的</w:t>
      </w:r>
      <w:r>
        <w:rPr>
          <w:color w:val="auto"/>
          <w:sz w:val="24"/>
          <w:szCs w:val="24"/>
        </w:rPr>
        <w:t>，</w:t>
      </w:r>
      <w:r>
        <w:rPr>
          <w:rFonts w:hint="eastAsia"/>
          <w:color w:val="auto"/>
          <w:sz w:val="24"/>
          <w:szCs w:val="24"/>
        </w:rPr>
        <w:t>评标委员会有权按照实质性判断原则评定其为无效投标。</w:t>
      </w:r>
    </w:p>
    <w:p>
      <w:pPr>
        <w:widowControl w:val="0"/>
        <w:adjustRightInd w:val="0"/>
        <w:snapToGrid w:val="0"/>
        <w:spacing w:beforeLines="50" w:line="300" w:lineRule="auto"/>
        <w:ind w:firstLine="360" w:firstLineChars="150"/>
        <w:rPr>
          <w:rFonts w:ascii="宋体" w:cs="宋体"/>
          <w:color w:val="auto"/>
          <w:sz w:val="24"/>
          <w:szCs w:val="24"/>
        </w:rPr>
      </w:pPr>
    </w:p>
    <w:p>
      <w:pPr>
        <w:adjustRightInd w:val="0"/>
        <w:snapToGrid w:val="0"/>
        <w:spacing w:beforeLines="50" w:line="300" w:lineRule="auto"/>
        <w:ind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7技术偏离</w:t>
      </w:r>
    </w:p>
    <w:p>
      <w:pPr>
        <w:widowControl w:val="0"/>
        <w:adjustRightInd w:val="0"/>
        <w:snapToGrid w:val="0"/>
        <w:spacing w:beforeLines="50" w:line="300" w:lineRule="auto"/>
        <w:ind w:left="22" w:firstLine="555"/>
        <w:jc w:val="left"/>
        <w:rPr>
          <w:color w:val="auto"/>
          <w:sz w:val="24"/>
          <w:szCs w:val="24"/>
        </w:rPr>
      </w:pPr>
      <w:r>
        <w:rPr>
          <w:color w:val="auto"/>
          <w:sz w:val="24"/>
          <w:szCs w:val="24"/>
        </w:rPr>
        <w:t>2.</w:t>
      </w:r>
      <w:r>
        <w:rPr>
          <w:rFonts w:hint="eastAsia"/>
          <w:color w:val="auto"/>
          <w:sz w:val="24"/>
          <w:szCs w:val="24"/>
        </w:rPr>
        <w:t>7</w:t>
      </w:r>
      <w:r>
        <w:rPr>
          <w:color w:val="auto"/>
          <w:sz w:val="24"/>
          <w:szCs w:val="24"/>
        </w:rPr>
        <w:t xml:space="preserve">.1 </w:t>
      </w:r>
      <w:r>
        <w:rPr>
          <w:rFonts w:hint="eastAsia"/>
          <w:color w:val="auto"/>
          <w:sz w:val="24"/>
          <w:szCs w:val="24"/>
        </w:rPr>
        <w:t>“2.4标段（包）内容（具体范围、数量），具体技术要求”列示的参数、规格为基础</w:t>
      </w:r>
      <w:r>
        <w:rPr>
          <w:color w:val="auto"/>
          <w:sz w:val="24"/>
          <w:szCs w:val="24"/>
        </w:rPr>
        <w:t>性</w:t>
      </w:r>
      <w:r>
        <w:rPr>
          <w:rFonts w:hint="eastAsia"/>
          <w:color w:val="auto"/>
          <w:sz w:val="24"/>
          <w:szCs w:val="24"/>
        </w:rPr>
        <w:t>要求，投标人可提供质量性能参数相等或优于的其他产品；投</w:t>
      </w:r>
      <w:r>
        <w:rPr>
          <w:color w:val="auto"/>
          <w:sz w:val="24"/>
          <w:szCs w:val="24"/>
        </w:rPr>
        <w:t>标产品的</w:t>
      </w:r>
      <w:r>
        <w:rPr>
          <w:rFonts w:hint="eastAsia"/>
          <w:color w:val="auto"/>
          <w:sz w:val="24"/>
          <w:szCs w:val="24"/>
        </w:rPr>
        <w:t>规格参数与“2.4标段（包）内容（具体范围、数量），具体技术要求”不</w:t>
      </w:r>
      <w:r>
        <w:rPr>
          <w:color w:val="auto"/>
          <w:sz w:val="24"/>
          <w:szCs w:val="24"/>
        </w:rPr>
        <w:t>同</w:t>
      </w:r>
      <w:r>
        <w:rPr>
          <w:rFonts w:hint="eastAsia"/>
          <w:color w:val="auto"/>
          <w:sz w:val="24"/>
          <w:szCs w:val="24"/>
        </w:rPr>
        <w:t>、</w:t>
      </w:r>
      <w:r>
        <w:rPr>
          <w:color w:val="auto"/>
          <w:sz w:val="24"/>
          <w:szCs w:val="24"/>
        </w:rPr>
        <w:t>且</w:t>
      </w:r>
      <w:r>
        <w:rPr>
          <w:rFonts w:hint="eastAsia"/>
          <w:color w:val="auto"/>
          <w:sz w:val="24"/>
          <w:szCs w:val="24"/>
        </w:rPr>
        <w:t>投标人认</w:t>
      </w:r>
      <w:r>
        <w:rPr>
          <w:color w:val="auto"/>
          <w:sz w:val="24"/>
          <w:szCs w:val="24"/>
        </w:rPr>
        <w:t>为</w:t>
      </w:r>
      <w:r>
        <w:rPr>
          <w:rFonts w:hint="eastAsia"/>
          <w:color w:val="auto"/>
          <w:sz w:val="24"/>
          <w:szCs w:val="24"/>
        </w:rPr>
        <w:t>投</w:t>
      </w:r>
      <w:r>
        <w:rPr>
          <w:color w:val="auto"/>
          <w:sz w:val="24"/>
          <w:szCs w:val="24"/>
        </w:rPr>
        <w:t>标产品的</w:t>
      </w:r>
      <w:r>
        <w:rPr>
          <w:rFonts w:hint="eastAsia"/>
          <w:color w:val="auto"/>
          <w:sz w:val="24"/>
          <w:szCs w:val="24"/>
        </w:rPr>
        <w:t>规格参数等</w:t>
      </w:r>
      <w:r>
        <w:rPr>
          <w:color w:val="auto"/>
          <w:sz w:val="24"/>
          <w:szCs w:val="24"/>
        </w:rPr>
        <w:t>于或优于</w:t>
      </w:r>
      <w:r>
        <w:rPr>
          <w:rFonts w:hint="eastAsia"/>
          <w:color w:val="auto"/>
          <w:sz w:val="24"/>
          <w:szCs w:val="24"/>
        </w:rPr>
        <w:t>“2.4标段（包）内容（具体范围、数量），具体技术要求”的</w:t>
      </w:r>
      <w:r>
        <w:rPr>
          <w:color w:val="auto"/>
          <w:sz w:val="24"/>
          <w:szCs w:val="24"/>
        </w:rPr>
        <w:t>，</w:t>
      </w:r>
      <w:r>
        <w:rPr>
          <w:rFonts w:hint="eastAsia"/>
          <w:color w:val="auto"/>
          <w:sz w:val="24"/>
          <w:szCs w:val="24"/>
        </w:rPr>
        <w:t>投标人应提供相关证明材料（如权威评测资料、及印刷品产品说明书或印刷品图册等）以供评标委员会评审投标产品是</w:t>
      </w:r>
      <w:r>
        <w:rPr>
          <w:color w:val="auto"/>
          <w:sz w:val="24"/>
          <w:szCs w:val="24"/>
        </w:rPr>
        <w:t>否</w:t>
      </w:r>
      <w:r>
        <w:rPr>
          <w:rFonts w:hint="eastAsia"/>
          <w:color w:val="auto"/>
          <w:sz w:val="24"/>
          <w:szCs w:val="24"/>
        </w:rPr>
        <w:t>等于或优于“2.4标段（包）内容（具体范围、数量），具体技术要求”、从而</w:t>
      </w:r>
      <w:r>
        <w:rPr>
          <w:color w:val="auto"/>
          <w:sz w:val="24"/>
          <w:szCs w:val="24"/>
        </w:rPr>
        <w:t>评定</w:t>
      </w:r>
      <w:r>
        <w:rPr>
          <w:rFonts w:hint="eastAsia"/>
          <w:color w:val="auto"/>
          <w:sz w:val="24"/>
          <w:szCs w:val="24"/>
        </w:rPr>
        <w:t>投标产品是</w:t>
      </w:r>
      <w:r>
        <w:rPr>
          <w:color w:val="auto"/>
          <w:sz w:val="24"/>
          <w:szCs w:val="24"/>
        </w:rPr>
        <w:t>否</w:t>
      </w:r>
      <w:r>
        <w:rPr>
          <w:rFonts w:hint="eastAsia"/>
          <w:color w:val="auto"/>
          <w:sz w:val="24"/>
          <w:szCs w:val="24"/>
        </w:rPr>
        <w:t>满</w:t>
      </w:r>
      <w:r>
        <w:rPr>
          <w:color w:val="auto"/>
          <w:sz w:val="24"/>
          <w:szCs w:val="24"/>
        </w:rPr>
        <w:t>足</w:t>
      </w:r>
      <w:r>
        <w:rPr>
          <w:rFonts w:hint="eastAsia"/>
          <w:color w:val="auto"/>
          <w:sz w:val="24"/>
          <w:szCs w:val="24"/>
        </w:rPr>
        <w:t>“2.4标段（包）内容（具体范围、数量），具体技术要求”。</w:t>
      </w:r>
    </w:p>
    <w:p>
      <w:pPr>
        <w:widowControl w:val="0"/>
        <w:adjustRightInd w:val="0"/>
        <w:snapToGrid w:val="0"/>
        <w:spacing w:beforeLines="50" w:line="300" w:lineRule="auto"/>
        <w:ind w:left="22" w:firstLine="555"/>
        <w:jc w:val="left"/>
        <w:rPr>
          <w:color w:val="auto"/>
          <w:sz w:val="24"/>
          <w:szCs w:val="24"/>
        </w:rPr>
      </w:pPr>
      <w:r>
        <w:rPr>
          <w:rFonts w:hint="eastAsia"/>
          <w:color w:val="auto"/>
          <w:sz w:val="24"/>
          <w:szCs w:val="24"/>
        </w:rPr>
        <w:t xml:space="preserve"> “2.4标段（包）内容（具体范围、数量），具体技术要求”列示的参数、规格为区</w:t>
      </w:r>
      <w:r>
        <w:rPr>
          <w:color w:val="auto"/>
          <w:sz w:val="24"/>
          <w:szCs w:val="24"/>
        </w:rPr>
        <w:t>间性描述的，</w:t>
      </w:r>
      <w:r>
        <w:rPr>
          <w:rFonts w:hint="eastAsia"/>
          <w:color w:val="auto"/>
          <w:sz w:val="24"/>
          <w:szCs w:val="24"/>
        </w:rPr>
        <w:t>投</w:t>
      </w:r>
      <w:r>
        <w:rPr>
          <w:color w:val="auto"/>
          <w:sz w:val="24"/>
          <w:szCs w:val="24"/>
        </w:rPr>
        <w:t>标产品</w:t>
      </w:r>
      <w:r>
        <w:rPr>
          <w:rFonts w:hint="eastAsia"/>
          <w:color w:val="auto"/>
          <w:sz w:val="24"/>
          <w:szCs w:val="24"/>
        </w:rPr>
        <w:t>参数规格</w:t>
      </w:r>
      <w:r>
        <w:rPr>
          <w:color w:val="auto"/>
          <w:sz w:val="24"/>
          <w:szCs w:val="24"/>
        </w:rPr>
        <w:t>在此区间内的</w:t>
      </w:r>
      <w:r>
        <w:rPr>
          <w:rFonts w:hint="eastAsia"/>
          <w:color w:val="auto"/>
          <w:sz w:val="24"/>
          <w:szCs w:val="24"/>
        </w:rPr>
        <w:t>、则</w:t>
      </w:r>
      <w:r>
        <w:rPr>
          <w:color w:val="auto"/>
          <w:sz w:val="24"/>
          <w:szCs w:val="24"/>
        </w:rPr>
        <w:t>显见的为</w:t>
      </w:r>
      <w:r>
        <w:rPr>
          <w:rFonts w:hint="eastAsia"/>
          <w:color w:val="auto"/>
          <w:sz w:val="24"/>
          <w:szCs w:val="24"/>
        </w:rPr>
        <w:t>符</w:t>
      </w:r>
      <w:r>
        <w:rPr>
          <w:color w:val="auto"/>
          <w:sz w:val="24"/>
          <w:szCs w:val="24"/>
        </w:rPr>
        <w:t>合</w:t>
      </w:r>
      <w:r>
        <w:rPr>
          <w:rFonts w:hint="eastAsia"/>
          <w:color w:val="auto"/>
          <w:sz w:val="24"/>
          <w:szCs w:val="24"/>
        </w:rPr>
        <w:t>“2.4标段（包）内容（具体范围、数量），具体技术要求”。</w:t>
      </w:r>
    </w:p>
    <w:p>
      <w:pPr>
        <w:widowControl w:val="0"/>
        <w:adjustRightInd w:val="0"/>
        <w:snapToGrid w:val="0"/>
        <w:spacing w:beforeLines="50" w:line="300" w:lineRule="auto"/>
        <w:ind w:left="22" w:firstLine="555"/>
        <w:jc w:val="left"/>
        <w:rPr>
          <w:color w:val="auto"/>
          <w:sz w:val="24"/>
          <w:szCs w:val="24"/>
        </w:rPr>
      </w:pPr>
      <w:r>
        <w:rPr>
          <w:color w:val="auto"/>
          <w:sz w:val="24"/>
          <w:szCs w:val="24"/>
        </w:rPr>
        <w:t>如</w:t>
      </w:r>
      <w:r>
        <w:rPr>
          <w:rFonts w:hint="eastAsia"/>
          <w:color w:val="auto"/>
          <w:sz w:val="24"/>
          <w:szCs w:val="24"/>
        </w:rPr>
        <w:t>“2.4标段（包）内容（具体范围、数量），具体技术要求”中列示有品牌</w:t>
      </w:r>
      <w:r>
        <w:rPr>
          <w:color w:val="auto"/>
          <w:sz w:val="24"/>
          <w:szCs w:val="24"/>
        </w:rPr>
        <w:t>、</w:t>
      </w:r>
      <w:r>
        <w:rPr>
          <w:rFonts w:hint="eastAsia"/>
          <w:color w:val="auto"/>
          <w:sz w:val="24"/>
          <w:szCs w:val="24"/>
        </w:rPr>
        <w:t>型号、生</w:t>
      </w:r>
      <w:r>
        <w:rPr>
          <w:color w:val="auto"/>
          <w:sz w:val="24"/>
          <w:szCs w:val="24"/>
        </w:rPr>
        <w:t>产供应商名称</w:t>
      </w:r>
      <w:r>
        <w:rPr>
          <w:rFonts w:hint="eastAsia"/>
          <w:color w:val="auto"/>
          <w:sz w:val="24"/>
          <w:szCs w:val="24"/>
        </w:rPr>
        <w:t>、</w:t>
      </w:r>
      <w:r>
        <w:rPr>
          <w:color w:val="auto"/>
          <w:sz w:val="24"/>
          <w:szCs w:val="24"/>
        </w:rPr>
        <w:t>专利、商标</w:t>
      </w:r>
      <w:r>
        <w:rPr>
          <w:rFonts w:hint="eastAsia"/>
          <w:color w:val="auto"/>
          <w:sz w:val="24"/>
          <w:szCs w:val="24"/>
        </w:rPr>
        <w:t>的</w:t>
      </w:r>
      <w:r>
        <w:rPr>
          <w:color w:val="auto"/>
          <w:sz w:val="24"/>
          <w:szCs w:val="24"/>
        </w:rPr>
        <w:t>，</w:t>
      </w:r>
      <w:r>
        <w:rPr>
          <w:rFonts w:hint="eastAsia"/>
          <w:color w:val="auto"/>
          <w:sz w:val="24"/>
          <w:szCs w:val="24"/>
        </w:rPr>
        <w:t>圴为“参</w:t>
      </w:r>
      <w:r>
        <w:rPr>
          <w:color w:val="auto"/>
          <w:sz w:val="24"/>
          <w:szCs w:val="24"/>
        </w:rPr>
        <w:t>照或相当于</w:t>
      </w:r>
      <w:r>
        <w:rPr>
          <w:rFonts w:hint="eastAsia"/>
          <w:color w:val="auto"/>
          <w:sz w:val="24"/>
          <w:szCs w:val="24"/>
        </w:rPr>
        <w:t>”的</w:t>
      </w:r>
      <w:r>
        <w:rPr>
          <w:color w:val="auto"/>
          <w:sz w:val="24"/>
          <w:szCs w:val="24"/>
        </w:rPr>
        <w:t>技术标准</w:t>
      </w:r>
      <w:r>
        <w:rPr>
          <w:rFonts w:hint="eastAsia"/>
          <w:color w:val="auto"/>
          <w:sz w:val="24"/>
          <w:szCs w:val="24"/>
        </w:rPr>
        <w:t>，投标人可提供等于或优于的其他产品（其他</w:t>
      </w:r>
      <w:r>
        <w:rPr>
          <w:color w:val="auto"/>
          <w:sz w:val="24"/>
          <w:szCs w:val="24"/>
        </w:rPr>
        <w:t>的</w:t>
      </w:r>
      <w:r>
        <w:rPr>
          <w:rFonts w:hint="eastAsia"/>
          <w:color w:val="auto"/>
          <w:sz w:val="24"/>
          <w:szCs w:val="24"/>
        </w:rPr>
        <w:t>品牌、型号、生产供应商、专利、商标</w:t>
      </w:r>
      <w:r>
        <w:rPr>
          <w:color w:val="auto"/>
          <w:sz w:val="24"/>
          <w:szCs w:val="24"/>
        </w:rPr>
        <w:t>）</w:t>
      </w:r>
      <w:r>
        <w:rPr>
          <w:rFonts w:hint="eastAsia"/>
          <w:color w:val="auto"/>
          <w:sz w:val="24"/>
          <w:szCs w:val="24"/>
        </w:rPr>
        <w:t>；投标人应提供相关证明材料（如权威评测资料、及印刷品产品说明书或印刷品图册等）以供评标委员会评审投标产品是否等于或优于“2.4标段（包）内容（具体范围、数量），具体技术要求”、从而评定投标产品是否满足“2.4标段（包）内容（具体范围、数量），具体技术要求”。</w:t>
      </w:r>
    </w:p>
    <w:p>
      <w:pPr>
        <w:widowControl w:val="0"/>
        <w:adjustRightInd w:val="0"/>
        <w:snapToGrid w:val="0"/>
        <w:spacing w:beforeLines="50" w:line="300" w:lineRule="auto"/>
        <w:ind w:firstLine="540"/>
        <w:rPr>
          <w:color w:val="auto"/>
          <w:sz w:val="24"/>
          <w:szCs w:val="24"/>
        </w:rPr>
      </w:pPr>
      <w:r>
        <w:rPr>
          <w:color w:val="auto"/>
          <w:sz w:val="24"/>
          <w:szCs w:val="24"/>
        </w:rPr>
        <w:t>2.</w:t>
      </w:r>
      <w:r>
        <w:rPr>
          <w:rFonts w:hint="eastAsia"/>
          <w:color w:val="auto"/>
          <w:sz w:val="24"/>
          <w:szCs w:val="24"/>
        </w:rPr>
        <w:t>7</w:t>
      </w:r>
      <w:r>
        <w:rPr>
          <w:color w:val="auto"/>
          <w:sz w:val="24"/>
          <w:szCs w:val="24"/>
        </w:rPr>
        <w:t>.2</w:t>
      </w:r>
      <w:r>
        <w:rPr>
          <w:rFonts w:hint="eastAsia"/>
          <w:color w:val="auto"/>
          <w:sz w:val="24"/>
          <w:szCs w:val="24"/>
        </w:rPr>
        <w:t>“2.4标段（包）内容（具体范围、数量），具体技术要求”中带单星号（★）为的为重要性的技术参数指标，未标注符号的为一般性的技术参数指标，如有“负偏离”的，评标委员会将按照第四章评分因素--技术项要求进行扣分。</w:t>
      </w:r>
    </w:p>
    <w:p>
      <w:pPr>
        <w:widowControl w:val="0"/>
        <w:adjustRightInd w:val="0"/>
        <w:snapToGrid w:val="0"/>
        <w:spacing w:beforeLines="50" w:line="300" w:lineRule="auto"/>
        <w:ind w:left="22" w:firstLine="555"/>
        <w:jc w:val="left"/>
        <w:rPr>
          <w:color w:val="auto"/>
          <w:sz w:val="24"/>
          <w:szCs w:val="24"/>
        </w:rPr>
      </w:pPr>
      <w:r>
        <w:rPr>
          <w:color w:val="auto"/>
          <w:sz w:val="24"/>
          <w:szCs w:val="24"/>
        </w:rPr>
        <w:t>2.</w:t>
      </w:r>
      <w:r>
        <w:rPr>
          <w:rFonts w:hint="eastAsia"/>
          <w:color w:val="auto"/>
          <w:sz w:val="24"/>
          <w:szCs w:val="24"/>
        </w:rPr>
        <w:t>7</w:t>
      </w:r>
      <w:r>
        <w:rPr>
          <w:color w:val="auto"/>
          <w:sz w:val="24"/>
          <w:szCs w:val="24"/>
        </w:rPr>
        <w:t>.</w:t>
      </w:r>
      <w:r>
        <w:rPr>
          <w:rFonts w:hint="eastAsia"/>
          <w:color w:val="auto"/>
          <w:sz w:val="24"/>
          <w:szCs w:val="24"/>
        </w:rPr>
        <w:t>3</w:t>
      </w:r>
      <w:r>
        <w:rPr>
          <w:color w:val="auto"/>
          <w:sz w:val="24"/>
          <w:szCs w:val="24"/>
        </w:rPr>
        <w:t xml:space="preserve"> </w:t>
      </w:r>
      <w:r>
        <w:rPr>
          <w:rFonts w:hint="eastAsia"/>
          <w:color w:val="auto"/>
          <w:sz w:val="24"/>
          <w:szCs w:val="24"/>
        </w:rPr>
        <w:t>除招标文件“2.4标段（包）内容（具体范围、数量），具体技术要求”有明确说明外，投标人所投标的各项设备均应为该设备的标准配置、不应改变或调换厂家的出厂标准配置；如确因市场因素无法按上述规格产品进行投标，应提供优于“2.4标段（包）内容（具体范围、数量），具体技术要求”的同类产品进行投标，投标人应提供印刷品产品说明书或印刷品图册等予以佐证（电子档）。</w:t>
      </w:r>
    </w:p>
    <w:p>
      <w:pPr>
        <w:widowControl w:val="0"/>
        <w:adjustRightInd w:val="0"/>
        <w:snapToGrid w:val="0"/>
        <w:spacing w:beforeLines="50" w:line="300" w:lineRule="auto"/>
        <w:ind w:firstLine="540"/>
        <w:rPr>
          <w:color w:val="auto"/>
          <w:sz w:val="24"/>
          <w:szCs w:val="24"/>
        </w:rPr>
      </w:pPr>
      <w:r>
        <w:rPr>
          <w:color w:val="auto"/>
          <w:sz w:val="24"/>
          <w:szCs w:val="24"/>
        </w:rPr>
        <w:t>2.</w:t>
      </w:r>
      <w:r>
        <w:rPr>
          <w:rFonts w:hint="eastAsia"/>
          <w:color w:val="auto"/>
          <w:sz w:val="24"/>
          <w:szCs w:val="24"/>
        </w:rPr>
        <w:t>7</w:t>
      </w:r>
      <w:r>
        <w:rPr>
          <w:color w:val="auto"/>
          <w:sz w:val="24"/>
          <w:szCs w:val="24"/>
        </w:rPr>
        <w:t>.</w:t>
      </w:r>
      <w:r>
        <w:rPr>
          <w:rFonts w:hint="eastAsia"/>
          <w:color w:val="auto"/>
          <w:sz w:val="24"/>
          <w:szCs w:val="24"/>
        </w:rPr>
        <w:t>4投标文件对技术偏差的描述要求：见第三章投标人须知</w:t>
      </w:r>
      <w:r>
        <w:rPr>
          <w:color w:val="auto"/>
          <w:sz w:val="24"/>
          <w:szCs w:val="24"/>
        </w:rPr>
        <w:t>3.7.3</w:t>
      </w:r>
      <w:r>
        <w:rPr>
          <w:rFonts w:hint="eastAsia"/>
          <w:color w:val="auto"/>
          <w:sz w:val="24"/>
          <w:szCs w:val="24"/>
        </w:rPr>
        <w:t>项。</w:t>
      </w:r>
    </w:p>
    <w:p>
      <w:pPr>
        <w:widowControl w:val="0"/>
        <w:adjustRightInd w:val="0"/>
        <w:snapToGrid w:val="0"/>
        <w:spacing w:beforeLines="50" w:line="300" w:lineRule="auto"/>
        <w:ind w:firstLine="555"/>
        <w:rPr>
          <w:color w:val="auto"/>
          <w:sz w:val="24"/>
          <w:szCs w:val="24"/>
        </w:rPr>
      </w:pPr>
    </w:p>
    <w:p>
      <w:pPr>
        <w:adjustRightInd w:val="0"/>
        <w:snapToGrid w:val="0"/>
        <w:spacing w:line="300" w:lineRule="auto"/>
        <w:ind w:firstLine="566" w:firstLineChars="235"/>
        <w:jc w:val="left"/>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8</w:t>
      </w:r>
      <w:r>
        <w:rPr>
          <w:rFonts w:ascii="黑体" w:hAnsi="黑体" w:eastAsia="黑体"/>
          <w:b/>
          <w:color w:val="auto"/>
          <w:sz w:val="24"/>
          <w:szCs w:val="24"/>
        </w:rPr>
        <w:t xml:space="preserve"> </w:t>
      </w:r>
      <w:r>
        <w:rPr>
          <w:rFonts w:hint="eastAsia" w:ascii="黑体" w:hAnsi="黑体" w:eastAsia="黑体"/>
          <w:b/>
          <w:color w:val="auto"/>
          <w:sz w:val="24"/>
          <w:szCs w:val="24"/>
        </w:rPr>
        <w:t>售后服务（采购标的需满足的服务标准、期限、效率等要求）</w:t>
      </w:r>
    </w:p>
    <w:p>
      <w:pPr>
        <w:widowControl w:val="0"/>
        <w:adjustRightInd w:val="0"/>
        <w:snapToGrid w:val="0"/>
        <w:spacing w:beforeLines="50" w:line="300" w:lineRule="auto"/>
        <w:ind w:firstLine="538"/>
        <w:rPr>
          <w:color w:val="auto"/>
          <w:sz w:val="24"/>
          <w:szCs w:val="24"/>
        </w:rPr>
      </w:pPr>
      <w:r>
        <w:rPr>
          <w:color w:val="auto"/>
          <w:sz w:val="24"/>
          <w:szCs w:val="24"/>
        </w:rPr>
        <w:t>2.</w:t>
      </w:r>
      <w:r>
        <w:rPr>
          <w:rFonts w:hint="eastAsia"/>
          <w:color w:val="auto"/>
          <w:sz w:val="24"/>
          <w:szCs w:val="24"/>
        </w:rPr>
        <w:t>8</w:t>
      </w:r>
      <w:r>
        <w:rPr>
          <w:color w:val="auto"/>
          <w:sz w:val="24"/>
          <w:szCs w:val="24"/>
        </w:rPr>
        <w:t>.1</w:t>
      </w:r>
      <w:r>
        <w:rPr>
          <w:rFonts w:hint="eastAsia"/>
          <w:color w:val="auto"/>
          <w:sz w:val="24"/>
          <w:szCs w:val="24"/>
        </w:rPr>
        <w:t>货物的保修除按国家有关规定、各产品生产厂家规定及项目特殊要求处理外，还应满足下述条款：</w:t>
      </w:r>
    </w:p>
    <w:p>
      <w:pPr>
        <w:widowControl w:val="0"/>
        <w:adjustRightInd w:val="0"/>
        <w:snapToGrid w:val="0"/>
        <w:spacing w:beforeLines="50" w:line="300" w:lineRule="auto"/>
        <w:ind w:firstLine="538"/>
        <w:rPr>
          <w:color w:val="auto"/>
          <w:sz w:val="24"/>
          <w:szCs w:val="24"/>
        </w:rPr>
      </w:pPr>
      <w:r>
        <w:rPr>
          <w:rFonts w:hint="eastAsia"/>
          <w:color w:val="auto"/>
          <w:sz w:val="24"/>
          <w:szCs w:val="24"/>
        </w:rPr>
        <w:t>（</w:t>
      </w:r>
      <w:r>
        <w:rPr>
          <w:color w:val="auto"/>
          <w:sz w:val="24"/>
          <w:szCs w:val="24"/>
        </w:rPr>
        <w:t>1</w:t>
      </w:r>
      <w:r>
        <w:rPr>
          <w:rFonts w:hint="eastAsia"/>
          <w:color w:val="auto"/>
          <w:sz w:val="24"/>
          <w:szCs w:val="24"/>
        </w:rPr>
        <w:t>）招标文件中未明确列明保修条款的设备，均需提供至少一年的免费保修；国家规定或产品生产厂家规定大于一年的，按国家规定与厂家规定最有利于采购人原则执行；招标文件已明确列明大于一年保修的，按该条款及其响应执行，并终身维护；</w:t>
      </w:r>
    </w:p>
    <w:p>
      <w:pPr>
        <w:widowControl w:val="0"/>
        <w:adjustRightInd w:val="0"/>
        <w:snapToGrid w:val="0"/>
        <w:spacing w:beforeLines="50" w:line="300" w:lineRule="auto"/>
        <w:ind w:left="22" w:firstLine="538"/>
        <w:rPr>
          <w:color w:val="auto"/>
          <w:sz w:val="24"/>
          <w:szCs w:val="24"/>
        </w:rPr>
      </w:pPr>
      <w:r>
        <w:rPr>
          <w:rFonts w:hint="eastAsia"/>
          <w:color w:val="auto"/>
          <w:sz w:val="24"/>
          <w:szCs w:val="24"/>
        </w:rPr>
        <w:t>（</w:t>
      </w:r>
      <w:r>
        <w:rPr>
          <w:color w:val="auto"/>
          <w:sz w:val="24"/>
          <w:szCs w:val="24"/>
        </w:rPr>
        <w:t>2</w:t>
      </w:r>
      <w:r>
        <w:rPr>
          <w:rFonts w:hint="eastAsia"/>
          <w:color w:val="auto"/>
          <w:sz w:val="24"/>
          <w:szCs w:val="24"/>
        </w:rPr>
        <w:t>）保修期内货物发生故障系货物出现质量问题，必须无偿更换；</w:t>
      </w:r>
    </w:p>
    <w:p>
      <w:pPr>
        <w:widowControl w:val="0"/>
        <w:adjustRightInd w:val="0"/>
        <w:snapToGrid w:val="0"/>
        <w:spacing w:beforeLines="50" w:line="300" w:lineRule="auto"/>
        <w:ind w:firstLine="538"/>
        <w:rPr>
          <w:color w:val="auto"/>
          <w:sz w:val="24"/>
          <w:szCs w:val="24"/>
        </w:rPr>
      </w:pPr>
      <w:r>
        <w:rPr>
          <w:rFonts w:hint="eastAsia"/>
          <w:color w:val="auto"/>
          <w:sz w:val="24"/>
          <w:szCs w:val="24"/>
        </w:rPr>
        <w:t>（</w:t>
      </w:r>
      <w:r>
        <w:rPr>
          <w:color w:val="auto"/>
          <w:sz w:val="24"/>
          <w:szCs w:val="24"/>
        </w:rPr>
        <w:t>3</w:t>
      </w:r>
      <w:r>
        <w:rPr>
          <w:rFonts w:hint="eastAsia"/>
          <w:color w:val="auto"/>
          <w:sz w:val="24"/>
          <w:szCs w:val="24"/>
        </w:rPr>
        <w:t>）货物超过保修期发生故障，采购人可自由选择维修单位，如委托给中标人，中标人不得借故推诿，且维修费优于市场价格；</w:t>
      </w:r>
    </w:p>
    <w:p>
      <w:pPr>
        <w:widowControl w:val="0"/>
        <w:adjustRightInd w:val="0"/>
        <w:snapToGrid w:val="0"/>
        <w:spacing w:beforeLines="50" w:line="300" w:lineRule="auto"/>
        <w:ind w:firstLine="538"/>
        <w:rPr>
          <w:color w:val="auto"/>
          <w:sz w:val="24"/>
          <w:szCs w:val="24"/>
        </w:rPr>
      </w:pPr>
      <w:r>
        <w:rPr>
          <w:rFonts w:hint="eastAsia"/>
          <w:color w:val="auto"/>
          <w:sz w:val="24"/>
          <w:szCs w:val="24"/>
        </w:rPr>
        <w:t>（</w:t>
      </w:r>
      <w:r>
        <w:rPr>
          <w:color w:val="auto"/>
          <w:sz w:val="24"/>
          <w:szCs w:val="24"/>
        </w:rPr>
        <w:t>4</w:t>
      </w:r>
      <w:r>
        <w:rPr>
          <w:rFonts w:hint="eastAsia"/>
          <w:color w:val="auto"/>
          <w:sz w:val="24"/>
          <w:szCs w:val="24"/>
        </w:rPr>
        <w:t>）如货物发生故障，接到通知后需尽快做出响应，并在</w:t>
      </w:r>
      <w:r>
        <w:rPr>
          <w:color w:val="auto"/>
          <w:sz w:val="24"/>
          <w:szCs w:val="24"/>
        </w:rPr>
        <w:t>24</w:t>
      </w:r>
      <w:r>
        <w:rPr>
          <w:rFonts w:hint="eastAsia"/>
          <w:color w:val="auto"/>
          <w:sz w:val="24"/>
          <w:szCs w:val="24"/>
        </w:rPr>
        <w:t>小时内及时赶到现场，负责故障原因的诊断，尽快排除故障。</w:t>
      </w:r>
    </w:p>
    <w:p>
      <w:pPr>
        <w:widowControl w:val="0"/>
        <w:adjustRightInd w:val="0"/>
        <w:snapToGrid w:val="0"/>
        <w:spacing w:beforeLines="50" w:line="300" w:lineRule="auto"/>
        <w:ind w:firstLine="538"/>
        <w:rPr>
          <w:color w:val="auto"/>
          <w:sz w:val="24"/>
          <w:szCs w:val="24"/>
        </w:rPr>
      </w:pPr>
      <w:r>
        <w:rPr>
          <w:color w:val="auto"/>
          <w:sz w:val="24"/>
          <w:szCs w:val="24"/>
        </w:rPr>
        <w:t>2.</w:t>
      </w:r>
      <w:r>
        <w:rPr>
          <w:rFonts w:hint="eastAsia"/>
          <w:color w:val="auto"/>
          <w:sz w:val="24"/>
          <w:szCs w:val="24"/>
        </w:rPr>
        <w:t>8</w:t>
      </w:r>
      <w:r>
        <w:rPr>
          <w:color w:val="auto"/>
          <w:sz w:val="24"/>
          <w:szCs w:val="24"/>
        </w:rPr>
        <w:t xml:space="preserve">.2 </w:t>
      </w:r>
      <w:r>
        <w:rPr>
          <w:rFonts w:hint="eastAsia"/>
          <w:color w:val="auto"/>
          <w:sz w:val="24"/>
          <w:szCs w:val="24"/>
        </w:rPr>
        <w:t>在中标人未按照合同规定的地点交验前，货物毁坏或灭失，由中标人承担责任。</w:t>
      </w:r>
    </w:p>
    <w:p>
      <w:pPr>
        <w:widowControl w:val="0"/>
        <w:adjustRightInd w:val="0"/>
        <w:snapToGrid w:val="0"/>
        <w:spacing w:beforeLines="50" w:line="300" w:lineRule="auto"/>
        <w:ind w:firstLine="538"/>
        <w:rPr>
          <w:color w:val="auto"/>
        </w:rPr>
      </w:pPr>
      <w:r>
        <w:rPr>
          <w:color w:val="auto"/>
          <w:sz w:val="24"/>
          <w:szCs w:val="24"/>
        </w:rPr>
        <w:t>2.</w:t>
      </w:r>
      <w:r>
        <w:rPr>
          <w:rFonts w:hint="eastAsia"/>
          <w:color w:val="auto"/>
          <w:sz w:val="24"/>
          <w:szCs w:val="24"/>
        </w:rPr>
        <w:t>8</w:t>
      </w:r>
      <w:r>
        <w:rPr>
          <w:color w:val="auto"/>
          <w:sz w:val="24"/>
          <w:szCs w:val="24"/>
        </w:rPr>
        <w:t>.3</w:t>
      </w:r>
      <w:r>
        <w:rPr>
          <w:rFonts w:hint="eastAsia" w:ascii="宋体" w:hAnsi="宋体"/>
          <w:color w:val="auto"/>
          <w:sz w:val="24"/>
          <w:szCs w:val="24"/>
        </w:rPr>
        <w:t>投标人需提供详尽的售后服务承诺；如由产品生产厂家提供相关售后服务的，投标人负有连带售后服</w:t>
      </w:r>
      <w:r>
        <w:rPr>
          <w:rFonts w:hint="eastAsia"/>
          <w:color w:val="auto"/>
          <w:sz w:val="24"/>
          <w:szCs w:val="24"/>
        </w:rPr>
        <w:t>务责任。</w:t>
      </w:r>
    </w:p>
    <w:p>
      <w:pPr>
        <w:adjustRightInd w:val="0"/>
        <w:snapToGrid w:val="0"/>
        <w:spacing w:line="300" w:lineRule="auto"/>
        <w:ind w:firstLine="566" w:firstLineChars="235"/>
        <w:jc w:val="left"/>
        <w:rPr>
          <w:rFonts w:ascii="黑体" w:hAnsi="黑体" w:eastAsia="黑体"/>
          <w:b/>
          <w:color w:val="auto"/>
          <w:sz w:val="24"/>
          <w:szCs w:val="24"/>
        </w:rPr>
      </w:pPr>
    </w:p>
    <w:p>
      <w:pPr>
        <w:adjustRightInd w:val="0"/>
        <w:snapToGrid w:val="0"/>
        <w:spacing w:line="300" w:lineRule="auto"/>
        <w:ind w:firstLine="566" w:firstLineChars="235"/>
        <w:jc w:val="left"/>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9保险、货物包装</w:t>
      </w:r>
    </w:p>
    <w:p>
      <w:pPr>
        <w:adjustRightInd w:val="0"/>
        <w:snapToGrid w:val="0"/>
        <w:spacing w:line="300" w:lineRule="auto"/>
        <w:ind w:firstLine="564" w:firstLineChars="235"/>
        <w:jc w:val="left"/>
        <w:rPr>
          <w:color w:val="auto"/>
          <w:sz w:val="24"/>
          <w:szCs w:val="24"/>
        </w:rPr>
      </w:pPr>
      <w:r>
        <w:rPr>
          <w:rFonts w:hint="eastAsia"/>
          <w:color w:val="auto"/>
          <w:sz w:val="24"/>
          <w:szCs w:val="24"/>
        </w:rPr>
        <w:t>2.9.1保险（如需）：</w:t>
      </w:r>
    </w:p>
    <w:p>
      <w:pPr>
        <w:adjustRightInd w:val="0"/>
        <w:snapToGrid w:val="0"/>
        <w:spacing w:line="300" w:lineRule="auto"/>
        <w:ind w:firstLine="564" w:firstLineChars="235"/>
        <w:jc w:val="left"/>
        <w:rPr>
          <w:color w:val="auto"/>
          <w:sz w:val="24"/>
          <w:szCs w:val="24"/>
        </w:rPr>
      </w:pPr>
      <w:r>
        <w:rPr>
          <w:rFonts w:hint="eastAsia"/>
          <w:color w:val="auto"/>
          <w:sz w:val="24"/>
          <w:szCs w:val="24"/>
        </w:rPr>
        <w:t>投标人应遵循国家相关保险的规定，依法办理采购需求范围内的相关法定保险，相关保险费用及相应责任由中标人承担。</w:t>
      </w:r>
    </w:p>
    <w:p>
      <w:pPr>
        <w:adjustRightInd w:val="0"/>
        <w:snapToGrid w:val="0"/>
        <w:spacing w:line="300" w:lineRule="auto"/>
        <w:ind w:firstLine="564" w:firstLineChars="235"/>
        <w:jc w:val="left"/>
        <w:rPr>
          <w:color w:val="auto"/>
          <w:sz w:val="24"/>
          <w:szCs w:val="24"/>
        </w:rPr>
      </w:pPr>
      <w:r>
        <w:rPr>
          <w:rFonts w:hint="eastAsia"/>
          <w:color w:val="auto"/>
          <w:sz w:val="24"/>
          <w:szCs w:val="24"/>
        </w:rPr>
        <w:t>在中标人未按照合同规定的地点交验前，货物毁坏或灭失，人身、安全责任，均由中标人承担责任。投标人可以按照最有利于项目风险控制的原则，为项目办理货物、人身及第三方公众责任险。</w:t>
      </w:r>
    </w:p>
    <w:p>
      <w:pPr>
        <w:adjustRightInd w:val="0"/>
        <w:snapToGrid w:val="0"/>
        <w:spacing w:line="300" w:lineRule="auto"/>
        <w:ind w:firstLine="564" w:firstLineChars="235"/>
        <w:jc w:val="left"/>
        <w:rPr>
          <w:color w:val="auto"/>
          <w:sz w:val="24"/>
          <w:szCs w:val="24"/>
        </w:rPr>
      </w:pPr>
      <w:r>
        <w:rPr>
          <w:rFonts w:hint="eastAsia"/>
          <w:color w:val="auto"/>
          <w:sz w:val="24"/>
          <w:szCs w:val="24"/>
        </w:rPr>
        <w:t>2.9.2货物包装：</w:t>
      </w:r>
    </w:p>
    <w:p>
      <w:pPr>
        <w:adjustRightInd w:val="0"/>
        <w:snapToGrid w:val="0"/>
        <w:spacing w:line="300" w:lineRule="auto"/>
        <w:ind w:firstLine="564" w:firstLineChars="235"/>
        <w:jc w:val="left"/>
        <w:rPr>
          <w:color w:val="auto"/>
          <w:sz w:val="24"/>
          <w:szCs w:val="24"/>
        </w:rPr>
      </w:pPr>
      <w:r>
        <w:rPr>
          <w:rFonts w:hint="eastAsia"/>
          <w:color w:val="auto"/>
          <w:sz w:val="24"/>
          <w:szCs w:val="24"/>
        </w:rPr>
        <w:t>中标人负责按国家相关标准进行货物包装，设备的包装均应有良好的防湿、防锈、防潮、防雨、防腐及防碰撞的措施，凡由于包装不良造成的损失和由此产生的费用均由中标人承担。</w:t>
      </w:r>
    </w:p>
    <w:p>
      <w:pPr>
        <w:adjustRightInd w:val="0"/>
        <w:snapToGrid w:val="0"/>
        <w:spacing w:line="300" w:lineRule="auto"/>
        <w:ind w:firstLine="566" w:firstLineChars="235"/>
        <w:jc w:val="left"/>
        <w:rPr>
          <w:rFonts w:ascii="黑体" w:hAnsi="黑体" w:eastAsia="黑体"/>
          <w:b/>
          <w:color w:val="auto"/>
          <w:sz w:val="24"/>
          <w:szCs w:val="24"/>
        </w:rPr>
      </w:pPr>
    </w:p>
    <w:p>
      <w:pPr>
        <w:adjustRightInd w:val="0"/>
        <w:snapToGrid w:val="0"/>
        <w:spacing w:line="300" w:lineRule="auto"/>
        <w:ind w:firstLine="566" w:firstLineChars="235"/>
        <w:jc w:val="left"/>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10采购标的的验收标准</w:t>
      </w:r>
    </w:p>
    <w:p>
      <w:pPr>
        <w:adjustRightInd w:val="0"/>
        <w:snapToGrid w:val="0"/>
        <w:spacing w:line="300" w:lineRule="auto"/>
        <w:ind w:firstLine="564" w:firstLineChars="235"/>
        <w:jc w:val="left"/>
        <w:rPr>
          <w:rFonts w:ascii="宋体" w:hAns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第</w:t>
      </w:r>
      <w:r>
        <w:rPr>
          <w:rFonts w:ascii="宋体" w:hAnsi="宋体" w:cs="楷体_GB2312"/>
          <w:color w:val="auto"/>
          <w:sz w:val="24"/>
          <w:lang w:val="zh-CN"/>
        </w:rPr>
        <w:t>8</w:t>
      </w:r>
      <w:r>
        <w:rPr>
          <w:rFonts w:hint="eastAsia" w:ascii="宋体" w:hAnsi="宋体" w:cs="楷体_GB2312"/>
          <w:color w:val="auto"/>
          <w:sz w:val="24"/>
          <w:lang w:val="zh-CN"/>
        </w:rPr>
        <w:t>条“验收”条款。</w:t>
      </w:r>
    </w:p>
    <w:p>
      <w:pPr>
        <w:adjustRightInd w:val="0"/>
        <w:snapToGrid w:val="0"/>
        <w:spacing w:line="300" w:lineRule="auto"/>
        <w:ind w:firstLine="566" w:firstLineChars="235"/>
        <w:jc w:val="left"/>
        <w:rPr>
          <w:rFonts w:ascii="黑体" w:hAnsi="黑体" w:eastAsia="黑体"/>
          <w:b/>
          <w:color w:val="auto"/>
          <w:sz w:val="24"/>
          <w:szCs w:val="24"/>
        </w:rPr>
      </w:pPr>
    </w:p>
    <w:p>
      <w:pPr>
        <w:adjustRightInd w:val="0"/>
        <w:snapToGrid w:val="0"/>
        <w:spacing w:beforeLines="50" w:line="300" w:lineRule="auto"/>
        <w:ind w:firstLine="566" w:firstLineChars="235"/>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11采购标的的其他技术、服务等要求</w:t>
      </w:r>
    </w:p>
    <w:p>
      <w:pPr>
        <w:adjustRightInd w:val="0"/>
        <w:snapToGrid w:val="0"/>
        <w:spacing w:beforeLines="50" w:line="300" w:lineRule="auto"/>
        <w:ind w:firstLine="564" w:firstLineChars="235"/>
        <w:rPr>
          <w:color w:val="auto"/>
          <w:sz w:val="24"/>
          <w:szCs w:val="24"/>
        </w:rPr>
      </w:pPr>
      <w:r>
        <w:rPr>
          <w:rFonts w:hint="eastAsia"/>
          <w:color w:val="auto"/>
          <w:sz w:val="24"/>
          <w:szCs w:val="24"/>
        </w:rPr>
        <w:t>无</w:t>
      </w:r>
    </w:p>
    <w:p>
      <w:pPr>
        <w:adjustRightInd w:val="0"/>
        <w:snapToGrid w:val="0"/>
        <w:spacing w:beforeLines="50" w:line="300" w:lineRule="auto"/>
        <w:ind w:firstLine="482" w:firstLineChars="200"/>
        <w:rPr>
          <w:rFonts w:ascii="黑体" w:hAnsi="黑体" w:eastAsia="黑体"/>
          <w:b/>
          <w:color w:val="auto"/>
          <w:sz w:val="24"/>
          <w:szCs w:val="24"/>
        </w:rPr>
      </w:pPr>
    </w:p>
    <w:p>
      <w:pPr>
        <w:adjustRightInd w:val="0"/>
        <w:snapToGrid w:val="0"/>
        <w:spacing w:beforeLines="50" w:line="300" w:lineRule="auto"/>
        <w:ind w:firstLine="562" w:firstLineChars="200"/>
        <w:outlineLvl w:val="1"/>
        <w:rPr>
          <w:rFonts w:ascii="黑体" w:hAnsi="黑体" w:eastAsia="黑体"/>
          <w:b/>
          <w:color w:val="auto"/>
          <w:sz w:val="28"/>
        </w:rPr>
      </w:pPr>
      <w:bookmarkStart w:id="21" w:name="_Toc114740084"/>
      <w:r>
        <w:rPr>
          <w:rFonts w:ascii="黑体" w:hAnsi="黑体" w:eastAsia="黑体"/>
          <w:b/>
          <w:color w:val="auto"/>
          <w:sz w:val="28"/>
        </w:rPr>
        <w:t xml:space="preserve">3. </w:t>
      </w:r>
      <w:r>
        <w:rPr>
          <w:rFonts w:hint="eastAsia" w:ascii="黑体" w:hAnsi="黑体" w:eastAsia="黑体"/>
          <w:b/>
          <w:color w:val="auto"/>
          <w:sz w:val="28"/>
        </w:rPr>
        <w:t>项目其他要求</w:t>
      </w:r>
      <w:bookmarkEnd w:id="21"/>
    </w:p>
    <w:p>
      <w:pPr>
        <w:adjustRightInd w:val="0"/>
        <w:snapToGrid w:val="0"/>
        <w:spacing w:beforeLines="50" w:line="300" w:lineRule="auto"/>
        <w:ind w:firstLine="482" w:firstLineChars="200"/>
        <w:rPr>
          <w:rFonts w:ascii="黑体" w:hAnsi="黑体" w:eastAsia="黑体"/>
          <w:b/>
          <w:color w:val="auto"/>
          <w:sz w:val="24"/>
          <w:szCs w:val="24"/>
        </w:rPr>
      </w:pPr>
      <w:r>
        <w:rPr>
          <w:rFonts w:hint="eastAsia" w:ascii="黑体" w:hAnsi="黑体" w:eastAsia="黑体"/>
          <w:b/>
          <w:color w:val="auto"/>
          <w:sz w:val="24"/>
          <w:szCs w:val="24"/>
        </w:rPr>
        <w:t>无</w:t>
      </w:r>
    </w:p>
    <w:p>
      <w:pPr>
        <w:spacing w:line="360" w:lineRule="auto"/>
        <w:ind w:right="238"/>
        <w:jc w:val="center"/>
        <w:outlineLvl w:val="0"/>
        <w:rPr>
          <w:rFonts w:eastAsia="黑体"/>
          <w:b/>
          <w:color w:val="auto"/>
          <w:spacing w:val="36"/>
          <w:sz w:val="36"/>
          <w:szCs w:val="36"/>
        </w:rPr>
      </w:pPr>
    </w:p>
    <w:p>
      <w:pPr>
        <w:spacing w:line="360" w:lineRule="auto"/>
        <w:ind w:right="238"/>
        <w:jc w:val="center"/>
        <w:outlineLvl w:val="0"/>
        <w:rPr>
          <w:rFonts w:eastAsia="黑体"/>
          <w:b/>
          <w:color w:val="auto"/>
          <w:sz w:val="36"/>
          <w:szCs w:val="36"/>
        </w:rPr>
      </w:pPr>
      <w:r>
        <w:rPr>
          <w:rFonts w:eastAsia="黑体"/>
          <w:b/>
          <w:color w:val="auto"/>
          <w:sz w:val="36"/>
          <w:szCs w:val="36"/>
        </w:rPr>
        <w:br w:type="page"/>
      </w:r>
    </w:p>
    <w:p>
      <w:pPr>
        <w:spacing w:line="360" w:lineRule="auto"/>
        <w:ind w:right="238"/>
        <w:jc w:val="center"/>
        <w:outlineLvl w:val="0"/>
        <w:rPr>
          <w:rFonts w:eastAsia="黑体"/>
          <w:b/>
          <w:color w:val="auto"/>
          <w:sz w:val="36"/>
          <w:szCs w:val="36"/>
        </w:rPr>
      </w:pPr>
    </w:p>
    <w:p>
      <w:pPr>
        <w:spacing w:line="360" w:lineRule="auto"/>
        <w:ind w:right="238"/>
        <w:jc w:val="center"/>
        <w:outlineLvl w:val="0"/>
        <w:rPr>
          <w:rFonts w:eastAsia="黑体"/>
          <w:b/>
          <w:color w:val="auto"/>
          <w:sz w:val="36"/>
          <w:szCs w:val="36"/>
        </w:rPr>
      </w:pPr>
      <w:bookmarkStart w:id="22" w:name="_Toc114740085"/>
      <w:r>
        <w:rPr>
          <w:rFonts w:hint="eastAsia" w:eastAsia="黑体"/>
          <w:b/>
          <w:color w:val="auto"/>
          <w:sz w:val="36"/>
          <w:szCs w:val="36"/>
        </w:rPr>
        <w:t>第三章</w:t>
      </w:r>
      <w:r>
        <w:rPr>
          <w:rFonts w:eastAsia="黑体"/>
          <w:b/>
          <w:color w:val="auto"/>
          <w:sz w:val="36"/>
          <w:szCs w:val="36"/>
        </w:rPr>
        <w:t xml:space="preserve">  </w:t>
      </w:r>
      <w:r>
        <w:rPr>
          <w:rFonts w:hint="eastAsia" w:eastAsia="黑体"/>
          <w:b/>
          <w:color w:val="auto"/>
          <w:sz w:val="36"/>
          <w:szCs w:val="36"/>
        </w:rPr>
        <w:t>投标人须知</w:t>
      </w:r>
      <w:bookmarkEnd w:id="22"/>
    </w:p>
    <w:p>
      <w:pPr>
        <w:spacing w:line="360" w:lineRule="auto"/>
        <w:ind w:right="240"/>
        <w:jc w:val="center"/>
        <w:rPr>
          <w:rFonts w:eastAsia="黑体"/>
          <w:b/>
          <w:color w:val="auto"/>
          <w:spacing w:val="36"/>
          <w:sz w:val="36"/>
          <w:szCs w:val="36"/>
        </w:rPr>
      </w:pPr>
    </w:p>
    <w:p>
      <w:pPr>
        <w:spacing w:line="360" w:lineRule="auto"/>
        <w:ind w:right="238"/>
        <w:jc w:val="left"/>
        <w:outlineLvl w:val="1"/>
        <w:rPr>
          <w:rFonts w:eastAsia="黑体"/>
          <w:b/>
          <w:color w:val="auto"/>
          <w:sz w:val="28"/>
          <w:szCs w:val="28"/>
        </w:rPr>
      </w:pPr>
      <w:bookmarkStart w:id="23" w:name="_Toc114740086"/>
      <w:r>
        <w:rPr>
          <w:rFonts w:hint="eastAsia" w:eastAsia="黑体"/>
          <w:b/>
          <w:color w:val="auto"/>
          <w:sz w:val="28"/>
          <w:szCs w:val="28"/>
        </w:rPr>
        <w:t>投标人须知前附表</w:t>
      </w:r>
      <w:bookmarkEnd w:id="23"/>
    </w:p>
    <w:tbl>
      <w:tblPr>
        <w:tblStyle w:val="19"/>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699"/>
        <w:gridCol w:w="2386"/>
        <w:gridCol w:w="6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03" w:type="dxa"/>
          </w:tcPr>
          <w:p>
            <w:pPr>
              <w:autoSpaceDE w:val="0"/>
              <w:autoSpaceDN w:val="0"/>
              <w:adjustRightInd w:val="0"/>
              <w:spacing w:line="240" w:lineRule="auto"/>
              <w:rPr>
                <w:rFonts w:ascii="宋体" w:cs="楷体_GB2312"/>
                <w:b/>
                <w:bCs/>
                <w:color w:val="auto"/>
                <w:sz w:val="24"/>
                <w:lang w:val="zh-CN"/>
              </w:rPr>
            </w:pPr>
            <w:r>
              <w:rPr>
                <w:rFonts w:hint="eastAsia" w:ascii="宋体" w:hAnsi="宋体" w:cs="楷体_GB2312"/>
                <w:b/>
                <w:bCs/>
                <w:color w:val="auto"/>
                <w:sz w:val="24"/>
                <w:lang w:val="zh-CN"/>
              </w:rPr>
              <w:t>章节</w:t>
            </w:r>
          </w:p>
        </w:tc>
        <w:tc>
          <w:tcPr>
            <w:tcW w:w="699" w:type="dxa"/>
            <w:vAlign w:val="center"/>
          </w:tcPr>
          <w:p>
            <w:pPr>
              <w:autoSpaceDE w:val="0"/>
              <w:autoSpaceDN w:val="0"/>
              <w:adjustRightInd w:val="0"/>
              <w:spacing w:line="240" w:lineRule="auto"/>
              <w:rPr>
                <w:rFonts w:ascii="宋体" w:cs="楷体_GB2312"/>
                <w:b/>
                <w:bCs/>
                <w:color w:val="auto"/>
                <w:sz w:val="24"/>
                <w:lang w:val="zh-CN"/>
              </w:rPr>
            </w:pPr>
            <w:r>
              <w:rPr>
                <w:rFonts w:hint="eastAsia" w:ascii="宋体" w:hAnsi="宋体" w:cs="楷体_GB2312"/>
                <w:b/>
                <w:bCs/>
                <w:color w:val="auto"/>
                <w:sz w:val="24"/>
                <w:lang w:val="zh-CN"/>
              </w:rPr>
              <w:t>条款号</w:t>
            </w:r>
          </w:p>
        </w:tc>
        <w:tc>
          <w:tcPr>
            <w:tcW w:w="2386" w:type="dxa"/>
            <w:vAlign w:val="center"/>
          </w:tcPr>
          <w:p>
            <w:pPr>
              <w:autoSpaceDE w:val="0"/>
              <w:autoSpaceDN w:val="0"/>
              <w:adjustRightIn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条款名称</w:t>
            </w:r>
          </w:p>
        </w:tc>
        <w:tc>
          <w:tcPr>
            <w:tcW w:w="6165" w:type="dxa"/>
            <w:vAlign w:val="center"/>
          </w:tcPr>
          <w:p>
            <w:pPr>
              <w:autoSpaceDE w:val="0"/>
              <w:autoSpaceDN w:val="0"/>
              <w:adjustRightIn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3" w:type="dxa"/>
            <w:vMerge w:val="restart"/>
            <w:vAlign w:val="center"/>
          </w:tcPr>
          <w:p>
            <w:pPr>
              <w:autoSpaceDE w:val="0"/>
              <w:autoSpaceDN w:val="0"/>
              <w:adjustRightInd w:val="0"/>
              <w:snapToGrid w:val="0"/>
              <w:spacing w:line="240" w:lineRule="auto"/>
              <w:rPr>
                <w:rFonts w:ascii="宋体" w:cs="楷体_GB2312"/>
                <w:b/>
                <w:bCs/>
                <w:color w:val="auto"/>
                <w:sz w:val="24"/>
              </w:rPr>
            </w:pPr>
            <w:r>
              <w:rPr>
                <w:rFonts w:hint="eastAsia" w:ascii="宋体" w:hAnsi="宋体" w:cs="楷体_GB2312"/>
                <w:b/>
                <w:bCs/>
                <w:color w:val="auto"/>
                <w:sz w:val="24"/>
              </w:rPr>
              <w:t>第一章</w:t>
            </w:r>
          </w:p>
        </w:tc>
        <w:tc>
          <w:tcPr>
            <w:tcW w:w="699" w:type="dxa"/>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w:t>
            </w:r>
            <w:r>
              <w:rPr>
                <w:rFonts w:hint="eastAsia" w:ascii="宋体" w:hAnsi="宋体" w:cs="楷体_GB2312"/>
                <w:b/>
                <w:bCs/>
                <w:color w:val="auto"/>
                <w:szCs w:val="21"/>
              </w:rPr>
              <w:t>2</w:t>
            </w:r>
          </w:p>
        </w:tc>
        <w:tc>
          <w:tcPr>
            <w:tcW w:w="2386" w:type="dxa"/>
            <w:vAlign w:val="center"/>
          </w:tcPr>
          <w:p>
            <w:pPr>
              <w:autoSpaceDE w:val="0"/>
              <w:autoSpaceDN w:val="0"/>
              <w:adjustRightInd w:val="0"/>
              <w:snapToGrid w:val="0"/>
              <w:spacing w:line="240" w:lineRule="auto"/>
              <w:jc w:val="center"/>
              <w:rPr>
                <w:rFonts w:ascii="宋体" w:cs="楷体_GB2312"/>
                <w:color w:val="auto"/>
                <w:sz w:val="24"/>
                <w:lang w:val="zh-CN"/>
              </w:rPr>
            </w:pPr>
            <w:r>
              <w:rPr>
                <w:rFonts w:hint="eastAsia" w:ascii="宋体" w:hAnsi="宋体" w:cs="楷体_GB2312"/>
                <w:b/>
                <w:bCs/>
                <w:color w:val="auto"/>
                <w:sz w:val="24"/>
              </w:rPr>
              <w:t>招标项目名称</w:t>
            </w:r>
          </w:p>
        </w:tc>
        <w:tc>
          <w:tcPr>
            <w:tcW w:w="6165" w:type="dxa"/>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color w:val="auto"/>
                <w:sz w:val="24"/>
                <w:szCs w:val="24"/>
              </w:rPr>
              <w:t>见“第一章招标公告”相应条款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3" w:type="dxa"/>
            <w:vMerge w:val="continue"/>
            <w:vAlign w:val="center"/>
          </w:tcPr>
          <w:p>
            <w:pPr>
              <w:autoSpaceDE w:val="0"/>
              <w:autoSpaceDN w:val="0"/>
              <w:adjustRightInd w:val="0"/>
              <w:snapToGrid w:val="0"/>
              <w:spacing w:line="240" w:lineRule="auto"/>
              <w:rPr>
                <w:rFonts w:ascii="宋体" w:cs="楷体_GB2312"/>
                <w:b/>
                <w:bCs/>
                <w:color w:val="auto"/>
                <w:sz w:val="24"/>
              </w:rPr>
            </w:pPr>
          </w:p>
        </w:tc>
        <w:tc>
          <w:tcPr>
            <w:tcW w:w="699" w:type="dxa"/>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w:t>
            </w:r>
            <w:r>
              <w:rPr>
                <w:rFonts w:hint="eastAsia" w:ascii="宋体" w:hAnsi="宋体" w:cs="楷体_GB2312"/>
                <w:b/>
                <w:bCs/>
                <w:color w:val="auto"/>
                <w:szCs w:val="21"/>
              </w:rPr>
              <w:t>1</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项目编号</w:t>
            </w:r>
          </w:p>
        </w:tc>
        <w:tc>
          <w:tcPr>
            <w:tcW w:w="6165" w:type="dxa"/>
            <w:vAlign w:val="center"/>
          </w:tcPr>
          <w:p>
            <w:pPr>
              <w:autoSpaceDE w:val="0"/>
              <w:autoSpaceDN w:val="0"/>
              <w:adjustRightInd w:val="0"/>
              <w:snapToGrid w:val="0"/>
              <w:spacing w:beforeLines="50" w:line="240" w:lineRule="auto"/>
              <w:rPr>
                <w:color w:val="auto"/>
                <w:sz w:val="24"/>
                <w:szCs w:val="24"/>
              </w:rPr>
            </w:pPr>
            <w:r>
              <w:rPr>
                <w:rFonts w:hint="eastAsia"/>
                <w:color w:val="auto"/>
                <w:sz w:val="24"/>
                <w:szCs w:val="24"/>
              </w:rPr>
              <w:t>见“第一章招标公告”相应条款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3" w:type="dxa"/>
            <w:vMerge w:val="continue"/>
            <w:vAlign w:val="center"/>
          </w:tcPr>
          <w:p>
            <w:pPr>
              <w:autoSpaceDE w:val="0"/>
              <w:autoSpaceDN w:val="0"/>
              <w:adjustRightInd w:val="0"/>
              <w:snapToGrid w:val="0"/>
              <w:spacing w:line="240" w:lineRule="auto"/>
              <w:rPr>
                <w:rFonts w:ascii="宋体" w:cs="楷体_GB2312"/>
                <w:b/>
                <w:bCs/>
                <w:color w:val="auto"/>
                <w:sz w:val="24"/>
              </w:rPr>
            </w:pPr>
          </w:p>
        </w:tc>
        <w:tc>
          <w:tcPr>
            <w:tcW w:w="699" w:type="dxa"/>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1.3</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采购方式</w:t>
            </w:r>
          </w:p>
        </w:tc>
        <w:tc>
          <w:tcPr>
            <w:tcW w:w="6165" w:type="dxa"/>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color w:val="auto"/>
                <w:sz w:val="24"/>
                <w:szCs w:val="24"/>
              </w:rPr>
              <w:t>公开</w:t>
            </w:r>
            <w:r>
              <w:rPr>
                <w:color w:val="auto"/>
                <w:sz w:val="24"/>
                <w:szCs w:val="24"/>
              </w:rPr>
              <w:t>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w:t>
            </w:r>
            <w:r>
              <w:rPr>
                <w:rFonts w:hint="eastAsia" w:ascii="宋体" w:hAnsi="宋体" w:cs="楷体_GB2312"/>
                <w:b/>
                <w:bCs/>
                <w:color w:val="auto"/>
                <w:szCs w:val="21"/>
                <w:lang w:val="zh-CN"/>
              </w:rPr>
              <w:t>4</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预算金额</w:t>
            </w:r>
          </w:p>
        </w:tc>
        <w:tc>
          <w:tcPr>
            <w:tcW w:w="6165" w:type="dxa"/>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color w:val="auto"/>
                <w:sz w:val="24"/>
                <w:szCs w:val="24"/>
              </w:rPr>
              <w:t>见“第一章招标公告”相应条款。</w:t>
            </w:r>
            <w:r>
              <w:rPr>
                <w:rFonts w:hint="eastAsia" w:ascii="宋体" w:hAnsi="宋体" w:cs="楷体_GB2312"/>
                <w:b/>
                <w:color w:val="auto"/>
                <w:sz w:val="24"/>
                <w:lang w:val="zh-CN"/>
              </w:rPr>
              <w:t>注：投标人的投标报价未超过</w:t>
            </w:r>
            <w:r>
              <w:rPr>
                <w:rFonts w:hint="eastAsia" w:ascii="宋体" w:hAnsi="宋体" w:cs="楷体_GB2312"/>
                <w:b/>
                <w:bCs/>
                <w:color w:val="auto"/>
                <w:sz w:val="24"/>
                <w:lang w:val="zh-CN"/>
              </w:rPr>
              <w:t>预算金额</w:t>
            </w:r>
            <w:r>
              <w:rPr>
                <w:rFonts w:hint="eastAsia" w:ascii="宋体" w:hAnsi="宋体" w:cs="楷体_GB2312"/>
                <w:b/>
                <w:color w:val="auto"/>
                <w:sz w:val="24"/>
                <w:lang w:val="zh-CN"/>
              </w:rPr>
              <w:t>的不足三家时，该标段（包）废标。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w:t>
            </w:r>
          </w:p>
        </w:tc>
        <w:tc>
          <w:tcPr>
            <w:tcW w:w="2386" w:type="dxa"/>
            <w:vAlign w:val="center"/>
          </w:tcPr>
          <w:p>
            <w:pPr>
              <w:autoSpaceDE w:val="0"/>
              <w:autoSpaceDN w:val="0"/>
              <w:adjustRightInd w:val="0"/>
              <w:snapToGrid w:val="0"/>
              <w:spacing w:line="240" w:lineRule="auto"/>
              <w:ind w:right="-73" w:rightChars="-35"/>
              <w:jc w:val="center"/>
              <w:rPr>
                <w:rFonts w:ascii="宋体"/>
                <w:b/>
                <w:color w:val="auto"/>
                <w:sz w:val="24"/>
                <w:szCs w:val="24"/>
              </w:rPr>
            </w:pPr>
            <w:r>
              <w:rPr>
                <w:rFonts w:hint="eastAsia" w:ascii="宋体" w:hAnsi="宋体"/>
                <w:b/>
                <w:color w:val="auto"/>
                <w:sz w:val="24"/>
                <w:szCs w:val="24"/>
              </w:rPr>
              <w:t>申请人的资格要求及相关证明材料要求</w:t>
            </w:r>
          </w:p>
        </w:tc>
        <w:tc>
          <w:tcPr>
            <w:tcW w:w="6165" w:type="dxa"/>
            <w:vAlign w:val="center"/>
          </w:tcPr>
          <w:p>
            <w:pPr>
              <w:autoSpaceDE w:val="0"/>
              <w:autoSpaceDN w:val="0"/>
              <w:adjustRightInd w:val="0"/>
              <w:snapToGrid w:val="0"/>
              <w:spacing w:beforeLines="50" w:line="240" w:lineRule="auto"/>
              <w:rPr>
                <w:color w:val="auto"/>
                <w:sz w:val="24"/>
                <w:szCs w:val="24"/>
              </w:rPr>
            </w:pPr>
            <w:r>
              <w:rPr>
                <w:rFonts w:hint="eastAsia"/>
                <w:color w:val="auto"/>
                <w:sz w:val="24"/>
                <w:szCs w:val="24"/>
              </w:rPr>
              <w:t>见“第一章招标公告”相应条款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hint="eastAsia" w:ascii="宋体" w:hAnsi="宋体" w:cs="楷体_GB2312"/>
                <w:b/>
                <w:bCs/>
                <w:color w:val="auto"/>
                <w:szCs w:val="21"/>
                <w:lang w:val="zh-CN"/>
              </w:rPr>
              <w:t>8.1</w:t>
            </w:r>
          </w:p>
        </w:tc>
        <w:tc>
          <w:tcPr>
            <w:tcW w:w="2386" w:type="dxa"/>
            <w:vAlign w:val="center"/>
          </w:tcPr>
          <w:p>
            <w:pPr>
              <w:autoSpaceDE w:val="0"/>
              <w:autoSpaceDN w:val="0"/>
              <w:adjustRightInd w:val="0"/>
              <w:snapToGrid w:val="0"/>
              <w:spacing w:line="240" w:lineRule="auto"/>
              <w:ind w:right="-73" w:rightChars="-35"/>
              <w:jc w:val="center"/>
              <w:rPr>
                <w:rFonts w:ascii="宋体"/>
                <w:b/>
                <w:color w:val="auto"/>
                <w:sz w:val="24"/>
                <w:szCs w:val="24"/>
              </w:rPr>
            </w:pPr>
            <w:r>
              <w:rPr>
                <w:rFonts w:hint="eastAsia" w:ascii="宋体" w:hAnsi="宋体"/>
                <w:b/>
                <w:color w:val="auto"/>
                <w:sz w:val="24"/>
                <w:szCs w:val="24"/>
              </w:rPr>
              <w:t>采购人</w:t>
            </w:r>
          </w:p>
        </w:tc>
        <w:tc>
          <w:tcPr>
            <w:tcW w:w="6165" w:type="dxa"/>
            <w:vAlign w:val="center"/>
          </w:tcPr>
          <w:p>
            <w:pPr>
              <w:autoSpaceDE w:val="0"/>
              <w:autoSpaceDN w:val="0"/>
              <w:adjustRightInd w:val="0"/>
              <w:snapToGrid w:val="0"/>
              <w:spacing w:beforeLines="50" w:line="240" w:lineRule="auto"/>
              <w:rPr>
                <w:color w:val="auto"/>
                <w:sz w:val="24"/>
                <w:szCs w:val="24"/>
              </w:rPr>
            </w:pPr>
            <w:r>
              <w:rPr>
                <w:rFonts w:hint="eastAsia"/>
                <w:color w:val="auto"/>
                <w:sz w:val="24"/>
                <w:szCs w:val="24"/>
              </w:rPr>
              <w:t>见“第一章招标公告”相应条款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hint="eastAsia" w:ascii="宋体" w:hAnsi="宋体" w:cs="楷体_GB2312"/>
                <w:b/>
                <w:bCs/>
                <w:color w:val="auto"/>
                <w:szCs w:val="21"/>
                <w:lang w:val="zh-CN"/>
              </w:rPr>
              <w:t>8.2</w:t>
            </w:r>
          </w:p>
        </w:tc>
        <w:tc>
          <w:tcPr>
            <w:tcW w:w="2386" w:type="dxa"/>
            <w:vAlign w:val="center"/>
          </w:tcPr>
          <w:p>
            <w:pPr>
              <w:autoSpaceDE w:val="0"/>
              <w:autoSpaceDN w:val="0"/>
              <w:adjustRightInd w:val="0"/>
              <w:snapToGrid w:val="0"/>
              <w:spacing w:line="240" w:lineRule="auto"/>
              <w:ind w:right="-73" w:rightChars="-35"/>
              <w:jc w:val="center"/>
              <w:rPr>
                <w:rFonts w:ascii="宋体"/>
                <w:b/>
                <w:color w:val="auto"/>
                <w:sz w:val="24"/>
                <w:szCs w:val="24"/>
              </w:rPr>
            </w:pPr>
            <w:r>
              <w:rPr>
                <w:rFonts w:hint="eastAsia" w:ascii="宋体" w:hAnsi="宋体"/>
                <w:b/>
                <w:color w:val="auto"/>
                <w:sz w:val="24"/>
                <w:szCs w:val="24"/>
              </w:rPr>
              <w:t>采购代理机构</w:t>
            </w:r>
          </w:p>
        </w:tc>
        <w:tc>
          <w:tcPr>
            <w:tcW w:w="6165" w:type="dxa"/>
            <w:vAlign w:val="center"/>
          </w:tcPr>
          <w:p>
            <w:pPr>
              <w:autoSpaceDE w:val="0"/>
              <w:autoSpaceDN w:val="0"/>
              <w:adjustRightInd w:val="0"/>
              <w:snapToGrid w:val="0"/>
              <w:spacing w:beforeLines="50" w:line="240" w:lineRule="auto"/>
              <w:rPr>
                <w:color w:val="auto"/>
                <w:sz w:val="24"/>
                <w:szCs w:val="24"/>
              </w:rPr>
            </w:pPr>
            <w:r>
              <w:rPr>
                <w:rFonts w:hint="eastAsia"/>
                <w:color w:val="auto"/>
                <w:sz w:val="24"/>
                <w:szCs w:val="24"/>
              </w:rPr>
              <w:t>见“第一章招标公告”相应条款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restart"/>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第二章</w:t>
            </w:r>
          </w:p>
        </w:tc>
        <w:tc>
          <w:tcPr>
            <w:tcW w:w="699" w:type="dxa"/>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b/>
                <w:color w:val="auto"/>
                <w:sz w:val="24"/>
                <w:szCs w:val="24"/>
              </w:rPr>
              <w:t>标段（包）划分</w:t>
            </w:r>
          </w:p>
        </w:tc>
        <w:tc>
          <w:tcPr>
            <w:tcW w:w="6165" w:type="dxa"/>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color w:val="auto"/>
                <w:sz w:val="24"/>
                <w:szCs w:val="24"/>
              </w:rPr>
              <w:t>见“第二章招标项目要求及采购需求”相应条款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b/>
                <w:color w:val="auto"/>
                <w:sz w:val="24"/>
                <w:szCs w:val="24"/>
              </w:rPr>
              <w:t>交付&lt;实施&gt;期</w:t>
            </w:r>
          </w:p>
        </w:tc>
        <w:tc>
          <w:tcPr>
            <w:tcW w:w="6165" w:type="dxa"/>
            <w:vAlign w:val="center"/>
          </w:tcPr>
          <w:p>
            <w:pPr>
              <w:autoSpaceDE w:val="0"/>
              <w:autoSpaceDN w:val="0"/>
              <w:adjustRightInd w:val="0"/>
              <w:snapToGrid w:val="0"/>
              <w:spacing w:beforeLines="50" w:line="240" w:lineRule="auto"/>
              <w:rPr>
                <w:rFonts w:ascii="宋体" w:cs="楷体_GB2312"/>
                <w:bCs/>
                <w:color w:val="auto"/>
                <w:sz w:val="24"/>
                <w:lang w:val="zh-CN"/>
              </w:rPr>
            </w:pPr>
            <w:r>
              <w:rPr>
                <w:rFonts w:hint="eastAsia" w:ascii="宋体" w:hAnsi="宋体"/>
                <w:color w:val="auto"/>
                <w:sz w:val="24"/>
              </w:rPr>
              <w:t>见“第二章招标项目要求及采购需求”</w:t>
            </w:r>
            <w:r>
              <w:rPr>
                <w:rFonts w:hint="eastAsia"/>
                <w:color w:val="auto"/>
                <w:sz w:val="24"/>
                <w:szCs w:val="24"/>
              </w:rPr>
              <w:t>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rPr>
              <w:t>交付（实施）</w:t>
            </w:r>
            <w:r>
              <w:rPr>
                <w:rFonts w:hint="eastAsia" w:ascii="宋体" w:hAnsi="宋体" w:cs="楷体_GB2312"/>
                <w:b/>
                <w:bCs/>
                <w:color w:val="auto"/>
                <w:sz w:val="24"/>
                <w:lang w:val="zh-CN"/>
              </w:rPr>
              <w:t>地</w:t>
            </w:r>
          </w:p>
        </w:tc>
        <w:tc>
          <w:tcPr>
            <w:tcW w:w="6165" w:type="dxa"/>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见“第二章招标项目要求及采购需求”</w:t>
            </w:r>
            <w:r>
              <w:rPr>
                <w:rFonts w:hint="eastAsia"/>
                <w:color w:val="auto"/>
                <w:sz w:val="24"/>
                <w:szCs w:val="24"/>
              </w:rPr>
              <w:t>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1.3</w:t>
            </w:r>
          </w:p>
        </w:tc>
        <w:tc>
          <w:tcPr>
            <w:tcW w:w="2386" w:type="dxa"/>
            <w:vAlign w:val="center"/>
          </w:tcPr>
          <w:p>
            <w:pPr>
              <w:autoSpaceDE w:val="0"/>
              <w:autoSpaceDN w:val="0"/>
              <w:adjustRightInd w:val="0"/>
              <w:snapToGrid w:val="0"/>
              <w:spacing w:line="240" w:lineRule="auto"/>
              <w:jc w:val="center"/>
              <w:rPr>
                <w:rFonts w:ascii="宋体"/>
                <w:b/>
                <w:color w:val="auto"/>
                <w:sz w:val="24"/>
                <w:szCs w:val="24"/>
              </w:rPr>
            </w:pPr>
            <w:r>
              <w:rPr>
                <w:rFonts w:hint="eastAsia" w:ascii="宋体" w:hAnsi="宋体"/>
                <w:b/>
                <w:color w:val="auto"/>
                <w:sz w:val="24"/>
                <w:szCs w:val="24"/>
              </w:rPr>
              <w:t>投标报价</w:t>
            </w:r>
          </w:p>
        </w:tc>
        <w:tc>
          <w:tcPr>
            <w:tcW w:w="6165" w:type="dxa"/>
            <w:vAlign w:val="center"/>
          </w:tcPr>
          <w:p>
            <w:pPr>
              <w:autoSpaceDE w:val="0"/>
              <w:autoSpaceDN w:val="0"/>
              <w:adjustRightInd w:val="0"/>
              <w:snapToGrid w:val="0"/>
              <w:spacing w:beforeLines="50" w:line="240" w:lineRule="auto"/>
              <w:rPr>
                <w:color w:val="auto"/>
                <w:sz w:val="24"/>
                <w:szCs w:val="24"/>
              </w:rPr>
            </w:pPr>
            <w:r>
              <w:rPr>
                <w:rFonts w:hint="eastAsia"/>
                <w:color w:val="auto"/>
                <w:sz w:val="24"/>
                <w:szCs w:val="24"/>
              </w:rPr>
              <w:t>见“第二章招标项目要求及采购需求”相应条款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标段（包）内容（范围）及具体采购需求</w:t>
            </w:r>
          </w:p>
        </w:tc>
        <w:tc>
          <w:tcPr>
            <w:tcW w:w="6165" w:type="dxa"/>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见“第二章招标项目要求及采购需求”</w:t>
            </w:r>
            <w:r>
              <w:rPr>
                <w:rFonts w:hint="eastAsia"/>
                <w:color w:val="auto"/>
                <w:sz w:val="24"/>
                <w:szCs w:val="24"/>
              </w:rPr>
              <w:t>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w:t>
            </w:r>
            <w:r>
              <w:rPr>
                <w:rFonts w:hint="eastAsia" w:ascii="宋体" w:hAnsi="宋体" w:cs="楷体_GB2312"/>
                <w:b/>
                <w:bCs/>
                <w:color w:val="auto"/>
                <w:szCs w:val="21"/>
                <w:lang w:val="zh-CN"/>
              </w:rPr>
              <w:t>7</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技术偏离</w:t>
            </w:r>
          </w:p>
        </w:tc>
        <w:tc>
          <w:tcPr>
            <w:tcW w:w="6165" w:type="dxa"/>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见“第二章招标项目要求及采购需求”</w:t>
            </w:r>
            <w:r>
              <w:rPr>
                <w:rFonts w:hint="eastAsia"/>
                <w:color w:val="auto"/>
                <w:sz w:val="24"/>
                <w:szCs w:val="24"/>
              </w:rPr>
              <w:t>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w:t>
            </w:r>
            <w:r>
              <w:rPr>
                <w:rFonts w:hint="eastAsia" w:ascii="宋体" w:hAnsi="宋体" w:cs="楷体_GB2312"/>
                <w:b/>
                <w:bCs/>
                <w:color w:val="auto"/>
                <w:szCs w:val="21"/>
                <w:lang w:val="zh-CN"/>
              </w:rPr>
              <w:t>8</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售后服务</w:t>
            </w:r>
          </w:p>
        </w:tc>
        <w:tc>
          <w:tcPr>
            <w:tcW w:w="6165" w:type="dxa"/>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见“第二章招标项目要求及采购需求”</w:t>
            </w:r>
            <w:r>
              <w:rPr>
                <w:rFonts w:hint="eastAsia"/>
                <w:color w:val="auto"/>
                <w:sz w:val="24"/>
                <w:szCs w:val="24"/>
              </w:rPr>
              <w:t>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03" w:type="dxa"/>
            <w:vMerge w:val="restart"/>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9" w:type="dxa"/>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1.4</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联合体投标</w:t>
            </w:r>
          </w:p>
        </w:tc>
        <w:tc>
          <w:tcPr>
            <w:tcW w:w="6165" w:type="dxa"/>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color w:val="auto"/>
                <w:sz w:val="24"/>
                <w:szCs w:val="24"/>
              </w:rPr>
              <w:t>见“第一章招标公告”相应条款。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rPr>
            </w:pPr>
          </w:p>
        </w:tc>
        <w:tc>
          <w:tcPr>
            <w:tcW w:w="699" w:type="dxa"/>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w:t>
            </w:r>
            <w:r>
              <w:rPr>
                <w:rFonts w:hint="eastAsia" w:ascii="宋体" w:hAnsi="宋体" w:cs="楷体_GB2312"/>
                <w:b/>
                <w:bCs/>
                <w:color w:val="auto"/>
                <w:szCs w:val="21"/>
              </w:rPr>
              <w:t>10</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踏勘现场</w:t>
            </w:r>
          </w:p>
        </w:tc>
        <w:tc>
          <w:tcPr>
            <w:tcW w:w="6165" w:type="dxa"/>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rPr>
            </w:pPr>
          </w:p>
        </w:tc>
        <w:tc>
          <w:tcPr>
            <w:tcW w:w="699" w:type="dxa"/>
            <w:vAlign w:val="center"/>
          </w:tcPr>
          <w:p>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1.1</w:t>
            </w:r>
            <w:r>
              <w:rPr>
                <w:rFonts w:hint="eastAsia" w:ascii="宋体" w:hAnsi="宋体" w:cs="楷体_GB2312"/>
                <w:b/>
                <w:bCs/>
                <w:color w:val="auto"/>
                <w:szCs w:val="21"/>
              </w:rPr>
              <w:t>1</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开标前答疑会</w:t>
            </w:r>
          </w:p>
        </w:tc>
        <w:tc>
          <w:tcPr>
            <w:tcW w:w="6165" w:type="dxa"/>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rPr>
            </w:pPr>
          </w:p>
        </w:tc>
        <w:tc>
          <w:tcPr>
            <w:tcW w:w="699" w:type="dxa"/>
            <w:vAlign w:val="center"/>
          </w:tcPr>
          <w:p>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1.1</w:t>
            </w:r>
            <w:r>
              <w:rPr>
                <w:rFonts w:hint="eastAsia" w:ascii="宋体" w:hAnsi="宋体" w:cs="楷体_GB2312"/>
                <w:b/>
                <w:bCs/>
                <w:color w:val="auto"/>
                <w:szCs w:val="21"/>
              </w:rPr>
              <w:t>2</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分包</w:t>
            </w:r>
          </w:p>
        </w:tc>
        <w:tc>
          <w:tcPr>
            <w:tcW w:w="6165" w:type="dxa"/>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rPr>
            </w:pPr>
          </w:p>
        </w:tc>
        <w:tc>
          <w:tcPr>
            <w:tcW w:w="699" w:type="dxa"/>
            <w:vAlign w:val="center"/>
          </w:tcPr>
          <w:p>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2.1</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构成招标文件的其他材料</w:t>
            </w:r>
          </w:p>
        </w:tc>
        <w:tc>
          <w:tcPr>
            <w:tcW w:w="6165" w:type="dxa"/>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rPr>
            </w:pPr>
          </w:p>
        </w:tc>
        <w:tc>
          <w:tcPr>
            <w:tcW w:w="699" w:type="dxa"/>
            <w:vAlign w:val="center"/>
          </w:tcPr>
          <w:p>
            <w:pPr>
              <w:autoSpaceDE w:val="0"/>
              <w:autoSpaceDN w:val="0"/>
              <w:adjustRightInd w:val="0"/>
              <w:snapToGrid w:val="0"/>
              <w:spacing w:line="240" w:lineRule="auto"/>
              <w:ind w:left="-134" w:leftChars="-64" w:right="-88" w:rightChars="-42"/>
              <w:jc w:val="center"/>
              <w:rPr>
                <w:rFonts w:ascii="宋体" w:hAnsi="宋体" w:cs="楷体_GB2312"/>
                <w:b/>
                <w:bCs/>
                <w:color w:val="auto"/>
                <w:szCs w:val="21"/>
              </w:rPr>
            </w:pPr>
            <w:r>
              <w:rPr>
                <w:rFonts w:ascii="宋体" w:hAnsi="宋体" w:cs="楷体_GB2312"/>
                <w:b/>
                <w:bCs/>
                <w:color w:val="auto"/>
                <w:szCs w:val="21"/>
              </w:rPr>
              <w:t>2.2.1</w:t>
            </w:r>
          </w:p>
        </w:tc>
        <w:tc>
          <w:tcPr>
            <w:tcW w:w="2386" w:type="dxa"/>
            <w:vAlign w:val="center"/>
          </w:tcPr>
          <w:p>
            <w:pPr>
              <w:autoSpaceDE w:val="0"/>
              <w:autoSpaceDN w:val="0"/>
              <w:adjustRightInd w:val="0"/>
              <w:snapToGrid w:val="0"/>
              <w:spacing w:line="240" w:lineRule="auto"/>
              <w:ind w:right="-178" w:rightChars="-85"/>
              <w:jc w:val="center"/>
              <w:rPr>
                <w:rFonts w:ascii="宋体" w:cs="楷体_GB2312"/>
                <w:b/>
                <w:bCs/>
                <w:color w:val="auto"/>
                <w:sz w:val="24"/>
                <w:lang w:val="zh-CN"/>
              </w:rPr>
            </w:pPr>
            <w:r>
              <w:rPr>
                <w:rFonts w:hint="eastAsia" w:ascii="宋体" w:hAnsi="宋体" w:cs="楷体_GB2312"/>
                <w:b/>
                <w:bCs/>
                <w:color w:val="auto"/>
                <w:sz w:val="24"/>
                <w:lang w:val="zh-CN"/>
              </w:rPr>
              <w:t>投标人提出问题的截止时间</w:t>
            </w:r>
          </w:p>
        </w:tc>
        <w:tc>
          <w:tcPr>
            <w:tcW w:w="6165" w:type="dxa"/>
            <w:vAlign w:val="center"/>
          </w:tcPr>
          <w:p>
            <w:pPr>
              <w:autoSpaceDE w:val="0"/>
              <w:autoSpaceDN w:val="0"/>
              <w:adjustRightInd w:val="0"/>
              <w:snapToGrid w:val="0"/>
              <w:spacing w:beforeLines="50" w:line="240" w:lineRule="auto"/>
              <w:rPr>
                <w:rFonts w:ascii="宋体" w:hAnsi="宋体" w:cs="楷体_GB2312"/>
                <w:color w:val="auto"/>
                <w:sz w:val="24"/>
                <w:lang w:val="zh-CN"/>
              </w:rPr>
            </w:pPr>
            <w:r>
              <w:rPr>
                <w:rFonts w:hint="eastAsia" w:ascii="宋体" w:hAnsi="宋体" w:cs="楷体_GB2312"/>
                <w:color w:val="auto"/>
                <w:sz w:val="24"/>
                <w:lang w:val="zh-CN"/>
              </w:rPr>
              <w:t>公告期结束或获取招标文件</w:t>
            </w:r>
            <w:r>
              <w:rPr>
                <w:rFonts w:ascii="宋体" w:hAnsi="宋体" w:cs="楷体_GB2312"/>
                <w:color w:val="auto"/>
                <w:sz w:val="24"/>
                <w:lang w:val="zh-CN"/>
              </w:rPr>
              <w:t>7</w:t>
            </w:r>
            <w:r>
              <w:rPr>
                <w:rFonts w:hint="eastAsia" w:ascii="宋体" w:hAnsi="宋体" w:cs="楷体_GB2312"/>
                <w:color w:val="auto"/>
                <w:sz w:val="24"/>
                <w:lang w:val="zh-CN"/>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rPr>
            </w:pPr>
          </w:p>
        </w:tc>
        <w:tc>
          <w:tcPr>
            <w:tcW w:w="699" w:type="dxa"/>
            <w:vAlign w:val="center"/>
          </w:tcPr>
          <w:p>
            <w:pPr>
              <w:autoSpaceDE w:val="0"/>
              <w:autoSpaceDN w:val="0"/>
              <w:adjustRightInd w:val="0"/>
              <w:snapToGrid w:val="0"/>
              <w:spacing w:line="240" w:lineRule="auto"/>
              <w:ind w:left="-134" w:leftChars="-64" w:right="-88" w:rightChars="-42"/>
              <w:jc w:val="center"/>
              <w:rPr>
                <w:rFonts w:ascii="宋体" w:hAnsi="宋体" w:cs="楷体_GB2312"/>
                <w:b/>
                <w:bCs/>
                <w:color w:val="auto"/>
                <w:szCs w:val="21"/>
              </w:rPr>
            </w:pPr>
            <w:r>
              <w:rPr>
                <w:rFonts w:ascii="宋体" w:hAnsi="宋体" w:cs="楷体_GB2312"/>
                <w:b/>
                <w:bCs/>
                <w:color w:val="auto"/>
                <w:szCs w:val="21"/>
              </w:rPr>
              <w:t>2.3</w:t>
            </w:r>
          </w:p>
        </w:tc>
        <w:tc>
          <w:tcPr>
            <w:tcW w:w="2386" w:type="dxa"/>
            <w:vAlign w:val="center"/>
          </w:tcPr>
          <w:p>
            <w:pPr>
              <w:autoSpaceDE w:val="0"/>
              <w:autoSpaceDN w:val="0"/>
              <w:adjustRightInd w:val="0"/>
              <w:snapToGrid w:val="0"/>
              <w:spacing w:line="240" w:lineRule="auto"/>
              <w:ind w:left="-126" w:leftChars="-60" w:right="-36" w:rightChars="-17"/>
              <w:jc w:val="center"/>
              <w:rPr>
                <w:rFonts w:ascii="宋体" w:cs="楷体_GB2312"/>
                <w:b/>
                <w:bCs/>
                <w:color w:val="auto"/>
                <w:szCs w:val="21"/>
                <w:lang w:val="zh-CN"/>
              </w:rPr>
            </w:pPr>
            <w:r>
              <w:rPr>
                <w:rFonts w:hint="eastAsia" w:ascii="宋体" w:hAnsi="宋体" w:cs="楷体_GB2312"/>
                <w:b/>
                <w:bCs/>
                <w:color w:val="auto"/>
                <w:szCs w:val="21"/>
                <w:lang w:val="zh-CN"/>
              </w:rPr>
              <w:t>招标文件的澄清修改补充告知方式</w:t>
            </w:r>
          </w:p>
        </w:tc>
        <w:tc>
          <w:tcPr>
            <w:tcW w:w="6165" w:type="dxa"/>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vAlign w:val="center"/>
          </w:tcPr>
          <w:p>
            <w:pPr>
              <w:autoSpaceDE w:val="0"/>
              <w:autoSpaceDN w:val="0"/>
              <w:adjustRightInd w:val="0"/>
              <w:snapToGrid w:val="0"/>
              <w:spacing w:line="240" w:lineRule="auto"/>
              <w:ind w:right="-88" w:rightChars="-42"/>
              <w:jc w:val="center"/>
              <w:rPr>
                <w:rFonts w:ascii="宋体" w:hAnsi="宋体" w:cs="楷体_GB2312"/>
                <w:b/>
                <w:bCs/>
                <w:color w:val="auto"/>
                <w:szCs w:val="21"/>
                <w:lang w:val="zh-CN"/>
              </w:rPr>
            </w:pPr>
            <w:r>
              <w:rPr>
                <w:rFonts w:ascii="宋体" w:hAnsi="宋体" w:cs="楷体_GB2312"/>
                <w:b/>
                <w:bCs/>
                <w:color w:val="auto"/>
                <w:szCs w:val="21"/>
                <w:lang w:val="zh-CN"/>
              </w:rPr>
              <w:t>2.</w:t>
            </w:r>
            <w:r>
              <w:rPr>
                <w:rFonts w:hint="eastAsia" w:ascii="宋体" w:hAnsi="宋体" w:cs="楷体_GB2312"/>
                <w:b/>
                <w:bCs/>
                <w:color w:val="auto"/>
                <w:szCs w:val="21"/>
                <w:lang w:val="zh-CN"/>
              </w:rPr>
              <w:t>4</w:t>
            </w:r>
          </w:p>
        </w:tc>
        <w:tc>
          <w:tcPr>
            <w:tcW w:w="2386" w:type="dxa"/>
            <w:vAlign w:val="center"/>
          </w:tcPr>
          <w:p>
            <w:pPr>
              <w:autoSpaceDE w:val="0"/>
              <w:autoSpaceDN w:val="0"/>
              <w:adjustRightInd w:val="0"/>
              <w:snapToGrid w:val="0"/>
              <w:spacing w:line="240" w:lineRule="auto"/>
              <w:ind w:right="-178" w:rightChars="-85"/>
              <w:jc w:val="center"/>
              <w:rPr>
                <w:rFonts w:ascii="宋体" w:cs="楷体_GB2312"/>
                <w:b/>
                <w:bCs/>
                <w:color w:val="auto"/>
                <w:sz w:val="24"/>
                <w:lang w:val="zh-CN"/>
              </w:rPr>
            </w:pPr>
            <w:r>
              <w:rPr>
                <w:rFonts w:hint="eastAsia" w:ascii="宋体" w:hAnsi="宋体" w:cs="楷体_GB2312"/>
                <w:b/>
                <w:bCs/>
                <w:color w:val="auto"/>
                <w:sz w:val="24"/>
                <w:lang w:val="zh-CN"/>
              </w:rPr>
              <w:t>招标文件澄清修改补充时间</w:t>
            </w:r>
          </w:p>
        </w:tc>
        <w:tc>
          <w:tcPr>
            <w:tcW w:w="6165" w:type="dxa"/>
            <w:vAlign w:val="center"/>
          </w:tcPr>
          <w:p>
            <w:pPr>
              <w:autoSpaceDE w:val="0"/>
              <w:autoSpaceDN w:val="0"/>
              <w:adjustRightInd w:val="0"/>
              <w:snapToGrid w:val="0"/>
              <w:spacing w:beforeLines="50" w:line="240" w:lineRule="auto"/>
              <w:rPr>
                <w:rFonts w:ascii="宋体" w:hAnsi="宋体" w:cs="楷体_GB2312"/>
                <w:color w:val="auto"/>
                <w:sz w:val="24"/>
                <w:lang w:val="zh-CN"/>
              </w:rPr>
            </w:pPr>
            <w:r>
              <w:rPr>
                <w:rFonts w:hint="eastAsia" w:ascii="宋体" w:hAnsi="宋体" w:cs="楷体_GB2312"/>
                <w:color w:val="auto"/>
                <w:sz w:val="24"/>
                <w:lang w:val="zh-CN"/>
              </w:rPr>
              <w:t>投标截止时间</w:t>
            </w:r>
            <w:r>
              <w:rPr>
                <w:rFonts w:ascii="宋体" w:hAnsi="宋体" w:cs="楷体_GB2312"/>
                <w:color w:val="auto"/>
                <w:sz w:val="24"/>
              </w:rPr>
              <w:t>15</w:t>
            </w:r>
            <w:r>
              <w:rPr>
                <w:rFonts w:hint="eastAsia" w:ascii="宋体" w:hAnsi="宋体" w:cs="楷体_GB2312"/>
                <w:color w:val="auto"/>
                <w:sz w:val="24"/>
                <w:lang w:val="zh-CN"/>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3.2</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构成投标文件的其他材料</w:t>
            </w:r>
          </w:p>
        </w:tc>
        <w:tc>
          <w:tcPr>
            <w:tcW w:w="6165" w:type="dxa"/>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03" w:type="dxa"/>
            <w:vMerge w:val="restart"/>
          </w:tcPr>
          <w:p>
            <w:pPr>
              <w:autoSpaceDE w:val="0"/>
              <w:autoSpaceDN w:val="0"/>
              <w:adjustRightInd w:val="0"/>
              <w:snapToGrid w:val="0"/>
              <w:spacing w:line="240" w:lineRule="auto"/>
              <w:jc w:val="center"/>
              <w:rPr>
                <w:rFonts w:ascii="宋体" w:hAnsi="宋体" w:cs="楷体_GB2312"/>
                <w:b/>
                <w:bCs/>
                <w:color w:val="auto"/>
                <w:sz w:val="24"/>
                <w:lang w:val="zh-CN"/>
              </w:rPr>
            </w:pPr>
            <w:r>
              <w:rPr>
                <w:rFonts w:hint="eastAsia" w:ascii="宋体" w:hAnsi="宋体" w:cs="楷体_GB2312"/>
                <w:b/>
                <w:bCs/>
                <w:color w:val="auto"/>
                <w:sz w:val="24"/>
                <w:lang w:val="zh-CN"/>
              </w:rPr>
              <w:t>第三章</w:t>
            </w:r>
          </w:p>
          <w:p>
            <w:pPr>
              <w:autoSpaceDE w:val="0"/>
              <w:autoSpaceDN w:val="0"/>
              <w:adjustRightInd w:val="0"/>
              <w:snapToGrid w:val="0"/>
              <w:spacing w:line="240" w:lineRule="auto"/>
              <w:jc w:val="center"/>
              <w:rPr>
                <w:rFonts w:ascii="宋体" w:cs="楷体_GB2312"/>
                <w:b/>
                <w:bCs/>
                <w:color w:val="auto"/>
                <w:sz w:val="24"/>
                <w:lang w:val="zh-CN"/>
              </w:rPr>
            </w:pPr>
          </w:p>
        </w:tc>
        <w:tc>
          <w:tcPr>
            <w:tcW w:w="699" w:type="dxa"/>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3.4.1</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投标有效期</w:t>
            </w:r>
          </w:p>
        </w:tc>
        <w:tc>
          <w:tcPr>
            <w:tcW w:w="6165" w:type="dxa"/>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从开标之日起，投标有效期为</w:t>
            </w:r>
            <w:r>
              <w:rPr>
                <w:rFonts w:ascii="宋体" w:hAnsi="宋体" w:cs="楷体_GB2312"/>
                <w:color w:val="auto"/>
                <w:sz w:val="24"/>
                <w:lang w:val="zh-CN"/>
              </w:rPr>
              <w:t>90</w:t>
            </w:r>
            <w:r>
              <w:rPr>
                <w:rFonts w:hint="eastAsia" w:ascii="宋体" w:hAnsi="宋体" w:cs="楷体_GB2312"/>
                <w:color w:val="auto"/>
                <w:sz w:val="24"/>
                <w:lang w:val="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3.5</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cs="楷体_GB2312"/>
                <w:b/>
                <w:bCs/>
                <w:color w:val="auto"/>
                <w:sz w:val="24"/>
                <w:lang w:val="zh-CN"/>
              </w:rPr>
              <w:t>投标承诺函</w:t>
            </w:r>
          </w:p>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cs="楷体_GB2312"/>
                <w:b/>
                <w:bCs/>
                <w:color w:val="auto"/>
                <w:sz w:val="24"/>
                <w:lang w:val="zh-CN"/>
              </w:rPr>
              <w:t>（替代投标保证金）</w:t>
            </w:r>
          </w:p>
        </w:tc>
        <w:tc>
          <w:tcPr>
            <w:tcW w:w="6165" w:type="dxa"/>
            <w:vAlign w:val="center"/>
          </w:tcPr>
          <w:p>
            <w:pPr>
              <w:widowControl w:val="0"/>
              <w:snapToGrid w:val="0"/>
              <w:spacing w:beforeLines="50" w:line="240" w:lineRule="auto"/>
              <w:rPr>
                <w:color w:val="auto"/>
                <w:sz w:val="24"/>
                <w:szCs w:val="24"/>
              </w:rPr>
            </w:pPr>
            <w:r>
              <w:rPr>
                <w:rFonts w:hint="eastAsia"/>
                <w:color w:val="auto"/>
                <w:sz w:val="24"/>
                <w:szCs w:val="24"/>
              </w:rPr>
              <w:t>以投标承诺函形式替代投标保证金。</w:t>
            </w:r>
          </w:p>
          <w:p>
            <w:pPr>
              <w:pStyle w:val="53"/>
              <w:snapToGrid w:val="0"/>
              <w:spacing w:beforeLines="50" w:beforeAutospacing="0" w:after="0" w:afterAutospacing="0"/>
              <w:jc w:val="both"/>
              <w:rPr>
                <w:sz w:val="24"/>
                <w:szCs w:val="24"/>
              </w:rPr>
            </w:pPr>
            <w:r>
              <w:rPr>
                <w:rFonts w:hint="eastAsia"/>
                <w:sz w:val="24"/>
                <w:szCs w:val="24"/>
              </w:rPr>
              <w:t>供应商应按附件格式进行投标承诺、违背承诺的责任追究。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3.7.3</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偏差描述</w:t>
            </w:r>
          </w:p>
        </w:tc>
        <w:tc>
          <w:tcPr>
            <w:tcW w:w="6165" w:type="dxa"/>
            <w:vAlign w:val="center"/>
          </w:tcPr>
          <w:p>
            <w:pPr>
              <w:widowControl w:val="0"/>
              <w:snapToGrid w:val="0"/>
              <w:spacing w:beforeLines="50" w:line="240" w:lineRule="auto"/>
              <w:rPr>
                <w:b/>
                <w:color w:val="auto"/>
                <w:sz w:val="24"/>
                <w:szCs w:val="24"/>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rPr>
            </w:pPr>
          </w:p>
        </w:tc>
        <w:tc>
          <w:tcPr>
            <w:tcW w:w="699" w:type="dxa"/>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3.7.</w:t>
            </w:r>
            <w:r>
              <w:rPr>
                <w:rFonts w:hint="eastAsia" w:ascii="宋体" w:hAnsi="宋体" w:cs="楷体_GB2312"/>
                <w:b/>
                <w:bCs/>
                <w:color w:val="auto"/>
                <w:szCs w:val="21"/>
              </w:rPr>
              <w:t>4</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签字或盖章要求</w:t>
            </w:r>
          </w:p>
        </w:tc>
        <w:tc>
          <w:tcPr>
            <w:tcW w:w="6165" w:type="dxa"/>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rPr>
            </w:pPr>
          </w:p>
        </w:tc>
        <w:tc>
          <w:tcPr>
            <w:tcW w:w="699" w:type="dxa"/>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4.2.</w:t>
            </w:r>
            <w:r>
              <w:rPr>
                <w:rFonts w:hint="eastAsia" w:ascii="宋体" w:hAnsi="宋体" w:cs="楷体_GB2312"/>
                <w:b/>
                <w:bCs/>
                <w:color w:val="auto"/>
                <w:szCs w:val="21"/>
              </w:rPr>
              <w:t>4</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是否退还投标文件</w:t>
            </w:r>
          </w:p>
        </w:tc>
        <w:tc>
          <w:tcPr>
            <w:tcW w:w="6165" w:type="dxa"/>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rPr>
            </w:pPr>
          </w:p>
        </w:tc>
        <w:tc>
          <w:tcPr>
            <w:tcW w:w="699" w:type="dxa"/>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7.1</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评标委员会的组建</w:t>
            </w:r>
          </w:p>
        </w:tc>
        <w:tc>
          <w:tcPr>
            <w:tcW w:w="6165" w:type="dxa"/>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03" w:type="dxa"/>
            <w:vMerge w:val="restart"/>
          </w:tcPr>
          <w:p>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第三章</w:t>
            </w:r>
          </w:p>
        </w:tc>
        <w:tc>
          <w:tcPr>
            <w:tcW w:w="699" w:type="dxa"/>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rPr>
            </w:pPr>
            <w:r>
              <w:rPr>
                <w:rFonts w:ascii="宋体" w:hAnsi="宋体" w:cs="楷体_GB2312"/>
                <w:b/>
                <w:bCs/>
                <w:color w:val="auto"/>
                <w:szCs w:val="21"/>
              </w:rPr>
              <w:t>8.1</w:t>
            </w:r>
          </w:p>
        </w:tc>
        <w:tc>
          <w:tcPr>
            <w:tcW w:w="2386" w:type="dxa"/>
            <w:vAlign w:val="center"/>
          </w:tcPr>
          <w:p>
            <w:pPr>
              <w:autoSpaceDE w:val="0"/>
              <w:autoSpaceDN w:val="0"/>
              <w:adjustRightInd w:val="0"/>
              <w:snapToGrid w:val="0"/>
              <w:spacing w:line="240" w:lineRule="auto"/>
              <w:jc w:val="center"/>
              <w:rPr>
                <w:rFonts w:ascii="宋体"/>
                <w:b/>
                <w:color w:val="auto"/>
                <w:sz w:val="24"/>
              </w:rPr>
            </w:pPr>
            <w:r>
              <w:rPr>
                <w:rFonts w:hint="eastAsia" w:ascii="宋体" w:hAnsi="宋体"/>
                <w:b/>
                <w:color w:val="auto"/>
                <w:sz w:val="24"/>
              </w:rPr>
              <w:t>是否授权评标委员会确定中标人</w:t>
            </w:r>
          </w:p>
        </w:tc>
        <w:tc>
          <w:tcPr>
            <w:tcW w:w="6165" w:type="dxa"/>
            <w:vAlign w:val="center"/>
          </w:tcPr>
          <w:p>
            <w:pPr>
              <w:adjustRightInd w:val="0"/>
              <w:snapToGrid w:val="0"/>
              <w:spacing w:beforeLines="50" w:line="240" w:lineRule="auto"/>
              <w:rPr>
                <w:rFonts w:ascii="宋体" w:hAnsi="宋体"/>
                <w:color w:val="auto"/>
                <w:sz w:val="24"/>
              </w:rPr>
            </w:pPr>
            <w:r>
              <w:rPr>
                <w:rFonts w:hint="eastAsia" w:ascii="宋体" w:hAnsi="宋体"/>
                <w:color w:val="auto"/>
                <w:sz w:val="24"/>
              </w:rPr>
              <w:t>是。评标委员会按照综合得分由高到低的顺序提出</w:t>
            </w:r>
            <w:r>
              <w:rPr>
                <w:rFonts w:ascii="宋体" w:hAnsi="宋体"/>
                <w:color w:val="auto"/>
                <w:sz w:val="24"/>
              </w:rPr>
              <w:t>3</w:t>
            </w:r>
            <w:r>
              <w:rPr>
                <w:rFonts w:hint="eastAsia" w:ascii="宋体" w:hAnsi="宋体"/>
                <w:color w:val="auto"/>
                <w:sz w:val="24"/>
              </w:rPr>
              <w:t>名中标候选人，并确定排名第一的中标候选人为中标人。</w:t>
            </w:r>
          </w:p>
          <w:p>
            <w:pPr>
              <w:adjustRightInd w:val="0"/>
              <w:snapToGrid w:val="0"/>
              <w:spacing w:beforeLines="50" w:line="240" w:lineRule="auto"/>
              <w:rPr>
                <w:rFonts w:ascii="宋体"/>
                <w:color w:val="auto"/>
                <w:sz w:val="24"/>
              </w:rPr>
            </w:pPr>
            <w:r>
              <w:rPr>
                <w:rFonts w:hint="eastAsia" w:ascii="宋体"/>
                <w:color w:val="auto"/>
                <w:sz w:val="24"/>
              </w:rPr>
              <w:t>注：本次招标项目投标人可参与多标段（包）投标，为保证及时供货、安装调试、运维，投标人最多中一个标段（包）。评标委员会将按标段（包）1-3的顺序进行评审，综合得分最高的单位则按标段（包）顺序确定中标标段（包）。其它标段（包）的中标候选人确认顺序依据上述原则依次确认。如：A公司为标段（包）1、2综合得分最高，则只确定标段（包）1为中标候选人，标段（包）2则由综合得分次高的单位中标（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rPr>
            </w:pPr>
          </w:p>
        </w:tc>
        <w:tc>
          <w:tcPr>
            <w:tcW w:w="699" w:type="dxa"/>
            <w:vAlign w:val="center"/>
          </w:tcPr>
          <w:p>
            <w:pPr>
              <w:autoSpaceDE w:val="0"/>
              <w:autoSpaceDN w:val="0"/>
              <w:adjustRightInd w:val="0"/>
              <w:snapToGrid w:val="0"/>
              <w:spacing w:line="240" w:lineRule="auto"/>
              <w:jc w:val="center"/>
              <w:rPr>
                <w:rFonts w:ascii="宋体" w:cs="楷体_GB2312"/>
                <w:b/>
                <w:bCs/>
                <w:color w:val="auto"/>
                <w:sz w:val="24"/>
              </w:rPr>
            </w:pPr>
            <w:r>
              <w:rPr>
                <w:rFonts w:ascii="宋体" w:hAnsi="宋体" w:cs="楷体_GB2312"/>
                <w:b/>
                <w:bCs/>
                <w:color w:val="auto"/>
                <w:sz w:val="24"/>
              </w:rPr>
              <w:t>8.2</w:t>
            </w:r>
          </w:p>
        </w:tc>
        <w:tc>
          <w:tcPr>
            <w:tcW w:w="2386" w:type="dxa"/>
            <w:vAlign w:val="center"/>
          </w:tcPr>
          <w:p>
            <w:pPr>
              <w:autoSpaceDE w:val="0"/>
              <w:autoSpaceDN w:val="0"/>
              <w:adjustRightInd w:val="0"/>
              <w:snapToGrid w:val="0"/>
              <w:spacing w:line="240" w:lineRule="auto"/>
              <w:jc w:val="center"/>
              <w:rPr>
                <w:rFonts w:ascii="宋体"/>
                <w:b/>
                <w:color w:val="auto"/>
                <w:sz w:val="24"/>
              </w:rPr>
            </w:pPr>
            <w:r>
              <w:rPr>
                <w:rFonts w:hint="eastAsia" w:ascii="宋体" w:hAnsi="宋体"/>
                <w:b/>
                <w:color w:val="auto"/>
                <w:sz w:val="24"/>
              </w:rPr>
              <w:t>中标结果公告</w:t>
            </w:r>
          </w:p>
        </w:tc>
        <w:tc>
          <w:tcPr>
            <w:tcW w:w="6165" w:type="dxa"/>
            <w:vAlign w:val="center"/>
          </w:tcPr>
          <w:p>
            <w:pPr>
              <w:adjustRightInd w:val="0"/>
              <w:snapToGrid w:val="0"/>
              <w:spacing w:beforeLines="50" w:line="240" w:lineRule="auto"/>
              <w:rPr>
                <w:rFonts w:ascii="宋体"/>
                <w:color w:val="auto"/>
                <w:sz w:val="24"/>
              </w:rPr>
            </w:pPr>
            <w:r>
              <w:rPr>
                <w:rFonts w:hint="eastAsia" w:ascii="宋体" w:hAnsi="宋体"/>
                <w:color w:val="auto"/>
                <w:sz w:val="24"/>
              </w:rPr>
              <w:t>本次公开招标的中标结果将在中标人确定之日起1个工作日内，在招标公告所述媒介公告</w:t>
            </w:r>
            <w:r>
              <w:rPr>
                <w:rFonts w:ascii="宋体" w:hAnsi="宋体"/>
                <w:color w:val="auto"/>
                <w:sz w:val="24"/>
              </w:rPr>
              <w:t>1</w:t>
            </w:r>
            <w:r>
              <w:rPr>
                <w:rFonts w:hint="eastAsia" w:ascii="宋体" w:hAnsi="宋体"/>
                <w:color w:val="auto"/>
                <w:sz w:val="24"/>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rPr>
            </w:pPr>
          </w:p>
        </w:tc>
        <w:tc>
          <w:tcPr>
            <w:tcW w:w="699" w:type="dxa"/>
            <w:vAlign w:val="center"/>
          </w:tcPr>
          <w:p>
            <w:pPr>
              <w:autoSpaceDE w:val="0"/>
              <w:autoSpaceDN w:val="0"/>
              <w:adjustRightInd w:val="0"/>
              <w:snapToGrid w:val="0"/>
              <w:spacing w:line="240" w:lineRule="auto"/>
              <w:jc w:val="center"/>
              <w:rPr>
                <w:rFonts w:ascii="宋体" w:cs="楷体_GB2312"/>
                <w:b/>
                <w:bCs/>
                <w:color w:val="auto"/>
                <w:sz w:val="24"/>
              </w:rPr>
            </w:pPr>
            <w:r>
              <w:rPr>
                <w:rFonts w:ascii="宋体" w:hAnsi="宋体" w:cs="楷体_GB2312"/>
                <w:b/>
                <w:bCs/>
                <w:color w:val="auto"/>
                <w:sz w:val="24"/>
              </w:rPr>
              <w:t>8.3</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质疑、投诉</w:t>
            </w:r>
          </w:p>
        </w:tc>
        <w:tc>
          <w:tcPr>
            <w:tcW w:w="6165" w:type="dxa"/>
            <w:vAlign w:val="center"/>
          </w:tcPr>
          <w:p>
            <w:pPr>
              <w:rPr>
                <w:rFonts w:ascii="宋体" w:hAnsi="宋体"/>
                <w:color w:val="auto"/>
                <w:sz w:val="24"/>
              </w:rPr>
            </w:pPr>
            <w:r>
              <w:rPr>
                <w:rFonts w:hint="eastAsia" w:ascii="宋体" w:hAnsi="宋体"/>
                <w:color w:val="auto"/>
                <w:sz w:val="24"/>
              </w:rPr>
              <w:t>参与本次采购活动的供应商如有异议，可在各环节法定质疑期内向采购代理机构一次性提出针对该采购程序环节的书面质疑函，书面原件送达至招标文件列示的采购代理机构及采购单位联系人处；依据法规规定，质疑函应当有明确的请求和必要的证明材料，应当包括下列内容：1、供应商的姓名或者名称、地址、邮编、联系人及联系电话；2、质疑项目的名称、编号；3、具体、明确的质疑事项和与质疑事项相关的请求；4、事实依据；5、必要的法律依据；6、提出质</w:t>
            </w:r>
            <w:r>
              <w:rPr>
                <w:rFonts w:hint="eastAsia" w:ascii="宋体" w:hAnsi="宋体"/>
                <w:bCs/>
                <w:color w:val="auto"/>
                <w:sz w:val="24"/>
                <w:szCs w:val="24"/>
              </w:rPr>
              <w:t>疑的日期。供应商为自然人的，应当由本人签字；供应商为法人或者其他组织的，应当由法定代表人、主要负责人，或者其授权代表签字或者盖章，并加盖公章。</w:t>
            </w:r>
            <w:r>
              <w:rPr>
                <w:rFonts w:hint="eastAsia" w:ascii="宋体" w:hAnsi="宋体"/>
                <w:color w:val="auto"/>
                <w:sz w:val="24"/>
              </w:rPr>
              <w:t>如对采购代理机构的答复仍有异议的，可向同级财政局政府采购监督管理办公室提出书面投诉。（具体程序按照《政府采购质疑和投诉办法》执行）。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rPr>
            </w:pPr>
          </w:p>
        </w:tc>
        <w:tc>
          <w:tcPr>
            <w:tcW w:w="699" w:type="dxa"/>
            <w:vAlign w:val="center"/>
          </w:tcPr>
          <w:p>
            <w:pPr>
              <w:autoSpaceDE w:val="0"/>
              <w:autoSpaceDN w:val="0"/>
              <w:adjustRightInd w:val="0"/>
              <w:snapToGrid w:val="0"/>
              <w:spacing w:line="240" w:lineRule="auto"/>
              <w:jc w:val="center"/>
              <w:rPr>
                <w:rFonts w:ascii="宋体" w:cs="楷体_GB2312"/>
                <w:b/>
                <w:bCs/>
                <w:color w:val="auto"/>
                <w:sz w:val="24"/>
              </w:rPr>
            </w:pPr>
            <w:r>
              <w:rPr>
                <w:rFonts w:ascii="宋体" w:hAnsi="宋体" w:cs="楷体_GB2312"/>
                <w:b/>
                <w:bCs/>
                <w:color w:val="auto"/>
                <w:sz w:val="24"/>
              </w:rPr>
              <w:t>8.4</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中标通知书</w:t>
            </w:r>
          </w:p>
        </w:tc>
        <w:tc>
          <w:tcPr>
            <w:tcW w:w="6165" w:type="dxa"/>
            <w:vAlign w:val="center"/>
          </w:tcPr>
          <w:p>
            <w:pPr>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采购代理机构在中标人确定后1个工作日内，向中标人发出中标通知书。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restart"/>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9"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ascii="宋体" w:hAnsi="宋体" w:cs="楷体_GB2312"/>
                <w:b/>
                <w:bCs/>
                <w:color w:val="auto"/>
                <w:sz w:val="24"/>
                <w:lang w:val="zh-CN"/>
              </w:rPr>
              <w:t>8.5</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履约保证金</w:t>
            </w:r>
          </w:p>
        </w:tc>
        <w:tc>
          <w:tcPr>
            <w:tcW w:w="6165" w:type="dxa"/>
            <w:vAlign w:val="center"/>
          </w:tcPr>
          <w:p>
            <w:pPr>
              <w:widowControl w:val="0"/>
              <w:snapToGrid w:val="0"/>
              <w:spacing w:beforeLines="50" w:line="240" w:lineRule="auto"/>
              <w:rPr>
                <w:color w:val="auto"/>
                <w:sz w:val="24"/>
                <w:szCs w:val="24"/>
              </w:rPr>
            </w:pPr>
            <w:r>
              <w:rPr>
                <w:rFonts w:hint="eastAsia"/>
                <w:color w:val="auto"/>
                <w:sz w:val="24"/>
                <w:szCs w:val="24"/>
              </w:rPr>
              <w:t>不需缴纳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ascii="宋体" w:hAnsi="宋体" w:cs="楷体_GB2312"/>
                <w:b/>
                <w:bCs/>
                <w:color w:val="auto"/>
                <w:sz w:val="24"/>
                <w:lang w:val="zh-CN"/>
              </w:rPr>
              <w:t>9</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验收</w:t>
            </w:r>
          </w:p>
        </w:tc>
        <w:tc>
          <w:tcPr>
            <w:tcW w:w="6165" w:type="dxa"/>
            <w:vAlign w:val="center"/>
          </w:tcPr>
          <w:p>
            <w:pPr>
              <w:widowControl w:val="0"/>
              <w:snapToGrid w:val="0"/>
              <w:spacing w:beforeLines="50" w:line="240" w:lineRule="auto"/>
              <w:rPr>
                <w:color w:val="auto"/>
                <w:sz w:val="24"/>
                <w:szCs w:val="24"/>
              </w:rPr>
            </w:pPr>
            <w:r>
              <w:rPr>
                <w:rFonts w:hint="eastAsia"/>
                <w:color w:val="auto"/>
                <w:sz w:val="24"/>
                <w:szCs w:val="24"/>
              </w:rPr>
              <w:t>见“第三章投标人须知”相应条款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tcPr>
          <w:p>
            <w:pPr>
              <w:autoSpaceDE w:val="0"/>
              <w:autoSpaceDN w:val="0"/>
              <w:adjustRightInd w:val="0"/>
              <w:spacing w:line="360" w:lineRule="auto"/>
              <w:rPr>
                <w:rFonts w:ascii="宋体" w:cs="楷体_GB2312"/>
                <w:b/>
                <w:bCs/>
                <w:color w:val="auto"/>
                <w:sz w:val="24"/>
              </w:rPr>
            </w:pPr>
          </w:p>
        </w:tc>
        <w:tc>
          <w:tcPr>
            <w:tcW w:w="699" w:type="dxa"/>
            <w:vAlign w:val="center"/>
          </w:tcPr>
          <w:p>
            <w:pPr>
              <w:autoSpaceDE w:val="0"/>
              <w:autoSpaceDN w:val="0"/>
              <w:adjustRightInd w:val="0"/>
              <w:spacing w:line="360" w:lineRule="auto"/>
              <w:jc w:val="center"/>
              <w:rPr>
                <w:rFonts w:ascii="宋体" w:cs="楷体_GB2312"/>
                <w:b/>
                <w:bCs/>
                <w:color w:val="auto"/>
                <w:sz w:val="24"/>
              </w:rPr>
            </w:pPr>
            <w:r>
              <w:rPr>
                <w:rFonts w:ascii="宋体" w:hAnsi="宋体" w:cs="楷体_GB2312"/>
                <w:b/>
                <w:bCs/>
                <w:color w:val="auto"/>
                <w:sz w:val="24"/>
              </w:rPr>
              <w:t>10</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付款</w:t>
            </w:r>
          </w:p>
        </w:tc>
        <w:tc>
          <w:tcPr>
            <w:tcW w:w="6165" w:type="dxa"/>
            <w:vAlign w:val="center"/>
          </w:tcPr>
          <w:p>
            <w:pPr>
              <w:snapToGrid w:val="0"/>
              <w:spacing w:beforeLines="50" w:line="240" w:lineRule="auto"/>
              <w:ind w:firstLine="480" w:firstLineChars="200"/>
              <w:rPr>
                <w:color w:val="auto"/>
                <w:sz w:val="24"/>
                <w:szCs w:val="24"/>
              </w:rPr>
            </w:pPr>
            <w:bookmarkStart w:id="24" w:name="OLE_LINK11"/>
            <w:r>
              <w:rPr>
                <w:rFonts w:hint="eastAsia"/>
                <w:color w:val="auto"/>
                <w:sz w:val="24"/>
                <w:szCs w:val="24"/>
              </w:rPr>
              <w:t>为优化政府采购营商环境，根据安财购﹝2019﹞8号文件落实政府采购预付款的规定，采购人可在政府采购合同履约前向中标人预付</w:t>
            </w:r>
            <w:r>
              <w:rPr>
                <w:rFonts w:hint="eastAsia"/>
                <w:color w:val="auto"/>
                <w:sz w:val="24"/>
                <w:szCs w:val="24"/>
                <w:u w:val="single"/>
              </w:rPr>
              <w:t>30%</w:t>
            </w:r>
            <w:r>
              <w:rPr>
                <w:rFonts w:hint="eastAsia"/>
                <w:color w:val="auto"/>
                <w:sz w:val="24"/>
                <w:szCs w:val="24"/>
              </w:rPr>
              <w:t>的合同资金，中标人应向采购人提交预付款保函，未提供保函的，视同其放弃项目预付款的支付。</w:t>
            </w:r>
          </w:p>
          <w:p>
            <w:pPr>
              <w:snapToGrid w:val="0"/>
              <w:spacing w:beforeLines="50" w:line="240" w:lineRule="auto"/>
              <w:ind w:firstLine="480" w:firstLineChars="200"/>
              <w:rPr>
                <w:color w:val="auto"/>
                <w:sz w:val="24"/>
                <w:szCs w:val="24"/>
              </w:rPr>
            </w:pPr>
            <w:r>
              <w:rPr>
                <w:rFonts w:hint="eastAsia"/>
                <w:color w:val="auto"/>
                <w:sz w:val="24"/>
                <w:szCs w:val="24"/>
              </w:rPr>
              <w:t>为进一步优化营商环境，根据安财购﹝</w:t>
            </w:r>
            <w:r>
              <w:rPr>
                <w:color w:val="auto"/>
                <w:sz w:val="24"/>
                <w:szCs w:val="24"/>
              </w:rPr>
              <w:t>2022</w:t>
            </w:r>
            <w:r>
              <w:rPr>
                <w:rFonts w:hint="eastAsia"/>
                <w:color w:val="auto"/>
                <w:sz w:val="24"/>
                <w:szCs w:val="24"/>
              </w:rPr>
              <w:t>﹞</w:t>
            </w:r>
            <w:r>
              <w:rPr>
                <w:color w:val="auto"/>
                <w:sz w:val="24"/>
                <w:szCs w:val="24"/>
              </w:rPr>
              <w:t>8</w:t>
            </w:r>
            <w:r>
              <w:rPr>
                <w:rFonts w:hint="eastAsia"/>
                <w:color w:val="auto"/>
                <w:sz w:val="24"/>
                <w:szCs w:val="24"/>
              </w:rPr>
              <w:t>号文件落实政府采购中小企业预付款的规定，采购人可在政府采购合同签订后，向中标人原则上预付不低于合同金额</w:t>
            </w:r>
            <w:r>
              <w:rPr>
                <w:color w:val="auto"/>
                <w:sz w:val="24"/>
                <w:szCs w:val="24"/>
              </w:rPr>
              <w:t>50%</w:t>
            </w:r>
            <w:r>
              <w:rPr>
                <w:rFonts w:hint="eastAsia"/>
                <w:color w:val="auto"/>
                <w:sz w:val="24"/>
                <w:szCs w:val="24"/>
              </w:rPr>
              <w:t>的预付款，中标人应向采购人提交预付款保函，未提供保函的，视同其放弃项目预付款的支付。</w:t>
            </w:r>
          </w:p>
          <w:p>
            <w:pPr>
              <w:snapToGrid w:val="0"/>
              <w:spacing w:beforeLines="50" w:line="240" w:lineRule="auto"/>
              <w:ind w:firstLine="480" w:firstLineChars="200"/>
              <w:rPr>
                <w:color w:val="auto"/>
                <w:sz w:val="24"/>
                <w:szCs w:val="24"/>
              </w:rPr>
            </w:pPr>
            <w:r>
              <w:rPr>
                <w:rFonts w:hint="eastAsia"/>
                <w:color w:val="auto"/>
                <w:sz w:val="24"/>
                <w:szCs w:val="24"/>
              </w:rPr>
              <w:t>项目完成后，采购人需持从“安阳市政府采购网”登录系统下载本项目带水印的《安阳市市直政府采购资金申请表》和《安阳市市直政府采购申报表》，以及《政府采购验收报告》和发票等，作为付款依据</w:t>
            </w:r>
            <w:bookmarkEnd w:id="24"/>
            <w:r>
              <w:rPr>
                <w:rFonts w:hint="eastAsia"/>
                <w:color w:val="auto"/>
                <w:sz w:val="24"/>
                <w:szCs w:val="24"/>
              </w:rPr>
              <w:t>；具体付款方式以最终双方签订合同为准。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tcPr>
          <w:p>
            <w:pPr>
              <w:autoSpaceDE w:val="0"/>
              <w:autoSpaceDN w:val="0"/>
              <w:adjustRightInd w:val="0"/>
              <w:spacing w:line="360" w:lineRule="auto"/>
              <w:rPr>
                <w:rFonts w:ascii="宋体" w:cs="楷体_GB2312"/>
                <w:b/>
                <w:bCs/>
                <w:color w:val="auto"/>
                <w:sz w:val="24"/>
              </w:rPr>
            </w:pPr>
          </w:p>
        </w:tc>
        <w:tc>
          <w:tcPr>
            <w:tcW w:w="699" w:type="dxa"/>
            <w:vAlign w:val="center"/>
          </w:tcPr>
          <w:p>
            <w:pPr>
              <w:autoSpaceDE w:val="0"/>
              <w:autoSpaceDN w:val="0"/>
              <w:adjustRightInd w:val="0"/>
              <w:spacing w:line="360" w:lineRule="auto"/>
              <w:jc w:val="center"/>
              <w:rPr>
                <w:rFonts w:ascii="宋体" w:hAnsi="宋体" w:cs="楷体_GB2312"/>
                <w:b/>
                <w:bCs/>
                <w:color w:val="auto"/>
                <w:sz w:val="24"/>
              </w:rPr>
            </w:pPr>
            <w:r>
              <w:rPr>
                <w:rFonts w:ascii="宋体" w:hAnsi="宋体" w:cs="楷体_GB2312"/>
                <w:b/>
                <w:bCs/>
                <w:color w:val="auto"/>
                <w:sz w:val="24"/>
              </w:rPr>
              <w:t>11</w:t>
            </w:r>
          </w:p>
        </w:tc>
        <w:tc>
          <w:tcPr>
            <w:tcW w:w="2386" w:type="dxa"/>
            <w:vAlign w:val="center"/>
          </w:tcPr>
          <w:p>
            <w:pPr>
              <w:autoSpaceDE w:val="0"/>
              <w:autoSpaceDN w:val="0"/>
              <w:adjustRightInd w:val="0"/>
              <w:snapToGrid w:val="0"/>
              <w:spacing w:line="240" w:lineRule="auto"/>
              <w:jc w:val="center"/>
              <w:rPr>
                <w:rFonts w:ascii="宋体" w:hAnsi="宋体"/>
                <w:b/>
                <w:color w:val="auto"/>
                <w:sz w:val="24"/>
              </w:rPr>
            </w:pPr>
            <w:r>
              <w:rPr>
                <w:rFonts w:hint="eastAsia" w:ascii="宋体" w:hAnsi="宋体"/>
                <w:b/>
                <w:color w:val="auto"/>
                <w:sz w:val="24"/>
              </w:rPr>
              <w:t>代理服务费</w:t>
            </w:r>
          </w:p>
        </w:tc>
        <w:tc>
          <w:tcPr>
            <w:tcW w:w="6165" w:type="dxa"/>
            <w:vAlign w:val="center"/>
          </w:tcPr>
          <w:p>
            <w:pPr>
              <w:adjustRightInd w:val="0"/>
              <w:snapToGrid w:val="0"/>
              <w:spacing w:beforeLines="50" w:line="240" w:lineRule="auto"/>
              <w:rPr>
                <w:rFonts w:ascii="宋体"/>
                <w:b/>
                <w:color w:val="auto"/>
                <w:sz w:val="24"/>
              </w:rPr>
            </w:pPr>
            <w:r>
              <w:rPr>
                <w:rFonts w:hint="eastAsia" w:ascii="宋体" w:hAnsi="宋体"/>
                <w:color w:val="auto"/>
                <w:sz w:val="24"/>
              </w:rPr>
              <w:t>参照国家计委《招标代理服务收费管理暂行办法》（计价格【</w:t>
            </w:r>
            <w:r>
              <w:rPr>
                <w:rFonts w:ascii="宋体" w:hAnsi="宋体"/>
                <w:color w:val="auto"/>
                <w:sz w:val="24"/>
              </w:rPr>
              <w:t>2002</w:t>
            </w:r>
            <w:r>
              <w:rPr>
                <w:rFonts w:hint="eastAsia" w:ascii="宋体" w:hAnsi="宋体"/>
                <w:color w:val="auto"/>
                <w:sz w:val="24"/>
              </w:rPr>
              <w:t>】</w:t>
            </w:r>
            <w:r>
              <w:rPr>
                <w:rFonts w:ascii="宋体" w:hAnsi="宋体"/>
                <w:color w:val="auto"/>
                <w:sz w:val="24"/>
              </w:rPr>
              <w:t>1980</w:t>
            </w:r>
            <w:r>
              <w:rPr>
                <w:rFonts w:hint="eastAsia" w:ascii="宋体" w:hAnsi="宋体"/>
                <w:color w:val="auto"/>
                <w:sz w:val="24"/>
              </w:rPr>
              <w:t>号）、《国家发展和改革委员会办公厅关于招标代理服务费有关问题的通知》（发改办价格【</w:t>
            </w:r>
            <w:r>
              <w:rPr>
                <w:rFonts w:ascii="宋体" w:hAnsi="宋体"/>
                <w:color w:val="auto"/>
                <w:sz w:val="24"/>
              </w:rPr>
              <w:t>2003</w:t>
            </w:r>
            <w:r>
              <w:rPr>
                <w:rFonts w:hint="eastAsia" w:ascii="宋体" w:hAnsi="宋体"/>
                <w:color w:val="auto"/>
                <w:sz w:val="24"/>
              </w:rPr>
              <w:t>】</w:t>
            </w:r>
            <w:r>
              <w:rPr>
                <w:rFonts w:ascii="宋体" w:hAnsi="宋体"/>
                <w:color w:val="auto"/>
                <w:sz w:val="24"/>
              </w:rPr>
              <w:t>857</w:t>
            </w:r>
            <w:r>
              <w:rPr>
                <w:rFonts w:hint="eastAsia" w:ascii="宋体" w:hAnsi="宋体"/>
                <w:color w:val="auto"/>
                <w:sz w:val="24"/>
              </w:rPr>
              <w:t>号）及发改价格【</w:t>
            </w:r>
            <w:r>
              <w:rPr>
                <w:rFonts w:ascii="宋体" w:hAnsi="宋体"/>
                <w:color w:val="auto"/>
                <w:sz w:val="24"/>
              </w:rPr>
              <w:t>2011</w:t>
            </w:r>
            <w:r>
              <w:rPr>
                <w:rFonts w:hint="eastAsia" w:ascii="宋体" w:hAnsi="宋体"/>
                <w:color w:val="auto"/>
                <w:sz w:val="24"/>
              </w:rPr>
              <w:t>】</w:t>
            </w:r>
            <w:r>
              <w:rPr>
                <w:rFonts w:ascii="宋体" w:hAnsi="宋体"/>
                <w:color w:val="auto"/>
                <w:sz w:val="24"/>
              </w:rPr>
              <w:t>534</w:t>
            </w:r>
            <w:r>
              <w:rPr>
                <w:rFonts w:hint="eastAsia" w:ascii="宋体" w:hAnsi="宋体"/>
                <w:color w:val="auto"/>
                <w:sz w:val="24"/>
              </w:rPr>
              <w:t>号文件的规定，招标代理服务费由中标供应商支付。</w:t>
            </w:r>
          </w:p>
        </w:tc>
      </w:tr>
    </w:tbl>
    <w:p>
      <w:pPr>
        <w:autoSpaceDE w:val="0"/>
        <w:autoSpaceDN w:val="0"/>
        <w:adjustRightInd w:val="0"/>
        <w:spacing w:line="360" w:lineRule="auto"/>
        <w:rPr>
          <w:color w:val="auto"/>
        </w:rPr>
      </w:pPr>
    </w:p>
    <w:p>
      <w:pPr>
        <w:autoSpaceDE w:val="0"/>
        <w:autoSpaceDN w:val="0"/>
        <w:adjustRightInd w:val="0"/>
        <w:spacing w:line="360" w:lineRule="auto"/>
        <w:ind w:firstLine="539"/>
        <w:rPr>
          <w:color w:val="auto"/>
        </w:rPr>
      </w:pPr>
      <w:r>
        <w:rPr>
          <w:color w:val="auto"/>
        </w:rPr>
        <w:br w:type="page"/>
      </w:r>
    </w:p>
    <w:p>
      <w:pPr>
        <w:autoSpaceDE w:val="0"/>
        <w:autoSpaceDN w:val="0"/>
        <w:adjustRightInd w:val="0"/>
        <w:spacing w:line="360" w:lineRule="auto"/>
        <w:ind w:firstLine="539"/>
        <w:rPr>
          <w:color w:val="auto"/>
        </w:rPr>
      </w:pPr>
    </w:p>
    <w:p>
      <w:pPr>
        <w:autoSpaceDE w:val="0"/>
        <w:autoSpaceDN w:val="0"/>
        <w:adjustRightInd w:val="0"/>
        <w:snapToGrid w:val="0"/>
        <w:spacing w:beforeLines="50" w:line="300" w:lineRule="auto"/>
        <w:ind w:firstLine="539"/>
        <w:outlineLvl w:val="1"/>
        <w:rPr>
          <w:rFonts w:ascii="黑体" w:hAnsi="黑体" w:eastAsia="黑体"/>
          <w:color w:val="auto"/>
          <w:sz w:val="28"/>
          <w:szCs w:val="28"/>
          <w:lang w:val="zh-CN"/>
        </w:rPr>
      </w:pPr>
      <w:bookmarkStart w:id="25" w:name="_Toc114740087"/>
      <w:r>
        <w:rPr>
          <w:rFonts w:ascii="黑体" w:hAnsi="黑体" w:eastAsia="黑体" w:cs="楷体_GB2312"/>
          <w:b/>
          <w:bCs/>
          <w:color w:val="auto"/>
          <w:sz w:val="28"/>
          <w:szCs w:val="28"/>
          <w:lang w:val="zh-CN"/>
        </w:rPr>
        <w:t xml:space="preserve">1 </w:t>
      </w:r>
      <w:r>
        <w:rPr>
          <w:rFonts w:hint="eastAsia" w:ascii="黑体" w:hAnsi="黑体" w:eastAsia="黑体" w:cs="楷体_GB2312"/>
          <w:b/>
          <w:bCs/>
          <w:color w:val="auto"/>
          <w:sz w:val="28"/>
          <w:szCs w:val="28"/>
          <w:lang w:val="zh-CN"/>
        </w:rPr>
        <w:t>总则</w:t>
      </w:r>
      <w:bookmarkEnd w:id="25"/>
    </w:p>
    <w:p>
      <w:pPr>
        <w:autoSpaceDE w:val="0"/>
        <w:autoSpaceDN w:val="0"/>
        <w:adjustRightInd w:val="0"/>
        <w:snapToGrid w:val="0"/>
        <w:spacing w:beforeLines="50" w:line="300" w:lineRule="auto"/>
        <w:ind w:firstLine="539"/>
        <w:rPr>
          <w:rFonts w:ascii="宋体"/>
          <w:color w:val="auto"/>
          <w:sz w:val="24"/>
          <w:szCs w:val="24"/>
        </w:rPr>
      </w:pPr>
      <w:r>
        <w:rPr>
          <w:rFonts w:ascii="黑体" w:hAnsi="黑体" w:eastAsia="黑体" w:cs="楷体_GB2312"/>
          <w:b/>
          <w:color w:val="auto"/>
          <w:sz w:val="24"/>
          <w:lang w:val="zh-CN"/>
        </w:rPr>
        <w:t>1.1</w:t>
      </w:r>
      <w:r>
        <w:rPr>
          <w:rFonts w:hint="eastAsia" w:ascii="黑体" w:hAnsi="黑体" w:eastAsia="黑体" w:cs="楷体_GB2312"/>
          <w:b/>
          <w:color w:val="auto"/>
          <w:sz w:val="24"/>
          <w:lang w:val="zh-CN"/>
        </w:rPr>
        <w:t xml:space="preserve"> </w:t>
      </w:r>
      <w:r>
        <w:rPr>
          <w:rFonts w:hint="eastAsia" w:ascii="宋体" w:hAnsi="宋体"/>
          <w:color w:val="auto"/>
          <w:sz w:val="24"/>
          <w:szCs w:val="24"/>
        </w:rPr>
        <w:t>根据《中华人民共和国政府采购法》、《中华人民共和国政府采购法实施条例》、《政府采购货物和服务招标投标管理办法》及相关政府采购法律法规等制定本文件。</w:t>
      </w:r>
    </w:p>
    <w:p>
      <w:pPr>
        <w:adjustRightInd w:val="0"/>
        <w:snapToGrid w:val="0"/>
        <w:spacing w:beforeLines="50" w:line="300" w:lineRule="auto"/>
        <w:ind w:right="240" w:firstLine="482" w:firstLineChars="200"/>
        <w:rPr>
          <w:rFonts w:ascii="黑体" w:hAnsi="黑体" w:eastAsia="黑体" w:cs="楷体_GB2312"/>
          <w:b/>
          <w:color w:val="auto"/>
          <w:sz w:val="24"/>
          <w:lang w:val="zh-CN"/>
        </w:rPr>
      </w:pPr>
      <w:r>
        <w:rPr>
          <w:rFonts w:ascii="黑体" w:hAnsi="黑体" w:eastAsia="黑体" w:cs="楷体_GB2312"/>
          <w:b/>
          <w:color w:val="auto"/>
          <w:sz w:val="24"/>
          <w:lang w:val="zh-CN"/>
        </w:rPr>
        <w:t>1.2</w:t>
      </w:r>
      <w:r>
        <w:rPr>
          <w:rFonts w:hint="eastAsia" w:ascii="黑体" w:hAnsi="黑体" w:eastAsia="黑体" w:cs="楷体_GB2312"/>
          <w:b/>
          <w:color w:val="auto"/>
          <w:sz w:val="24"/>
          <w:lang w:val="zh-CN"/>
        </w:rPr>
        <w:t>招标文件的法律适用及法律效力</w:t>
      </w:r>
    </w:p>
    <w:p>
      <w:pPr>
        <w:adjustRightInd w:val="0"/>
        <w:snapToGrid w:val="0"/>
        <w:spacing w:beforeLines="50" w:line="300" w:lineRule="auto"/>
        <w:ind w:right="240" w:firstLine="547" w:firstLineChars="228"/>
        <w:rPr>
          <w:rFonts w:ascii="宋体"/>
          <w:color w:val="auto"/>
          <w:sz w:val="24"/>
          <w:szCs w:val="24"/>
        </w:rPr>
      </w:pPr>
      <w:r>
        <w:rPr>
          <w:rFonts w:ascii="宋体" w:hAnsi="宋体"/>
          <w:color w:val="auto"/>
          <w:sz w:val="24"/>
          <w:szCs w:val="24"/>
        </w:rPr>
        <w:t>1.2.1</w:t>
      </w:r>
      <w:r>
        <w:rPr>
          <w:rFonts w:hint="eastAsia" w:ascii="宋体" w:hAnsi="宋体"/>
          <w:color w:val="auto"/>
          <w:sz w:val="24"/>
          <w:szCs w:val="24"/>
        </w:rPr>
        <w:t>本</w:t>
      </w:r>
      <w:r>
        <w:rPr>
          <w:rFonts w:hint="eastAsia" w:ascii="宋体" w:hAnsi="宋体" w:cs="宋体"/>
          <w:color w:val="auto"/>
          <w:sz w:val="24"/>
          <w:szCs w:val="24"/>
        </w:rPr>
        <w:t>招标文件</w:t>
      </w:r>
      <w:r>
        <w:rPr>
          <w:rFonts w:hint="eastAsia" w:ascii="宋体" w:hAnsi="宋体"/>
          <w:color w:val="auto"/>
          <w:sz w:val="24"/>
          <w:szCs w:val="24"/>
        </w:rPr>
        <w:t>所述内容，仅适用于本次项目采购。</w:t>
      </w:r>
    </w:p>
    <w:p>
      <w:pPr>
        <w:adjustRightInd w:val="0"/>
        <w:snapToGrid w:val="0"/>
        <w:spacing w:beforeLines="50" w:line="300" w:lineRule="auto"/>
        <w:ind w:right="240" w:firstLine="547" w:firstLineChars="228"/>
        <w:rPr>
          <w:rFonts w:ascii="宋体"/>
          <w:color w:val="auto"/>
          <w:sz w:val="24"/>
          <w:szCs w:val="24"/>
        </w:rPr>
      </w:pPr>
      <w:r>
        <w:rPr>
          <w:rFonts w:ascii="宋体" w:hAnsi="宋体"/>
          <w:color w:val="auto"/>
          <w:sz w:val="24"/>
          <w:szCs w:val="24"/>
        </w:rPr>
        <w:t xml:space="preserve">1.2.2 </w:t>
      </w:r>
      <w:r>
        <w:rPr>
          <w:rFonts w:hint="eastAsia" w:ascii="宋体" w:hAnsi="宋体" w:cs="宋体"/>
          <w:color w:val="auto"/>
          <w:sz w:val="24"/>
          <w:szCs w:val="24"/>
        </w:rPr>
        <w:t>招标文件</w:t>
      </w:r>
      <w:r>
        <w:rPr>
          <w:rFonts w:hint="eastAsia" w:ascii="宋体" w:hAnsi="宋体"/>
          <w:color w:val="auto"/>
          <w:sz w:val="24"/>
          <w:szCs w:val="24"/>
        </w:rPr>
        <w:t>的修改性文件、补充文件、澄清文件或说明具有同等法律效力。</w:t>
      </w:r>
    </w:p>
    <w:p>
      <w:pPr>
        <w:adjustRightInd w:val="0"/>
        <w:snapToGrid w:val="0"/>
        <w:spacing w:beforeLines="50" w:line="300" w:lineRule="auto"/>
        <w:ind w:right="240" w:firstLine="547" w:firstLineChars="228"/>
        <w:rPr>
          <w:rFonts w:ascii="宋体"/>
          <w:color w:val="auto"/>
          <w:sz w:val="24"/>
          <w:szCs w:val="24"/>
        </w:rPr>
      </w:pPr>
      <w:r>
        <w:rPr>
          <w:rFonts w:ascii="宋体" w:hAnsi="宋体"/>
          <w:color w:val="auto"/>
          <w:sz w:val="24"/>
          <w:szCs w:val="24"/>
        </w:rPr>
        <w:t xml:space="preserve">1.2.3 </w:t>
      </w:r>
      <w:r>
        <w:rPr>
          <w:rFonts w:hint="eastAsia" w:ascii="宋体" w:hAnsi="宋体"/>
          <w:color w:val="auto"/>
          <w:sz w:val="24"/>
          <w:szCs w:val="24"/>
        </w:rPr>
        <w:t>本</w:t>
      </w:r>
      <w:r>
        <w:rPr>
          <w:rFonts w:hint="eastAsia" w:ascii="宋体" w:hAnsi="宋体" w:cs="宋体"/>
          <w:color w:val="auto"/>
          <w:sz w:val="24"/>
          <w:szCs w:val="24"/>
        </w:rPr>
        <w:t>招标文件</w:t>
      </w:r>
      <w:r>
        <w:rPr>
          <w:rFonts w:hint="eastAsia" w:ascii="宋体" w:hAnsi="宋体"/>
          <w:color w:val="auto"/>
          <w:sz w:val="24"/>
          <w:szCs w:val="24"/>
        </w:rPr>
        <w:t>适用于并执行《政府采购法》和其它相关的法律、法规。</w:t>
      </w:r>
    </w:p>
    <w:p>
      <w:pPr>
        <w:adjustRightInd w:val="0"/>
        <w:snapToGrid w:val="0"/>
        <w:spacing w:beforeLines="50" w:line="300" w:lineRule="auto"/>
        <w:ind w:right="240" w:firstLine="600" w:firstLineChars="250"/>
        <w:rPr>
          <w:rFonts w:ascii="宋体"/>
          <w:color w:val="auto"/>
          <w:sz w:val="24"/>
          <w:szCs w:val="24"/>
        </w:rPr>
      </w:pPr>
      <w:r>
        <w:rPr>
          <w:rFonts w:ascii="宋体" w:hAnsi="宋体"/>
          <w:color w:val="auto"/>
          <w:sz w:val="24"/>
          <w:szCs w:val="24"/>
        </w:rPr>
        <w:t xml:space="preserve">1.2.4 </w:t>
      </w:r>
      <w:r>
        <w:rPr>
          <w:rFonts w:hint="eastAsia" w:ascii="宋体" w:hAnsi="宋体"/>
          <w:color w:val="auto"/>
          <w:sz w:val="24"/>
          <w:szCs w:val="24"/>
        </w:rPr>
        <w:t>本</w:t>
      </w:r>
      <w:r>
        <w:rPr>
          <w:rFonts w:hint="eastAsia" w:ascii="宋体" w:hAnsi="宋体" w:cs="宋体"/>
          <w:color w:val="auto"/>
          <w:sz w:val="24"/>
          <w:szCs w:val="24"/>
        </w:rPr>
        <w:t>招标文件</w:t>
      </w:r>
      <w:r>
        <w:rPr>
          <w:rFonts w:hint="eastAsia" w:ascii="宋体" w:hAnsi="宋体"/>
          <w:color w:val="auto"/>
          <w:sz w:val="24"/>
          <w:szCs w:val="24"/>
        </w:rPr>
        <w:t>的解释权属采购人及代理机构。</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1.3</w:t>
      </w:r>
      <w:r>
        <w:rPr>
          <w:rFonts w:hint="eastAsia" w:ascii="黑体" w:hAnsi="黑体" w:eastAsia="黑体" w:cs="楷体_GB2312"/>
          <w:b/>
          <w:color w:val="auto"/>
          <w:sz w:val="24"/>
          <w:lang w:val="zh-CN"/>
        </w:rPr>
        <w:t xml:space="preserve"> 合格的投标人</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1.3.1 </w:t>
      </w:r>
      <w:r>
        <w:rPr>
          <w:rFonts w:hint="eastAsia" w:ascii="宋体" w:hAnsi="宋体" w:cs="楷体_GB2312"/>
          <w:color w:val="auto"/>
          <w:sz w:val="24"/>
          <w:lang w:val="zh-CN"/>
        </w:rPr>
        <w:t>凡符合招标文件规定，承认本招标文件所有内容的投标人为合格的投标人。</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1.3.2 </w:t>
      </w:r>
      <w:r>
        <w:rPr>
          <w:rFonts w:hint="eastAsia" w:ascii="宋体" w:hAnsi="宋体" w:cs="楷体_GB2312"/>
          <w:color w:val="auto"/>
          <w:sz w:val="24"/>
          <w:lang w:val="zh-CN"/>
        </w:rPr>
        <w:t>单位负责人为同一人或者存在直接控股、管理关系的不同供应商，不得参加同一合同项下的政府采购活动。</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1.3.3 </w:t>
      </w:r>
      <w:r>
        <w:rPr>
          <w:rFonts w:hint="eastAsia" w:ascii="宋体" w:hAnsi="宋体" w:cs="楷体_GB2312"/>
          <w:color w:val="auto"/>
          <w:sz w:val="24"/>
          <w:lang w:val="zh-CN"/>
        </w:rPr>
        <w:t>为招标项目提供整体设计、规范编制或者项目管理、监理、检测等服务的供应商，不得再参加该招标项目的其他采购活动。</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1.3.4 </w:t>
      </w:r>
      <w:r>
        <w:rPr>
          <w:rFonts w:hint="eastAsia" w:ascii="宋体" w:hAnsi="宋体" w:cs="楷体_GB2312"/>
          <w:color w:val="auto"/>
          <w:sz w:val="24"/>
          <w:lang w:val="zh-CN"/>
        </w:rPr>
        <w:t>投标人应遵守国家法律、法规和招标文件的规定。不得违背国家利益、社会公众利益。</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1.4</w:t>
      </w:r>
      <w:r>
        <w:rPr>
          <w:rFonts w:hint="eastAsia" w:ascii="黑体" w:hAnsi="黑体" w:eastAsia="黑体" w:cs="楷体_GB2312"/>
          <w:b/>
          <w:color w:val="auto"/>
          <w:sz w:val="24"/>
          <w:lang w:val="zh-CN"/>
        </w:rPr>
        <w:t>　联合体</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投标人须知前附表规定接受联合体投标的，应遵守以下规定：</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w:t>
      </w:r>
      <w:r>
        <w:rPr>
          <w:rFonts w:hint="eastAsia" w:ascii="宋体" w:hAnsi="宋体" w:cs="楷体_GB2312"/>
          <w:color w:val="auto"/>
          <w:sz w:val="24"/>
          <w:lang w:val="zh-CN"/>
        </w:rPr>
        <w:t>）两个以上供应商可以组成一个投标联合体，以一个投标人的身份投标，但必须确定其中一个单位为投标的全权代表参加投标活动，并承担投标及履约中应承担的全部责任和义务。</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cs="楷体_GB2312"/>
          <w:color w:val="auto"/>
          <w:sz w:val="24"/>
          <w:lang w:val="zh-CN"/>
        </w:rPr>
        <w:t>（</w:t>
      </w:r>
      <w:r>
        <w:rPr>
          <w:rFonts w:ascii="宋体" w:cs="楷体_GB2312"/>
          <w:color w:val="auto"/>
          <w:sz w:val="24"/>
          <w:lang w:val="zh-CN"/>
        </w:rPr>
        <w:t>2</w:t>
      </w:r>
      <w:r>
        <w:rPr>
          <w:rFonts w:hint="eastAsia" w:ascii="宋体" w:cs="楷体_GB2312"/>
          <w:color w:val="auto"/>
          <w:sz w:val="24"/>
          <w:lang w:val="zh-CN"/>
        </w:rPr>
        <w:t>）</w:t>
      </w:r>
      <w:r>
        <w:rPr>
          <w:rFonts w:hint="eastAsia" w:ascii="宋体" w:hAnsi="宋体" w:cs="楷体_GB2312"/>
          <w:color w:val="auto"/>
          <w:sz w:val="24"/>
          <w:lang w:val="zh-CN"/>
        </w:rPr>
        <w:t>以联合体形式参加投标的</w:t>
      </w:r>
      <w:r>
        <w:rPr>
          <w:rFonts w:hint="eastAsia" w:ascii="宋体" w:cs="楷体_GB2312"/>
          <w:color w:val="auto"/>
          <w:sz w:val="24"/>
          <w:lang w:val="zh-CN"/>
        </w:rPr>
        <w:t>，将对所有的联合体成员进行信用记录查询，联合体成员存在不良信用记录的，视同联合体存在不良信用记录，为无效投标。</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以联合体形式参加投标的，应符投标人须知前附表的要求，联合体各方均应当符合政府采购法第二十二条第一款规定的条件，联合体各方均应当具备承担招标项目（标段&lt;包&gt;）的相应能力、具备规定的相应资格条件。</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）联合体中有同类资质的供应商按照联合体分工承担相同工作的，应当按照资质等级较低的供应商确定资质等级。</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5</w:t>
      </w:r>
      <w:r>
        <w:rPr>
          <w:rFonts w:hint="eastAsia" w:ascii="宋体" w:hAnsi="宋体" w:cs="楷体_GB2312"/>
          <w:color w:val="auto"/>
          <w:sz w:val="24"/>
          <w:lang w:val="zh-CN"/>
        </w:rPr>
        <w:t>）联合体各方之间应当签订联合投标协议，明确约定联合体各方承担的工作和相应的责任，并将联合投标协议连同投标文件一并提交采购代理机构。</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）联合体各方签订联合投标协议后，不得再以自己名义单独在同一项目中投标，也不得组成新的联合体参加同一项目投标。</w:t>
      </w:r>
    </w:p>
    <w:p>
      <w:pPr>
        <w:autoSpaceDE w:val="0"/>
        <w:autoSpaceDN w:val="0"/>
        <w:adjustRightInd w:val="0"/>
        <w:snapToGrid w:val="0"/>
        <w:spacing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7</w:t>
      </w:r>
      <w:r>
        <w:rPr>
          <w:rFonts w:hint="eastAsia" w:ascii="宋体" w:hAnsi="宋体" w:cs="楷体_GB2312"/>
          <w:color w:val="auto"/>
          <w:sz w:val="24"/>
          <w:lang w:val="zh-CN"/>
        </w:rPr>
        <w:t>）联合体中标的，联合体各方应当共同与采购人签订合同，就中标项目（标段&lt;包&gt;）向采购人承担连带责任。</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（8）预留中小企业份额项目中，</w:t>
      </w:r>
      <w:r>
        <w:rPr>
          <w:rFonts w:hint="eastAsia" w:ascii="宋体" w:hAnsi="宋体"/>
          <w:color w:val="auto"/>
          <w:sz w:val="24"/>
          <w:szCs w:val="24"/>
        </w:rPr>
        <w:t>组成联合体的中小企业与联合体内其他企业不得存在直接控股、管理关系。</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hint="eastAsia" w:ascii="黑体" w:hAnsi="黑体" w:eastAsia="黑体" w:cs="楷体_GB2312"/>
          <w:b/>
          <w:color w:val="auto"/>
          <w:sz w:val="24"/>
          <w:lang w:val="zh-CN"/>
        </w:rPr>
        <w:t>1.5  知识产权</w:t>
      </w:r>
    </w:p>
    <w:p>
      <w:pPr>
        <w:ind w:firstLine="480" w:firstLineChars="200"/>
        <w:rPr>
          <w:rFonts w:ascii="宋体" w:hAnsi="宋体"/>
          <w:color w:val="auto"/>
          <w:sz w:val="24"/>
        </w:rPr>
      </w:pPr>
      <w:r>
        <w:rPr>
          <w:rFonts w:hint="eastAsia" w:ascii="宋体" w:hAnsi="宋体" w:cs="楷体_GB2312"/>
          <w:color w:val="auto"/>
          <w:sz w:val="24"/>
          <w:lang w:val="zh-CN"/>
        </w:rPr>
        <w:t>1.5.1 供应商须保证采购人使用投标货物、资料、技术、服务或其任何一部分时，享有不受限制的无偿使用权，不会产生因第三方提出侵犯其专利权、商标权或其它知识产权而引起的法律或经济纠纷。</w:t>
      </w:r>
      <w:r>
        <w:rPr>
          <w:rFonts w:hint="eastAsia" w:ascii="宋体" w:hAnsi="宋体"/>
          <w:color w:val="auto"/>
          <w:sz w:val="24"/>
        </w:rPr>
        <w:t>如因专利权、商标权或其它知识产权而引起法律和经济纠纷，由供应商承担所有相关责任。</w:t>
      </w:r>
    </w:p>
    <w:p>
      <w:pPr>
        <w:autoSpaceDE w:val="0"/>
        <w:autoSpaceDN w:val="0"/>
        <w:adjustRightInd w:val="0"/>
        <w:snapToGrid w:val="0"/>
        <w:spacing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如供应商不拥有相应的知识产权，则在投标报价中必须包括合法获取该知识产权的一切相关费用。如因此导致采购人损失的，供应商须承担全部赔偿责任。</w:t>
      </w:r>
    </w:p>
    <w:p>
      <w:pPr>
        <w:spacing w:line="360" w:lineRule="auto"/>
        <w:ind w:firstLine="480" w:firstLineChars="200"/>
        <w:jc w:val="left"/>
        <w:rPr>
          <w:rFonts w:ascii="宋体" w:hAnsi="宋体"/>
          <w:color w:val="auto"/>
          <w:sz w:val="24"/>
        </w:rPr>
      </w:pPr>
      <w:r>
        <w:rPr>
          <w:rFonts w:hint="eastAsia" w:ascii="宋体" w:hAnsi="宋体"/>
          <w:color w:val="auto"/>
          <w:sz w:val="24"/>
        </w:rPr>
        <w:t>1.5.2供应商将在采购项目实施过程中采用自有或者第三方知识成果的，应当在投标文件中载明，并提供相关知识产权证明文件。使用该知识成果后，供应商需提供开发接口和开发手册等技术资料，并承诺提供无限期支持，采购人享有使用权（含采购人委托第三方在该项目后续开发的使用权）。</w:t>
      </w:r>
    </w:p>
    <w:p>
      <w:pPr>
        <w:spacing w:line="360" w:lineRule="auto"/>
        <w:ind w:firstLine="480" w:firstLineChars="200"/>
        <w:jc w:val="left"/>
        <w:rPr>
          <w:rFonts w:ascii="宋体" w:hAnsi="宋体"/>
          <w:color w:val="auto"/>
          <w:sz w:val="24"/>
        </w:rPr>
      </w:pPr>
      <w:r>
        <w:rPr>
          <w:rFonts w:hint="eastAsia" w:ascii="宋体" w:hAnsi="宋体"/>
          <w:color w:val="auto"/>
          <w:sz w:val="24"/>
        </w:rPr>
        <w:t>1.5.3 除非招标文件特别规定，采购人享有本项目实施过程中产生的知识成果及知识产权。</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6</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投标费用</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无论投标过程中的做法和结果如何，无论何种原因的招标失败废标，投标人应自行承担所有与准备和参加投标有关的全部费用（类比商业采购中的客户洽谈费用），采购代理机构在任何情况下均无义务和责任承担投标人的任何费用。</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 xml:space="preserve">7 </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保密</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7</w:t>
      </w:r>
      <w:r>
        <w:rPr>
          <w:rFonts w:ascii="宋体" w:hAnsi="宋体" w:cs="楷体_GB2312"/>
          <w:color w:val="auto"/>
          <w:sz w:val="24"/>
          <w:lang w:val="zh-CN"/>
        </w:rPr>
        <w:t xml:space="preserve">.1 </w:t>
      </w:r>
      <w:r>
        <w:rPr>
          <w:rFonts w:hint="eastAsia" w:ascii="宋体" w:hAnsi="宋体" w:cs="楷体_GB2312"/>
          <w:color w:val="auto"/>
          <w:sz w:val="24"/>
          <w:lang w:val="zh-CN"/>
        </w:rPr>
        <w:t>参与公开招标活动的各方应对招标文件和投标文件中的商业和技术等秘密保密，投标人应在投标文件中对需保密事项予以书面声明，否则视为非保密事项。</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7</w:t>
      </w:r>
      <w:r>
        <w:rPr>
          <w:rFonts w:ascii="宋体" w:hAnsi="宋体" w:cs="楷体_GB2312"/>
          <w:color w:val="auto"/>
          <w:sz w:val="24"/>
          <w:lang w:val="zh-CN"/>
        </w:rPr>
        <w:t xml:space="preserve">.2 </w:t>
      </w:r>
      <w:r>
        <w:rPr>
          <w:rFonts w:hint="eastAsia" w:ascii="宋体" w:hAnsi="宋体" w:cs="楷体_GB2312"/>
          <w:color w:val="auto"/>
          <w:sz w:val="24"/>
          <w:lang w:val="zh-CN"/>
        </w:rPr>
        <w:t>依据政府采购中标结果及合同公告规定，中标（合同）标的名称、规格型号、单价及中标（合同）金额等内容不得作为商业秘密。</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 xml:space="preserve">8 </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语言文字</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除专用术语外，与公开招标有关的语言均使用中文。必要时专用术语应附有中文注释。如果投标文件或与投标有关的其它文件、信件及来往函电以其它语言书写，投标人应将其译成中文，并对中文译稿的真实、准确、完整承担责任。</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9</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计量单位</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所有计量均采用中华人民共和国法定计量单位。</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10</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踏勘现场</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10</w:t>
      </w:r>
      <w:r>
        <w:rPr>
          <w:rFonts w:ascii="宋体" w:hAnsi="宋体" w:cs="楷体_GB2312"/>
          <w:color w:val="auto"/>
          <w:sz w:val="24"/>
          <w:lang w:val="zh-CN"/>
        </w:rPr>
        <w:t xml:space="preserve">.1 </w:t>
      </w:r>
      <w:r>
        <w:rPr>
          <w:rFonts w:hint="eastAsia" w:ascii="宋体" w:hAnsi="宋体" w:cs="楷体_GB2312"/>
          <w:color w:val="auto"/>
          <w:sz w:val="24"/>
          <w:lang w:val="zh-CN"/>
        </w:rPr>
        <w:t>投标人踏勘现场发生的费用自理，投标人自行负责在踏勘现场中所发生的人员伤亡和财产损失。</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10</w:t>
      </w:r>
      <w:r>
        <w:rPr>
          <w:rFonts w:ascii="宋体" w:hAnsi="宋体" w:cs="楷体_GB2312"/>
          <w:color w:val="auto"/>
          <w:sz w:val="24"/>
          <w:lang w:val="zh-CN"/>
        </w:rPr>
        <w:t xml:space="preserve">.2 </w:t>
      </w:r>
      <w:r>
        <w:rPr>
          <w:rFonts w:hint="eastAsia" w:ascii="宋体" w:hAnsi="宋体" w:cs="楷体_GB2312"/>
          <w:color w:val="auto"/>
          <w:sz w:val="24"/>
          <w:lang w:val="zh-CN"/>
        </w:rPr>
        <w:t>投标人须知前附表规定组织踏勘现场的，采购人及代理机构按投标人须知前附表规定的时间、地点组织投标人踏勘项目现场。或者在招标文件提供期限截止后以书面形式通知所有获取招标文件的潜在投标人。采购人及代理机构在踏勘现场中介绍的交验安装条件和相关的周边环境情况，供投标人在编制投标文件时参考，采购人及代理机构不对投标人据此作出的判断和决策负责。</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10</w:t>
      </w:r>
      <w:r>
        <w:rPr>
          <w:rFonts w:ascii="宋体" w:hAnsi="宋体" w:cs="楷体_GB2312"/>
          <w:color w:val="auto"/>
          <w:sz w:val="24"/>
          <w:lang w:val="zh-CN"/>
        </w:rPr>
        <w:t xml:space="preserve">.3 </w:t>
      </w:r>
      <w:r>
        <w:rPr>
          <w:rFonts w:hint="eastAsia" w:ascii="宋体" w:hAnsi="宋体" w:cs="楷体_GB2312"/>
          <w:color w:val="auto"/>
          <w:sz w:val="24"/>
          <w:lang w:val="zh-CN"/>
        </w:rPr>
        <w:t>不组织踏勘现场的，招标文件不单独提供交付（实施）地自然环境、气候条件、交验安装条件等情况说明，投标人被视为熟悉前述与履行合同有关的一切情况，投标人可自行踏勘现场并自行了解相关情况。</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1.1</w:t>
      </w:r>
      <w:r>
        <w:rPr>
          <w:rFonts w:hint="eastAsia" w:ascii="黑体" w:hAnsi="黑体" w:eastAsia="黑体" w:cs="楷体_GB2312"/>
          <w:b/>
          <w:color w:val="auto"/>
          <w:sz w:val="24"/>
          <w:lang w:val="zh-CN"/>
        </w:rPr>
        <w:t>1</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开标前答疑会</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1.1</w:t>
      </w:r>
      <w:r>
        <w:rPr>
          <w:rFonts w:hint="eastAsia" w:ascii="宋体" w:hAnsi="宋体" w:cs="楷体_GB2312"/>
          <w:color w:val="auto"/>
          <w:sz w:val="24"/>
          <w:lang w:val="zh-CN"/>
        </w:rPr>
        <w:t>1</w:t>
      </w:r>
      <w:r>
        <w:rPr>
          <w:rFonts w:ascii="宋体" w:hAnsi="宋体" w:cs="楷体_GB2312"/>
          <w:color w:val="auto"/>
          <w:sz w:val="24"/>
          <w:lang w:val="zh-CN"/>
        </w:rPr>
        <w:t xml:space="preserve">.1 </w:t>
      </w:r>
      <w:r>
        <w:rPr>
          <w:rFonts w:hint="eastAsia" w:ascii="宋体" w:hAnsi="宋体" w:cs="楷体_GB2312"/>
          <w:color w:val="auto"/>
          <w:sz w:val="24"/>
          <w:lang w:val="zh-CN"/>
        </w:rPr>
        <w:t>采购人或者采购代理机构可以在招标文件提供期限截止后，组织已获取招标文件的潜在投标人召开开标前答疑会。</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召开答疑会的，将在招标文件中载明，或者在招标文件提供期限截止后以书面形式通知所有获取招标文件的潜在投标人。</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1.1</w:t>
      </w:r>
      <w:r>
        <w:rPr>
          <w:rFonts w:hint="eastAsia" w:ascii="宋体" w:hAnsi="宋体" w:cs="楷体_GB2312"/>
          <w:color w:val="auto"/>
          <w:sz w:val="24"/>
          <w:lang w:val="zh-CN"/>
        </w:rPr>
        <w:t>1</w:t>
      </w:r>
      <w:r>
        <w:rPr>
          <w:rFonts w:ascii="宋体" w:hAnsi="宋体" w:cs="楷体_GB2312"/>
          <w:color w:val="auto"/>
          <w:sz w:val="24"/>
          <w:lang w:val="zh-CN"/>
        </w:rPr>
        <w:t xml:space="preserve">.2 </w:t>
      </w:r>
      <w:r>
        <w:rPr>
          <w:rFonts w:hint="eastAsia" w:ascii="宋体" w:hAnsi="宋体" w:cs="楷体_GB2312"/>
          <w:color w:val="auto"/>
          <w:sz w:val="24"/>
          <w:lang w:val="zh-CN"/>
        </w:rPr>
        <w:t>投标人应在投标人须知前附表或书面通知规定的时间前，以书面形式将提出的问题送达采购人及代理机构，以便采购人及代理机构在会议期间答疑说明。投标人需要采购人或者采购代理机构书面澄清的问题，应当书面明确标注。</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1.1</w:t>
      </w:r>
      <w:r>
        <w:rPr>
          <w:rFonts w:hint="eastAsia" w:ascii="宋体" w:hAnsi="宋体" w:cs="楷体_GB2312"/>
          <w:color w:val="auto"/>
          <w:sz w:val="24"/>
          <w:lang w:val="zh-CN"/>
        </w:rPr>
        <w:t>1</w:t>
      </w:r>
      <w:r>
        <w:rPr>
          <w:rFonts w:ascii="宋体" w:hAnsi="宋体" w:cs="楷体_GB2312"/>
          <w:color w:val="auto"/>
          <w:sz w:val="24"/>
          <w:lang w:val="zh-CN"/>
        </w:rPr>
        <w:t xml:space="preserve">.3 </w:t>
      </w:r>
      <w:r>
        <w:rPr>
          <w:rFonts w:hint="eastAsia" w:ascii="宋体" w:hAnsi="宋体" w:cs="楷体_GB2312"/>
          <w:color w:val="auto"/>
          <w:sz w:val="24"/>
          <w:lang w:val="zh-CN"/>
        </w:rPr>
        <w:t>答疑会后，采购人及代理机构在投标人须知前附表规定的时间内，将对投标人依法提出的重要问题的澄清，以本章</w:t>
      </w:r>
      <w:r>
        <w:rPr>
          <w:rFonts w:ascii="宋体" w:hAnsi="宋体" w:cs="楷体_GB2312"/>
          <w:color w:val="auto"/>
          <w:sz w:val="24"/>
          <w:lang w:val="zh-CN"/>
        </w:rPr>
        <w:t>2.3.2</w:t>
      </w:r>
      <w:r>
        <w:rPr>
          <w:rFonts w:hint="eastAsia" w:ascii="宋体" w:hAnsi="宋体" w:cs="楷体_GB2312"/>
          <w:color w:val="auto"/>
          <w:sz w:val="24"/>
          <w:lang w:val="zh-CN"/>
        </w:rPr>
        <w:t>项方式通告潜在投标人。该澄清内容为招标文件的组成部分。</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1.1</w:t>
      </w:r>
      <w:r>
        <w:rPr>
          <w:rFonts w:hint="eastAsia" w:ascii="黑体" w:hAnsi="黑体" w:eastAsia="黑体" w:cs="楷体_GB2312"/>
          <w:b/>
          <w:color w:val="auto"/>
          <w:sz w:val="24"/>
          <w:lang w:val="zh-CN"/>
        </w:rPr>
        <w:t>2</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分包</w:t>
      </w:r>
    </w:p>
    <w:p>
      <w:pPr>
        <w:autoSpaceDE w:val="0"/>
        <w:autoSpaceDN w:val="0"/>
        <w:adjustRightInd w:val="0"/>
        <w:snapToGrid w:val="0"/>
        <w:spacing w:beforeLines="50" w:line="300" w:lineRule="auto"/>
        <w:ind w:firstLine="539"/>
        <w:rPr>
          <w:rFonts w:ascii="宋体" w:hAnsi="宋体" w:cs="宋体"/>
          <w:color w:val="auto"/>
          <w:sz w:val="24"/>
        </w:rPr>
      </w:pPr>
      <w:r>
        <w:rPr>
          <w:rFonts w:hint="eastAsia" w:ascii="宋体" w:hAnsi="宋体" w:cs="楷体_GB2312"/>
          <w:color w:val="auto"/>
          <w:sz w:val="24"/>
          <w:lang w:val="zh-CN"/>
        </w:rPr>
        <w:t>投标人拟中标后将中标项目（标段&lt;包&gt;）的部分非主体、非关键性工作进行分包的，应符合投标人须知前附表规定的分包内容、分包金额和接受分包的第三人资质要求等限制性条件。投标人</w:t>
      </w:r>
      <w:r>
        <w:rPr>
          <w:rFonts w:hint="eastAsia" w:ascii="宋体" w:hAnsi="宋体" w:cs="宋体"/>
          <w:color w:val="auto"/>
          <w:sz w:val="24"/>
        </w:rPr>
        <w:t>应当在投标文件中载明分包承担主体，分包承担主体应当具备相应资质条件且不得再次分包。</w:t>
      </w:r>
    </w:p>
    <w:p>
      <w:pPr>
        <w:autoSpaceDE w:val="0"/>
        <w:autoSpaceDN w:val="0"/>
        <w:adjustRightInd w:val="0"/>
        <w:snapToGrid w:val="0"/>
        <w:spacing w:beforeLines="50" w:line="300" w:lineRule="auto"/>
        <w:ind w:firstLine="539"/>
        <w:rPr>
          <w:rFonts w:ascii="宋体" w:hAnsi="宋体"/>
          <w:color w:val="auto"/>
          <w:sz w:val="24"/>
          <w:szCs w:val="24"/>
        </w:rPr>
      </w:pPr>
      <w:r>
        <w:rPr>
          <w:rFonts w:hint="eastAsia" w:ascii="宋体" w:hAnsi="宋体" w:cs="楷体_GB2312"/>
          <w:color w:val="auto"/>
          <w:sz w:val="24"/>
          <w:lang w:val="zh-CN"/>
        </w:rPr>
        <w:t>预留中小企业份额项目中，</w:t>
      </w:r>
      <w:r>
        <w:rPr>
          <w:rFonts w:hint="eastAsia" w:ascii="宋体" w:hAnsi="宋体"/>
          <w:color w:val="auto"/>
          <w:sz w:val="24"/>
          <w:szCs w:val="24"/>
        </w:rPr>
        <w:t>接受分包合同的中小企业与分包企业之间不得存在直接控股、管理关系</w:t>
      </w:r>
    </w:p>
    <w:p>
      <w:pPr>
        <w:autoSpaceDE w:val="0"/>
        <w:autoSpaceDN w:val="0"/>
        <w:adjustRightInd w:val="0"/>
        <w:snapToGrid w:val="0"/>
        <w:spacing w:beforeLines="50" w:line="300" w:lineRule="auto"/>
        <w:ind w:firstLine="539"/>
        <w:rPr>
          <w:rFonts w:ascii="宋体" w:cs="楷体_GB2312"/>
          <w:color w:val="auto"/>
          <w:sz w:val="24"/>
        </w:rPr>
      </w:pPr>
      <w:r>
        <w:rPr>
          <w:rFonts w:hint="eastAsia" w:ascii="宋体" w:cs="楷体_GB2312"/>
          <w:color w:val="auto"/>
          <w:sz w:val="24"/>
        </w:rPr>
        <w:t>依法享受扶持政策获得政府采购合同的，小微企业不得将合同分包给大中型企业，中型企业不得将合同分包给大型企业。</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1.1</w:t>
      </w:r>
      <w:r>
        <w:rPr>
          <w:rFonts w:hint="eastAsia" w:ascii="黑体" w:hAnsi="黑体" w:eastAsia="黑体" w:cs="楷体_GB2312"/>
          <w:b/>
          <w:color w:val="auto"/>
          <w:sz w:val="24"/>
          <w:lang w:val="zh-CN"/>
        </w:rPr>
        <w:t>3 偏离</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招标文件允许投标文件偏离招标文件某些要求的，偏离应当符合招标文件规定的偏离范围和幅度。</w:t>
      </w:r>
    </w:p>
    <w:p>
      <w:pPr>
        <w:autoSpaceDE w:val="0"/>
        <w:autoSpaceDN w:val="0"/>
        <w:adjustRightInd w:val="0"/>
        <w:snapToGrid w:val="0"/>
        <w:spacing w:beforeLines="50" w:line="300" w:lineRule="auto"/>
        <w:ind w:firstLine="539"/>
        <w:rPr>
          <w:rFonts w:ascii="黑体" w:hAnsi="黑体" w:eastAsia="黑体" w:cs="楷体_GB2312"/>
          <w:b/>
          <w:bCs/>
          <w:color w:val="auto"/>
          <w:sz w:val="28"/>
          <w:szCs w:val="28"/>
          <w:lang w:val="zh-CN"/>
        </w:rPr>
      </w:pPr>
    </w:p>
    <w:p>
      <w:pPr>
        <w:autoSpaceDE w:val="0"/>
        <w:autoSpaceDN w:val="0"/>
        <w:adjustRightInd w:val="0"/>
        <w:snapToGrid w:val="0"/>
        <w:spacing w:beforeLines="50" w:line="300" w:lineRule="auto"/>
        <w:ind w:firstLine="539"/>
        <w:outlineLvl w:val="1"/>
        <w:rPr>
          <w:rFonts w:ascii="黑体" w:hAnsi="黑体" w:eastAsia="黑体" w:cs="楷体_GB2312"/>
          <w:b/>
          <w:bCs/>
          <w:color w:val="auto"/>
          <w:sz w:val="28"/>
          <w:szCs w:val="28"/>
          <w:lang w:val="zh-CN"/>
        </w:rPr>
      </w:pPr>
      <w:bookmarkStart w:id="26" w:name="_Toc114740088"/>
      <w:r>
        <w:rPr>
          <w:rFonts w:ascii="黑体" w:hAnsi="黑体" w:eastAsia="黑体" w:cs="楷体_GB2312"/>
          <w:b/>
          <w:bCs/>
          <w:color w:val="auto"/>
          <w:sz w:val="28"/>
          <w:szCs w:val="28"/>
          <w:lang w:val="zh-CN"/>
        </w:rPr>
        <w:t xml:space="preserve">2 </w:t>
      </w:r>
      <w:r>
        <w:rPr>
          <w:rFonts w:hint="eastAsia" w:ascii="黑体" w:hAnsi="黑体" w:eastAsia="黑体" w:cs="楷体_GB2312"/>
          <w:b/>
          <w:bCs/>
          <w:color w:val="auto"/>
          <w:sz w:val="28"/>
          <w:szCs w:val="28"/>
          <w:lang w:val="zh-CN"/>
        </w:rPr>
        <w:t>招标文件</w:t>
      </w:r>
      <w:bookmarkEnd w:id="26"/>
    </w:p>
    <w:p>
      <w:pPr>
        <w:autoSpaceDE w:val="0"/>
        <w:autoSpaceDN w:val="0"/>
        <w:adjustRightInd w:val="0"/>
        <w:snapToGrid w:val="0"/>
        <w:spacing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2.1 </w:t>
      </w:r>
      <w:r>
        <w:rPr>
          <w:rFonts w:hint="eastAsia" w:ascii="黑体" w:hAnsi="黑体" w:eastAsia="黑体" w:cs="楷体_GB2312"/>
          <w:b/>
          <w:color w:val="auto"/>
          <w:sz w:val="24"/>
          <w:lang w:val="zh-CN"/>
        </w:rPr>
        <w:t>招标文件的组成</w:t>
      </w:r>
      <w:r>
        <w:rPr>
          <w:rFonts w:hint="eastAsia" w:ascii="宋体" w:hAnsi="宋体" w:cs="楷体_GB2312"/>
          <w:color w:val="auto"/>
          <w:sz w:val="24"/>
          <w:lang w:val="zh-CN"/>
        </w:rPr>
        <w:t>：</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2.1.1 </w:t>
      </w:r>
      <w:r>
        <w:rPr>
          <w:rFonts w:hint="eastAsia" w:ascii="宋体" w:hAnsi="宋体" w:cs="楷体_GB2312"/>
          <w:color w:val="auto"/>
          <w:sz w:val="24"/>
          <w:lang w:val="zh-CN"/>
        </w:rPr>
        <w:t>招标文件用以阐明招标项目的内容、程序和合同主要条款。招标文件由下述部分组成：</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w:t>
      </w:r>
      <w:r>
        <w:rPr>
          <w:rFonts w:hint="eastAsia" w:ascii="宋体" w:hAnsi="宋体" w:cs="楷体_GB2312"/>
          <w:color w:val="auto"/>
          <w:sz w:val="24"/>
          <w:lang w:val="zh-CN"/>
        </w:rPr>
        <w:t>）招标公告</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）招标项目要求及采购需求</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）投标人须知</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）评标办法</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5</w:t>
      </w:r>
      <w:r>
        <w:rPr>
          <w:rFonts w:hint="eastAsia" w:ascii="宋体" w:hAnsi="宋体" w:cs="楷体_GB2312"/>
          <w:color w:val="auto"/>
          <w:sz w:val="24"/>
          <w:lang w:val="zh-CN"/>
        </w:rPr>
        <w:t>）合同主要条款</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）投标文件格式</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2.1.2 </w:t>
      </w:r>
      <w:r>
        <w:rPr>
          <w:rFonts w:hint="eastAsia" w:ascii="宋体" w:hAnsi="宋体" w:cs="楷体_GB2312"/>
          <w:color w:val="auto"/>
          <w:sz w:val="24"/>
          <w:lang w:val="zh-CN"/>
        </w:rPr>
        <w:t>根据本章第</w:t>
      </w:r>
      <w:r>
        <w:rPr>
          <w:rFonts w:ascii="宋体" w:hAnsi="宋体" w:cs="楷体_GB2312"/>
          <w:color w:val="auto"/>
          <w:sz w:val="24"/>
          <w:lang w:val="zh-CN"/>
        </w:rPr>
        <w:t>1.1</w:t>
      </w:r>
      <w:r>
        <w:rPr>
          <w:rFonts w:hint="eastAsia" w:ascii="宋体" w:hAnsi="宋体" w:cs="楷体_GB2312"/>
          <w:color w:val="auto"/>
          <w:sz w:val="24"/>
          <w:lang w:val="zh-CN"/>
        </w:rPr>
        <w:t>1款、第</w:t>
      </w:r>
      <w:r>
        <w:rPr>
          <w:rFonts w:ascii="宋体" w:hAnsi="宋体" w:cs="楷体_GB2312"/>
          <w:color w:val="auto"/>
          <w:sz w:val="24"/>
          <w:lang w:val="zh-CN"/>
        </w:rPr>
        <w:t>2.2</w:t>
      </w:r>
      <w:r>
        <w:rPr>
          <w:rFonts w:hint="eastAsia" w:ascii="宋体" w:hAnsi="宋体" w:cs="楷体_GB2312"/>
          <w:color w:val="auto"/>
          <w:sz w:val="24"/>
          <w:lang w:val="zh-CN"/>
        </w:rPr>
        <w:t>款和第</w:t>
      </w:r>
      <w:r>
        <w:rPr>
          <w:rFonts w:ascii="宋体" w:hAnsi="宋体" w:cs="楷体_GB2312"/>
          <w:color w:val="auto"/>
          <w:sz w:val="24"/>
          <w:lang w:val="zh-CN"/>
        </w:rPr>
        <w:t>2.3</w:t>
      </w:r>
      <w:r>
        <w:rPr>
          <w:rFonts w:hint="eastAsia" w:ascii="宋体" w:hAnsi="宋体" w:cs="楷体_GB2312"/>
          <w:color w:val="auto"/>
          <w:sz w:val="24"/>
          <w:lang w:val="zh-CN"/>
        </w:rPr>
        <w:t>款、对招标文件的澄清、修改、补充书构成招标文件的组成部分，并取代招标文件中被澄清、修改处，对所有投标人均有约束力。</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2.1.3 </w:t>
      </w:r>
      <w:r>
        <w:rPr>
          <w:rFonts w:hint="eastAsia" w:ascii="宋体" w:hAnsi="宋体" w:cs="楷体_GB2312"/>
          <w:color w:val="auto"/>
          <w:sz w:val="24"/>
          <w:lang w:val="zh-CN"/>
        </w:rPr>
        <w:t>当招标文件、招标文件的澄清、修改、补充等在同一内容的表述上不一致时，以最后发出（发布）的文件为准。</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2.1.4 </w:t>
      </w:r>
      <w:r>
        <w:rPr>
          <w:rFonts w:hint="eastAsia" w:ascii="宋体" w:hAnsi="宋体" w:cs="楷体_GB2312"/>
          <w:color w:val="auto"/>
          <w:sz w:val="24"/>
          <w:lang w:val="zh-CN"/>
        </w:rPr>
        <w:t>投标人与任何人的口头协议不影响《招标文件》的任何条款和内容。</w:t>
      </w:r>
    </w:p>
    <w:p>
      <w:pPr>
        <w:autoSpaceDE w:val="0"/>
        <w:autoSpaceDN w:val="0"/>
        <w:adjustRightInd w:val="0"/>
        <w:snapToGrid w:val="0"/>
        <w:spacing w:beforeLines="50" w:line="300" w:lineRule="auto"/>
        <w:ind w:firstLine="539"/>
        <w:rPr>
          <w:rFonts w:ascii="宋体" w:cs="楷体_GB2312"/>
          <w:color w:val="auto"/>
          <w:sz w:val="24"/>
        </w:rPr>
      </w:pPr>
      <w:r>
        <w:rPr>
          <w:rFonts w:ascii="宋体" w:hAnsi="宋体" w:cs="楷体_GB2312"/>
          <w:color w:val="auto"/>
          <w:sz w:val="24"/>
        </w:rPr>
        <w:t>2.1.5</w:t>
      </w:r>
      <w:r>
        <w:rPr>
          <w:rFonts w:hint="eastAsia" w:ascii="宋体" w:hAnsi="宋体" w:cs="楷体_GB2312"/>
          <w:color w:val="auto"/>
          <w:sz w:val="24"/>
        </w:rPr>
        <w:t>投标人应仔细阅读和检查招标文件的全部内容是否齐全，如发现缺页或附件不全等遗漏，应及时向采购代理机构提出并索取补齐，否则责任及风险自负。</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2.2 </w:t>
      </w:r>
      <w:r>
        <w:rPr>
          <w:rFonts w:hint="eastAsia" w:ascii="黑体" w:hAnsi="黑体" w:eastAsia="黑体" w:cs="楷体_GB2312"/>
          <w:b/>
          <w:color w:val="auto"/>
          <w:sz w:val="24"/>
          <w:lang w:val="zh-CN"/>
        </w:rPr>
        <w:t>招标文件的澄清</w:t>
      </w:r>
    </w:p>
    <w:p>
      <w:pPr>
        <w:autoSpaceDE w:val="0"/>
        <w:autoSpaceDN w:val="0"/>
        <w:adjustRightInd w:val="0"/>
        <w:snapToGrid w:val="0"/>
        <w:spacing w:beforeLines="50" w:line="300" w:lineRule="auto"/>
        <w:ind w:firstLine="539"/>
        <w:rPr>
          <w:rFonts w:ascii="宋体" w:hAnsi="宋体" w:cs="楷体_GB2312"/>
          <w:color w:val="auto"/>
          <w:sz w:val="24"/>
          <w:lang w:val="zh-CN"/>
        </w:rPr>
      </w:pPr>
      <w:r>
        <w:rPr>
          <w:rFonts w:ascii="宋体" w:hAnsi="宋体" w:cs="楷体_GB2312"/>
          <w:color w:val="auto"/>
          <w:sz w:val="24"/>
          <w:lang w:val="zh-CN"/>
        </w:rPr>
        <w:t xml:space="preserve">2.2.1 </w:t>
      </w:r>
      <w:r>
        <w:rPr>
          <w:rFonts w:hint="eastAsia" w:ascii="宋体" w:hAnsi="宋体" w:cs="楷体_GB2312"/>
          <w:color w:val="auto"/>
          <w:sz w:val="24"/>
          <w:lang w:val="zh-CN"/>
        </w:rPr>
        <w:t>合规获取招标文件的所有潜在投标人对招标文件如有需澄清的疑问，应在投标人须知前附表规定的时间内，按投标人须知前附表规定通知到采购代理机构。在规定的时间内未提出疑问的，将视为对招标文件的完全认可。</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2.2.2 </w:t>
      </w:r>
      <w:r>
        <w:rPr>
          <w:rFonts w:hint="eastAsia" w:ascii="宋体" w:hAnsi="宋体" w:cs="楷体_GB2312"/>
          <w:color w:val="auto"/>
          <w:sz w:val="24"/>
          <w:lang w:val="zh-CN"/>
        </w:rPr>
        <w:t>采购代理机构对潜在投标人在规定的时间内提出的疑问，将按投标人须知前附表规定予以答复。</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2.2.3 </w:t>
      </w:r>
      <w:r>
        <w:rPr>
          <w:rFonts w:hint="eastAsia" w:ascii="宋体" w:hAnsi="宋体" w:cs="楷体_GB2312"/>
          <w:color w:val="auto"/>
          <w:sz w:val="24"/>
          <w:lang w:val="zh-CN"/>
        </w:rPr>
        <w:t>招标文件中如有不符合国家有关强制性规定、不符合国家标准及行业标准的，投标人应在投标阶段或中标实施阶段予以纠正或尽提醒义务。如作为有经验的投标人（中标人）应当知道而未尽提醒义务的，执行指令而造成的损失及风险由投标人（中标人）承担。</w:t>
      </w:r>
    </w:p>
    <w:p>
      <w:pPr>
        <w:adjustRightInd w:val="0"/>
        <w:snapToGrid w:val="0"/>
        <w:spacing w:beforeLines="50" w:line="300" w:lineRule="auto"/>
        <w:ind w:firstLine="480" w:firstLineChars="200"/>
        <w:jc w:val="left"/>
        <w:rPr>
          <w:rFonts w:ascii="宋体" w:cs="楷体_GB2312"/>
          <w:color w:val="auto"/>
          <w:sz w:val="24"/>
          <w:lang w:val="zh-CN"/>
        </w:rPr>
      </w:pPr>
      <w:r>
        <w:rPr>
          <w:rFonts w:ascii="宋体" w:hAnsi="宋体" w:cs="楷体_GB2312"/>
          <w:color w:val="auto"/>
          <w:sz w:val="24"/>
          <w:lang w:val="zh-CN"/>
        </w:rPr>
        <w:t>2.2.4</w:t>
      </w:r>
      <w:r>
        <w:rPr>
          <w:rFonts w:hint="eastAsia" w:ascii="宋体" w:hAnsi="宋体" w:cs="楷体_GB2312"/>
          <w:color w:val="auto"/>
          <w:sz w:val="24"/>
          <w:lang w:val="zh-CN"/>
        </w:rPr>
        <w:t>采购代理机构可视情况在投标截止前答疑。</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2.3 </w:t>
      </w:r>
      <w:r>
        <w:rPr>
          <w:rFonts w:hint="eastAsia" w:ascii="黑体" w:hAnsi="黑体" w:eastAsia="黑体" w:cs="楷体_GB2312"/>
          <w:b/>
          <w:color w:val="auto"/>
          <w:sz w:val="24"/>
          <w:lang w:val="zh-CN"/>
        </w:rPr>
        <w:t>招标文件的澄清、修改、补充</w:t>
      </w:r>
    </w:p>
    <w:p>
      <w:pPr>
        <w:autoSpaceDE w:val="0"/>
        <w:autoSpaceDN w:val="0"/>
        <w:adjustRightInd w:val="0"/>
        <w:snapToGrid w:val="0"/>
        <w:spacing w:beforeLines="50" w:line="300" w:lineRule="auto"/>
        <w:ind w:firstLine="537" w:firstLineChars="224"/>
        <w:rPr>
          <w:rFonts w:ascii="宋体" w:cs="楷体_GB2312"/>
          <w:color w:val="auto"/>
          <w:sz w:val="24"/>
          <w:lang w:val="zh-CN"/>
        </w:rPr>
      </w:pPr>
      <w:r>
        <w:rPr>
          <w:rFonts w:hint="eastAsia" w:ascii="宋体" w:hAnsi="宋体" w:cs="楷体_GB2312"/>
          <w:color w:val="auto"/>
          <w:sz w:val="24"/>
          <w:lang w:val="zh-CN"/>
        </w:rPr>
        <w:t>采购人、代理机构在投标截止时间前有权澄清修改、补充已发售的招标文件。</w:t>
      </w:r>
    </w:p>
    <w:p>
      <w:pPr>
        <w:autoSpaceDE w:val="0"/>
        <w:autoSpaceDN w:val="0"/>
        <w:adjustRightInd w:val="0"/>
        <w:snapToGrid w:val="0"/>
        <w:spacing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2.4 </w:t>
      </w:r>
      <w:r>
        <w:rPr>
          <w:rFonts w:hint="eastAsia" w:ascii="黑体" w:hAnsi="黑体" w:eastAsia="黑体" w:cs="楷体_GB2312"/>
          <w:b/>
          <w:color w:val="auto"/>
          <w:sz w:val="24"/>
          <w:lang w:val="zh-CN"/>
        </w:rPr>
        <w:t>招标文件的澄清、修改、补充的</w:t>
      </w:r>
      <w:r>
        <w:rPr>
          <w:rFonts w:ascii="黑体" w:hAnsi="黑体" w:eastAsia="黑体" w:cs="楷体_GB2312"/>
          <w:b/>
          <w:color w:val="auto"/>
          <w:sz w:val="24"/>
          <w:lang w:val="zh-CN"/>
        </w:rPr>
        <w:t>通知</w:t>
      </w:r>
      <w:r>
        <w:rPr>
          <w:rFonts w:hint="eastAsia" w:ascii="黑体" w:hAnsi="黑体" w:eastAsia="黑体" w:cs="楷体_GB2312"/>
          <w:b/>
          <w:color w:val="auto"/>
          <w:sz w:val="24"/>
          <w:lang w:val="zh-CN"/>
        </w:rPr>
        <w:t>，及</w:t>
      </w:r>
      <w:r>
        <w:rPr>
          <w:rFonts w:ascii="黑体" w:hAnsi="黑体" w:eastAsia="黑体" w:cs="楷体_GB2312"/>
          <w:b/>
          <w:color w:val="auto"/>
          <w:sz w:val="24"/>
          <w:lang w:val="zh-CN"/>
        </w:rPr>
        <w:t>相应</w:t>
      </w:r>
      <w:r>
        <w:rPr>
          <w:rFonts w:hint="eastAsia" w:ascii="黑体" w:hAnsi="黑体" w:eastAsia="黑体" w:cs="楷体_GB2312"/>
          <w:b/>
          <w:color w:val="auto"/>
          <w:sz w:val="24"/>
          <w:lang w:val="zh-CN"/>
        </w:rPr>
        <w:t>时间变更</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color w:val="auto"/>
          <w:sz w:val="24"/>
          <w:lang w:val="zh-CN"/>
        </w:rPr>
        <w:t xml:space="preserve">2.4.1 </w:t>
      </w:r>
      <w:r>
        <w:rPr>
          <w:rFonts w:hint="eastAsia" w:ascii="宋体" w:hAnsi="宋体" w:cs="楷体_GB2312"/>
          <w:color w:val="auto"/>
          <w:sz w:val="24"/>
          <w:lang w:val="zh-CN"/>
        </w:rPr>
        <w:t>招标文件在投标截止时间前的所有澄清、修改（包括时间变更等）、补充事项，均在“招标公告”所述媒体予以公告。</w:t>
      </w:r>
      <w:r>
        <w:rPr>
          <w:rFonts w:hint="eastAsia" w:ascii="宋体" w:hAnsi="宋体" w:cs="楷体_GB2312"/>
          <w:b/>
          <w:color w:val="auto"/>
          <w:sz w:val="24"/>
          <w:lang w:val="zh-CN"/>
        </w:rPr>
        <w:t>澄清或修改公告一经在</w:t>
      </w:r>
      <w:r>
        <w:rPr>
          <w:rFonts w:ascii="宋体" w:hAnsi="宋体" w:cs="楷体_GB2312"/>
          <w:b/>
          <w:color w:val="auto"/>
          <w:sz w:val="24"/>
          <w:lang w:val="zh-CN"/>
        </w:rPr>
        <w:t>法定网</w:t>
      </w:r>
      <w:r>
        <w:rPr>
          <w:rFonts w:hint="eastAsia" w:ascii="宋体" w:hAnsi="宋体" w:cs="楷体_GB2312"/>
          <w:b/>
          <w:color w:val="auto"/>
          <w:sz w:val="24"/>
          <w:lang w:val="zh-CN"/>
        </w:rPr>
        <w:t>站以</w:t>
      </w:r>
      <w:r>
        <w:rPr>
          <w:rFonts w:ascii="宋体" w:hAnsi="宋体" w:cs="楷体_GB2312"/>
          <w:b/>
          <w:color w:val="auto"/>
          <w:sz w:val="24"/>
          <w:lang w:val="zh-CN"/>
        </w:rPr>
        <w:t>公</w:t>
      </w:r>
      <w:r>
        <w:rPr>
          <w:rFonts w:hint="eastAsia" w:ascii="宋体" w:hAnsi="宋体" w:cs="楷体_GB2312"/>
          <w:b/>
          <w:color w:val="auto"/>
          <w:sz w:val="24"/>
          <w:lang w:val="zh-CN"/>
        </w:rPr>
        <w:t>告</w:t>
      </w:r>
      <w:r>
        <w:rPr>
          <w:rFonts w:ascii="宋体" w:hAnsi="宋体" w:cs="楷体_GB2312"/>
          <w:b/>
          <w:color w:val="auto"/>
          <w:sz w:val="24"/>
          <w:lang w:val="zh-CN"/>
        </w:rPr>
        <w:t>形式</w:t>
      </w:r>
      <w:r>
        <w:rPr>
          <w:rFonts w:hint="eastAsia" w:ascii="宋体" w:hAnsi="宋体" w:cs="楷体_GB2312"/>
          <w:b/>
          <w:color w:val="auto"/>
          <w:sz w:val="24"/>
          <w:lang w:val="zh-CN"/>
        </w:rPr>
        <w:t>发布，依法视为书面通知，不再另行通知。</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hint="eastAsia" w:ascii="宋体" w:hAnsi="宋体" w:cs="楷体_GB2312"/>
          <w:b/>
          <w:color w:val="auto"/>
          <w:sz w:val="24"/>
          <w:lang w:val="zh-CN"/>
        </w:rPr>
        <w:t>基于网</w:t>
      </w:r>
      <w:r>
        <w:rPr>
          <w:rFonts w:ascii="宋体" w:hAnsi="宋体" w:cs="楷体_GB2312"/>
          <w:b/>
          <w:color w:val="auto"/>
          <w:sz w:val="24"/>
          <w:lang w:val="zh-CN"/>
        </w:rPr>
        <w:t>上</w:t>
      </w:r>
      <w:r>
        <w:rPr>
          <w:rFonts w:hint="eastAsia" w:ascii="宋体" w:hAnsi="宋体" w:cs="楷体_GB2312"/>
          <w:b/>
          <w:color w:val="auto"/>
          <w:sz w:val="24"/>
          <w:lang w:val="zh-CN"/>
        </w:rPr>
        <w:t>电</w:t>
      </w:r>
      <w:r>
        <w:rPr>
          <w:rFonts w:ascii="宋体" w:hAnsi="宋体" w:cs="楷体_GB2312"/>
          <w:b/>
          <w:color w:val="auto"/>
          <w:sz w:val="24"/>
          <w:lang w:val="zh-CN"/>
        </w:rPr>
        <w:t>子</w:t>
      </w:r>
      <w:r>
        <w:rPr>
          <w:rFonts w:hint="eastAsia" w:ascii="宋体" w:hAnsi="宋体" w:cs="楷体_GB2312"/>
          <w:b/>
          <w:color w:val="auto"/>
          <w:sz w:val="24"/>
          <w:lang w:val="zh-CN"/>
        </w:rPr>
        <w:t>交易</w:t>
      </w:r>
      <w:r>
        <w:rPr>
          <w:rFonts w:ascii="宋体" w:hAnsi="宋体" w:cs="楷体_GB2312"/>
          <w:b/>
          <w:color w:val="auto"/>
          <w:sz w:val="24"/>
          <w:lang w:val="zh-CN"/>
        </w:rPr>
        <w:t>的特点—</w:t>
      </w:r>
      <w:r>
        <w:rPr>
          <w:rFonts w:ascii="宋体" w:cs="楷体_GB2312"/>
          <w:b/>
          <w:color w:val="auto"/>
          <w:sz w:val="24"/>
          <w:lang w:val="zh-CN"/>
        </w:rPr>
        <w:t>-</w:t>
      </w:r>
      <w:r>
        <w:rPr>
          <w:rFonts w:hint="eastAsia" w:ascii="宋体" w:hAnsi="宋体" w:cs="楷体_GB2312"/>
          <w:b/>
          <w:color w:val="auto"/>
          <w:sz w:val="24"/>
          <w:lang w:val="zh-CN"/>
        </w:rPr>
        <w:t>无权限获知或通知潜在投标人，潜在投标人应随时关注“招标公告”所</w:t>
      </w:r>
      <w:r>
        <w:rPr>
          <w:rFonts w:ascii="宋体" w:hAnsi="宋体" w:cs="楷体_GB2312"/>
          <w:b/>
          <w:color w:val="auto"/>
          <w:sz w:val="24"/>
          <w:lang w:val="zh-CN"/>
        </w:rPr>
        <w:t>述媒体</w:t>
      </w:r>
      <w:r>
        <w:rPr>
          <w:rFonts w:hint="eastAsia" w:ascii="宋体" w:hAnsi="宋体" w:cs="楷体_GB2312"/>
          <w:b/>
          <w:color w:val="auto"/>
          <w:sz w:val="24"/>
          <w:lang w:val="zh-CN"/>
        </w:rPr>
        <w:t>相关项目信息（为免各部门网站出现维护等情况，潜在投标人应对“招标公告”所述媒体逐一查阅），如有遗漏，后果自负。</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cs="楷体_GB2312"/>
          <w:color w:val="auto"/>
          <w:sz w:val="24"/>
          <w:lang w:val="zh-CN"/>
        </w:rPr>
        <w:t>2.</w:t>
      </w:r>
      <w:r>
        <w:rPr>
          <w:rFonts w:ascii="宋体" w:cs="楷体_GB2312"/>
          <w:color w:val="auto"/>
          <w:sz w:val="24"/>
          <w:lang w:val="zh-CN"/>
        </w:rPr>
        <w:t>4</w:t>
      </w:r>
      <w:r>
        <w:rPr>
          <w:rFonts w:hint="eastAsia" w:ascii="宋体" w:cs="楷体_GB2312"/>
          <w:color w:val="auto"/>
          <w:sz w:val="24"/>
          <w:lang w:val="zh-CN"/>
        </w:rPr>
        <w:t>.2招标文件的澄清、修改、补充书构成招标文件的组成部分，并取代招标文件中被澄清、修改处，对所有投标人均有约束力。</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2.4.3 </w:t>
      </w:r>
      <w:r>
        <w:rPr>
          <w:rFonts w:hint="eastAsia" w:ascii="宋体" w:hAnsi="宋体" w:cs="楷体_GB2312"/>
          <w:color w:val="auto"/>
          <w:sz w:val="24"/>
          <w:lang w:val="zh-CN"/>
        </w:rPr>
        <w:t>如果投标截止时间前的澄清修改补充发出的时间不满足投标人须知前附表规定时间，并且澄清修改补充内容影响投标文件编制的，代理机构可视采购具体情况延长投标截止时间和开标时间，并将在“招标公告”所述媒体予以公告。</w:t>
      </w:r>
    </w:p>
    <w:p>
      <w:pPr>
        <w:autoSpaceDE w:val="0"/>
        <w:autoSpaceDN w:val="0"/>
        <w:adjustRightInd w:val="0"/>
        <w:snapToGrid w:val="0"/>
        <w:spacing w:beforeLines="50" w:line="300" w:lineRule="auto"/>
        <w:ind w:firstLine="539"/>
        <w:outlineLvl w:val="1"/>
        <w:rPr>
          <w:rFonts w:ascii="黑体" w:hAnsi="黑体" w:eastAsia="黑体" w:cs="楷体_GB2312"/>
          <w:b/>
          <w:bCs/>
          <w:color w:val="auto"/>
          <w:sz w:val="28"/>
          <w:szCs w:val="28"/>
        </w:rPr>
      </w:pPr>
    </w:p>
    <w:p>
      <w:pPr>
        <w:autoSpaceDE w:val="0"/>
        <w:autoSpaceDN w:val="0"/>
        <w:adjustRightInd w:val="0"/>
        <w:snapToGrid w:val="0"/>
        <w:spacing w:beforeLines="50" w:line="300" w:lineRule="auto"/>
        <w:ind w:firstLine="539"/>
        <w:outlineLvl w:val="1"/>
        <w:rPr>
          <w:rFonts w:ascii="黑体" w:hAnsi="黑体" w:eastAsia="黑体" w:cs="楷体_GB2312"/>
          <w:b/>
          <w:bCs/>
          <w:color w:val="auto"/>
          <w:sz w:val="28"/>
          <w:szCs w:val="28"/>
          <w:lang w:val="zh-CN"/>
        </w:rPr>
      </w:pPr>
      <w:bookmarkStart w:id="27" w:name="_Toc114740089"/>
      <w:r>
        <w:rPr>
          <w:rFonts w:ascii="黑体" w:hAnsi="黑体" w:eastAsia="黑体" w:cs="楷体_GB2312"/>
          <w:b/>
          <w:bCs/>
          <w:color w:val="auto"/>
          <w:sz w:val="28"/>
          <w:szCs w:val="28"/>
          <w:lang w:val="zh-CN"/>
        </w:rPr>
        <w:t xml:space="preserve">3 </w:t>
      </w:r>
      <w:r>
        <w:rPr>
          <w:rFonts w:hint="eastAsia" w:ascii="黑体" w:hAnsi="黑体" w:eastAsia="黑体" w:cs="楷体_GB2312"/>
          <w:b/>
          <w:bCs/>
          <w:color w:val="auto"/>
          <w:sz w:val="28"/>
          <w:szCs w:val="28"/>
          <w:lang w:val="zh-CN"/>
        </w:rPr>
        <w:t>投标文件</w:t>
      </w:r>
      <w:bookmarkEnd w:id="27"/>
    </w:p>
    <w:p>
      <w:pPr>
        <w:autoSpaceDE w:val="0"/>
        <w:autoSpaceDN w:val="0"/>
        <w:adjustRightInd w:val="0"/>
        <w:snapToGrid w:val="0"/>
        <w:spacing w:beforeLines="50" w:line="300" w:lineRule="auto"/>
        <w:ind w:firstLine="539"/>
        <w:rPr>
          <w:rFonts w:ascii="宋体" w:cs="楷体_GB2312"/>
          <w:b/>
          <w:color w:val="auto"/>
          <w:sz w:val="24"/>
          <w:lang w:val="zh-CN"/>
        </w:rPr>
      </w:pPr>
      <w:r>
        <w:rPr>
          <w:rFonts w:ascii="黑体" w:hAnsi="黑体" w:eastAsia="黑体" w:cs="楷体_GB2312"/>
          <w:b/>
          <w:color w:val="auto"/>
          <w:sz w:val="24"/>
          <w:lang w:val="zh-CN"/>
        </w:rPr>
        <w:t>3.1</w:t>
      </w:r>
      <w:r>
        <w:rPr>
          <w:rFonts w:hint="eastAsia" w:ascii="宋体" w:hAnsi="宋体" w:cs="楷体_GB2312"/>
          <w:color w:val="auto"/>
          <w:sz w:val="24"/>
          <w:lang w:val="zh-CN"/>
        </w:rPr>
        <w:t>　投标人应仔细阅读招标文件的所有内容，按招标文件的要求提供投标文件，并保证所提供全部资料的真实性。投标文件应对招标文件实质性要求作出实质性响应。评标委员会对投标文件的有效性、完整性和响应程度进行审查，不满足实质性要求的为</w:t>
      </w:r>
      <w:r>
        <w:rPr>
          <w:rFonts w:hint="eastAsia" w:ascii="宋体" w:hAnsi="宋体" w:cs="楷体_GB2312"/>
          <w:b/>
          <w:color w:val="auto"/>
          <w:sz w:val="24"/>
          <w:lang w:val="zh-CN"/>
        </w:rPr>
        <w:t>无效投标。</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3.2 </w:t>
      </w:r>
      <w:r>
        <w:rPr>
          <w:rFonts w:hint="eastAsia" w:ascii="黑体" w:hAnsi="黑体" w:eastAsia="黑体" w:cs="楷体_GB2312"/>
          <w:b/>
          <w:color w:val="auto"/>
          <w:sz w:val="24"/>
          <w:lang w:val="zh-CN"/>
        </w:rPr>
        <w:t>投标文件的组成</w:t>
      </w:r>
    </w:p>
    <w:p>
      <w:pPr>
        <w:adjustRightInd w:val="0"/>
        <w:snapToGrid w:val="0"/>
        <w:spacing w:beforeLines="50" w:line="300" w:lineRule="auto"/>
        <w:ind w:firstLine="539"/>
        <w:textAlignment w:val="top"/>
        <w:rPr>
          <w:rFonts w:ascii="宋体" w:cs="楷体_GB2312"/>
          <w:color w:val="auto"/>
          <w:sz w:val="24"/>
          <w:lang w:val="zh-CN"/>
        </w:rPr>
      </w:pPr>
      <w:r>
        <w:rPr>
          <w:rFonts w:ascii="宋体" w:hAnsi="宋体" w:cs="楷体_GB2312"/>
          <w:color w:val="auto"/>
          <w:sz w:val="24"/>
          <w:lang w:val="zh-CN"/>
        </w:rPr>
        <w:t xml:space="preserve">3.2.1 </w:t>
      </w:r>
      <w:r>
        <w:rPr>
          <w:rFonts w:hint="eastAsia" w:ascii="宋体" w:hAnsi="宋体" w:cs="楷体_GB2312"/>
          <w:color w:val="auto"/>
          <w:sz w:val="24"/>
          <w:lang w:val="zh-CN"/>
        </w:rPr>
        <w:t>投标文件组成如有缺项，评标委员会按照实质性判断原则（实质性要求和实质性响应两因素）、有权视情况将其作无效投标处理，投标人自负此项风险；投标文件组成内容未对招标文件实质性要求作出实质性响应，评标委员会按照实质性判断原则、视情况将其作无效投标处理，投标人自负此项风险</w:t>
      </w:r>
    </w:p>
    <w:p>
      <w:pPr>
        <w:adjustRightInd w:val="0"/>
        <w:snapToGrid w:val="0"/>
        <w:spacing w:beforeLines="50" w:line="300" w:lineRule="auto"/>
        <w:ind w:firstLine="539"/>
        <w:textAlignment w:val="top"/>
        <w:rPr>
          <w:rFonts w:ascii="宋体" w:hAnsi="宋体" w:cs="楷体_GB2312"/>
          <w:color w:val="auto"/>
          <w:sz w:val="24"/>
          <w:lang w:val="zh-CN"/>
        </w:rPr>
      </w:pPr>
      <w:r>
        <w:rPr>
          <w:rFonts w:ascii="宋体" w:hAnsi="宋体" w:cs="楷体_GB2312"/>
          <w:color w:val="auto"/>
          <w:sz w:val="24"/>
          <w:lang w:val="zh-CN"/>
        </w:rPr>
        <w:t>3.2.2</w:t>
      </w:r>
      <w:r>
        <w:rPr>
          <w:rFonts w:hint="eastAsia" w:ascii="宋体" w:hAnsi="宋体" w:cs="楷体_GB2312"/>
          <w:color w:val="auto"/>
          <w:sz w:val="24"/>
          <w:lang w:val="zh-CN"/>
        </w:rPr>
        <w:t>投标文件应包括下列内容：</w:t>
      </w:r>
    </w:p>
    <w:p>
      <w:pPr>
        <w:adjustRightInd w:val="0"/>
        <w:snapToGrid w:val="0"/>
        <w:spacing w:beforeLines="50" w:line="300" w:lineRule="auto"/>
        <w:ind w:firstLine="539"/>
        <w:textAlignment w:val="top"/>
        <w:rPr>
          <w:rFonts w:ascii="黑体" w:hAnsi="黑体" w:eastAsia="黑体"/>
          <w:b/>
          <w:color w:val="auto"/>
        </w:rPr>
      </w:pPr>
      <w:r>
        <w:rPr>
          <w:rFonts w:hint="eastAsia" w:ascii="黑体" w:hAnsi="黑体" w:eastAsia="黑体" w:cs="楷体_GB2312"/>
          <w:b/>
          <w:color w:val="auto"/>
          <w:sz w:val="24"/>
          <w:lang w:val="zh-CN"/>
        </w:rPr>
        <w:t>符</w:t>
      </w:r>
      <w:r>
        <w:rPr>
          <w:rFonts w:ascii="黑体" w:hAnsi="黑体" w:eastAsia="黑体" w:cs="楷体_GB2312"/>
          <w:b/>
          <w:color w:val="auto"/>
          <w:sz w:val="24"/>
          <w:lang w:val="zh-CN"/>
        </w:rPr>
        <w:t>合性</w:t>
      </w:r>
      <w:r>
        <w:rPr>
          <w:rFonts w:hint="eastAsia" w:ascii="黑体" w:hAnsi="黑体" w:eastAsia="黑体" w:cs="楷体_GB2312"/>
          <w:b/>
          <w:color w:val="auto"/>
          <w:sz w:val="24"/>
          <w:lang w:val="zh-CN"/>
        </w:rPr>
        <w:t>响应</w:t>
      </w:r>
      <w:r>
        <w:rPr>
          <w:rFonts w:ascii="黑体" w:hAnsi="黑体" w:eastAsia="黑体" w:cs="楷体_GB2312"/>
          <w:b/>
          <w:color w:val="auto"/>
          <w:sz w:val="24"/>
          <w:lang w:val="zh-CN"/>
        </w:rPr>
        <w:t>文件</w:t>
      </w:r>
    </w:p>
    <w:p>
      <w:pPr>
        <w:adjustRightInd w:val="0"/>
        <w:snapToGrid w:val="0"/>
        <w:spacing w:line="300" w:lineRule="auto"/>
        <w:ind w:firstLine="539"/>
        <w:textAlignment w:val="top"/>
        <w:rPr>
          <w:color w:val="auto"/>
          <w:sz w:val="24"/>
        </w:rPr>
      </w:pPr>
      <w:r>
        <w:rPr>
          <w:rFonts w:hint="eastAsia"/>
          <w:color w:val="auto"/>
          <w:sz w:val="24"/>
        </w:rPr>
        <w:t>（</w:t>
      </w:r>
      <w:r>
        <w:rPr>
          <w:color w:val="auto"/>
          <w:sz w:val="24"/>
        </w:rPr>
        <w:t>1</w:t>
      </w:r>
      <w:r>
        <w:rPr>
          <w:rFonts w:hint="eastAsia"/>
          <w:color w:val="auto"/>
          <w:sz w:val="24"/>
        </w:rPr>
        <w:t>）投标书。</w:t>
      </w:r>
    </w:p>
    <w:p>
      <w:pPr>
        <w:adjustRightInd w:val="0"/>
        <w:snapToGrid w:val="0"/>
        <w:spacing w:line="300" w:lineRule="auto"/>
        <w:ind w:firstLine="539"/>
        <w:textAlignment w:val="top"/>
        <w:rPr>
          <w:color w:val="auto"/>
          <w:sz w:val="24"/>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w:t>
      </w:r>
      <w:r>
        <w:rPr>
          <w:rFonts w:hint="eastAsia"/>
          <w:color w:val="auto"/>
          <w:sz w:val="24"/>
        </w:rPr>
        <w:t>开标一览表</w:t>
      </w:r>
    </w:p>
    <w:p>
      <w:pPr>
        <w:adjustRightInd w:val="0"/>
        <w:snapToGrid w:val="0"/>
        <w:spacing w:line="300" w:lineRule="auto"/>
        <w:ind w:firstLine="539"/>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w:t>
      </w:r>
      <w:r>
        <w:rPr>
          <w:rFonts w:hint="eastAsia" w:ascii="宋体" w:hAnsi="宋体"/>
          <w:color w:val="auto"/>
          <w:sz w:val="24"/>
        </w:rPr>
        <w:t>分项报价（即</w:t>
      </w:r>
      <w:r>
        <w:rPr>
          <w:rFonts w:ascii="宋体" w:hAnsi="宋体"/>
          <w:color w:val="auto"/>
          <w:sz w:val="24"/>
        </w:rPr>
        <w:t>投标人的</w:t>
      </w:r>
      <w:r>
        <w:rPr>
          <w:rFonts w:hint="eastAsia"/>
          <w:color w:val="auto"/>
          <w:sz w:val="24"/>
        </w:rPr>
        <w:t>投标报价明细表</w:t>
      </w:r>
      <w:r>
        <w:rPr>
          <w:rFonts w:ascii="宋体" w:hAnsi="宋体"/>
          <w:color w:val="auto"/>
          <w:sz w:val="24"/>
        </w:rPr>
        <w:t>）</w:t>
      </w:r>
    </w:p>
    <w:p>
      <w:pPr>
        <w:adjustRightInd w:val="0"/>
        <w:snapToGrid w:val="0"/>
        <w:spacing w:line="300" w:lineRule="auto"/>
        <w:ind w:firstLine="539"/>
        <w:textAlignment w:val="top"/>
        <w:rPr>
          <w:color w:val="auto"/>
          <w:sz w:val="24"/>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w:t>
      </w:r>
      <w:r>
        <w:rPr>
          <w:rFonts w:hint="eastAsia"/>
          <w:color w:val="auto"/>
          <w:sz w:val="24"/>
        </w:rPr>
        <w:t>投标产品清单及其技术参数，安装调试方案</w:t>
      </w:r>
    </w:p>
    <w:p>
      <w:pPr>
        <w:adjustRightInd w:val="0"/>
        <w:snapToGrid w:val="0"/>
        <w:spacing w:line="300" w:lineRule="auto"/>
        <w:ind w:firstLine="539"/>
        <w:textAlignment w:val="top"/>
        <w:rPr>
          <w:color w:val="auto"/>
          <w:sz w:val="24"/>
        </w:rPr>
      </w:pPr>
      <w:r>
        <w:rPr>
          <w:rFonts w:hint="eastAsia"/>
          <w:color w:val="auto"/>
          <w:sz w:val="24"/>
        </w:rPr>
        <w:t>（</w:t>
      </w:r>
      <w:r>
        <w:rPr>
          <w:color w:val="auto"/>
          <w:sz w:val="24"/>
        </w:rPr>
        <w:t>5</w:t>
      </w:r>
      <w:r>
        <w:rPr>
          <w:rFonts w:hint="eastAsia"/>
          <w:color w:val="auto"/>
          <w:sz w:val="24"/>
        </w:rPr>
        <w:t>）技术偏差表。</w:t>
      </w:r>
    </w:p>
    <w:p>
      <w:pPr>
        <w:adjustRightInd w:val="0"/>
        <w:snapToGrid w:val="0"/>
        <w:spacing w:line="300" w:lineRule="auto"/>
        <w:ind w:firstLine="539"/>
        <w:rPr>
          <w:color w:val="auto"/>
          <w:sz w:val="24"/>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w:t>
      </w:r>
      <w:r>
        <w:rPr>
          <w:rFonts w:hint="eastAsia"/>
          <w:color w:val="auto"/>
          <w:sz w:val="24"/>
        </w:rPr>
        <w:t>其他偏差表</w:t>
      </w:r>
    </w:p>
    <w:p>
      <w:pPr>
        <w:adjustRightInd w:val="0"/>
        <w:snapToGrid w:val="0"/>
        <w:spacing w:line="300" w:lineRule="auto"/>
        <w:ind w:firstLine="539"/>
        <w:textAlignment w:val="top"/>
        <w:rPr>
          <w:color w:val="auto"/>
          <w:sz w:val="24"/>
        </w:rPr>
      </w:pPr>
      <w:r>
        <w:rPr>
          <w:rFonts w:hint="eastAsia" w:ascii="宋体" w:hAnsi="宋体" w:cs="楷体_GB2312"/>
          <w:color w:val="auto"/>
          <w:sz w:val="24"/>
          <w:lang w:val="zh-CN"/>
        </w:rPr>
        <w:t>（</w:t>
      </w:r>
      <w:r>
        <w:rPr>
          <w:rFonts w:ascii="宋体" w:hAnsi="宋体" w:cs="楷体_GB2312"/>
          <w:color w:val="auto"/>
          <w:sz w:val="24"/>
          <w:lang w:val="zh-CN"/>
        </w:rPr>
        <w:t>7</w:t>
      </w:r>
      <w:r>
        <w:rPr>
          <w:rFonts w:hint="eastAsia" w:ascii="宋体" w:hAnsi="宋体" w:cs="楷体_GB2312"/>
          <w:color w:val="auto"/>
          <w:sz w:val="24"/>
          <w:lang w:val="zh-CN"/>
        </w:rPr>
        <w:t>）</w:t>
      </w:r>
      <w:r>
        <w:rPr>
          <w:rFonts w:hint="eastAsia"/>
          <w:color w:val="auto"/>
          <w:sz w:val="24"/>
        </w:rPr>
        <w:t>售后服务计划</w:t>
      </w:r>
    </w:p>
    <w:p>
      <w:pPr>
        <w:adjustRightInd w:val="0"/>
        <w:snapToGrid w:val="0"/>
        <w:spacing w:line="300" w:lineRule="auto"/>
        <w:ind w:firstLine="539"/>
        <w:rPr>
          <w:color w:val="auto"/>
          <w:sz w:val="24"/>
        </w:rPr>
      </w:pPr>
      <w:r>
        <w:rPr>
          <w:rFonts w:hint="eastAsia" w:ascii="宋体" w:hAnsi="宋体" w:cs="楷体_GB2312"/>
          <w:color w:val="auto"/>
          <w:sz w:val="24"/>
          <w:lang w:val="zh-CN"/>
        </w:rPr>
        <w:t>（</w:t>
      </w:r>
      <w:r>
        <w:rPr>
          <w:rFonts w:ascii="宋体" w:hAnsi="宋体" w:cs="楷体_GB2312"/>
          <w:color w:val="auto"/>
          <w:sz w:val="24"/>
          <w:lang w:val="zh-CN"/>
        </w:rPr>
        <w:t>8</w:t>
      </w:r>
      <w:r>
        <w:rPr>
          <w:rFonts w:hint="eastAsia" w:ascii="宋体" w:hAnsi="宋体" w:cs="楷体_GB2312"/>
          <w:color w:val="auto"/>
          <w:sz w:val="24"/>
          <w:lang w:val="zh-CN"/>
        </w:rPr>
        <w:t>）</w:t>
      </w:r>
      <w:r>
        <w:rPr>
          <w:rFonts w:hint="eastAsia"/>
          <w:color w:val="auto"/>
          <w:sz w:val="24"/>
        </w:rPr>
        <w:t>反商业贿赂承诺书。</w:t>
      </w:r>
    </w:p>
    <w:p>
      <w:pPr>
        <w:adjustRightInd w:val="0"/>
        <w:snapToGrid w:val="0"/>
        <w:spacing w:line="300" w:lineRule="auto"/>
        <w:ind w:firstLine="539"/>
        <w:rPr>
          <w:color w:val="auto"/>
          <w:sz w:val="24"/>
        </w:rPr>
      </w:pPr>
      <w:r>
        <w:rPr>
          <w:rFonts w:hint="eastAsia" w:ascii="宋体" w:hAnsi="宋体" w:cs="楷体_GB2312"/>
          <w:color w:val="auto"/>
          <w:sz w:val="24"/>
          <w:lang w:val="zh-CN"/>
        </w:rPr>
        <w:t>（</w:t>
      </w:r>
      <w:r>
        <w:rPr>
          <w:rFonts w:ascii="宋体" w:hAnsi="宋体" w:cs="楷体_GB2312"/>
          <w:color w:val="auto"/>
          <w:sz w:val="24"/>
          <w:lang w:val="zh-CN"/>
        </w:rPr>
        <w:t>9</w:t>
      </w:r>
      <w:r>
        <w:rPr>
          <w:rFonts w:hint="eastAsia" w:ascii="宋体" w:hAnsi="宋体" w:cs="楷体_GB2312"/>
          <w:color w:val="auto"/>
          <w:sz w:val="24"/>
          <w:lang w:val="zh-CN"/>
        </w:rPr>
        <w:t>）</w:t>
      </w:r>
      <w:r>
        <w:rPr>
          <w:rFonts w:hint="eastAsia"/>
          <w:color w:val="auto"/>
          <w:sz w:val="24"/>
        </w:rPr>
        <w:t>履约承诺书。</w:t>
      </w:r>
    </w:p>
    <w:p>
      <w:pPr>
        <w:widowControl w:val="0"/>
        <w:adjustRightInd w:val="0"/>
        <w:snapToGrid w:val="0"/>
        <w:spacing w:line="300" w:lineRule="auto"/>
        <w:ind w:firstLine="539"/>
        <w:textAlignment w:val="top"/>
        <w:rPr>
          <w:color w:val="auto"/>
          <w:sz w:val="24"/>
        </w:rPr>
      </w:pPr>
      <w:r>
        <w:rPr>
          <w:rFonts w:hint="eastAsia"/>
          <w:color w:val="auto"/>
          <w:sz w:val="24"/>
        </w:rPr>
        <w:t>（</w:t>
      </w:r>
      <w:r>
        <w:rPr>
          <w:color w:val="auto"/>
          <w:sz w:val="24"/>
        </w:rPr>
        <w:t>10</w:t>
      </w:r>
      <w:r>
        <w:rPr>
          <w:rFonts w:hint="eastAsia"/>
          <w:color w:val="auto"/>
          <w:sz w:val="24"/>
        </w:rPr>
        <w:t>）招标项目要求及采购需求所需的其他材料（按条款需要）</w:t>
      </w:r>
    </w:p>
    <w:p>
      <w:pPr>
        <w:widowControl w:val="0"/>
        <w:adjustRightInd w:val="0"/>
        <w:snapToGrid w:val="0"/>
        <w:spacing w:line="300" w:lineRule="auto"/>
        <w:ind w:firstLine="539"/>
        <w:textAlignment w:val="top"/>
        <w:rPr>
          <w:color w:val="auto"/>
          <w:sz w:val="24"/>
        </w:rPr>
      </w:pPr>
      <w:r>
        <w:rPr>
          <w:rFonts w:hint="eastAsia"/>
          <w:color w:val="auto"/>
          <w:sz w:val="24"/>
        </w:rPr>
        <w:t>（</w:t>
      </w:r>
      <w:r>
        <w:rPr>
          <w:color w:val="auto"/>
          <w:sz w:val="24"/>
        </w:rPr>
        <w:t>11</w:t>
      </w:r>
      <w:r>
        <w:rPr>
          <w:rFonts w:hint="eastAsia"/>
          <w:color w:val="auto"/>
          <w:sz w:val="24"/>
        </w:rPr>
        <w:t>）投标人须知所需的其他材料（按条款需要）</w:t>
      </w:r>
    </w:p>
    <w:p>
      <w:pPr>
        <w:widowControl w:val="0"/>
        <w:adjustRightInd w:val="0"/>
        <w:snapToGrid w:val="0"/>
        <w:spacing w:line="300" w:lineRule="auto"/>
        <w:ind w:firstLine="539"/>
        <w:textAlignment w:val="top"/>
        <w:rPr>
          <w:color w:val="auto"/>
          <w:sz w:val="24"/>
        </w:rPr>
      </w:pPr>
      <w:r>
        <w:rPr>
          <w:rFonts w:hint="eastAsia"/>
          <w:color w:val="auto"/>
          <w:sz w:val="24"/>
        </w:rPr>
        <w:t>（</w:t>
      </w:r>
      <w:r>
        <w:rPr>
          <w:color w:val="auto"/>
          <w:sz w:val="24"/>
        </w:rPr>
        <w:t>12</w:t>
      </w:r>
      <w:r>
        <w:rPr>
          <w:rFonts w:hint="eastAsia"/>
          <w:color w:val="auto"/>
          <w:sz w:val="24"/>
        </w:rPr>
        <w:t>）评标办法所需的其他材料（按条款需要）</w:t>
      </w:r>
    </w:p>
    <w:p>
      <w:pPr>
        <w:autoSpaceDE w:val="0"/>
        <w:autoSpaceDN w:val="0"/>
        <w:adjustRightInd w:val="0"/>
        <w:snapToGrid w:val="0"/>
        <w:spacing w:line="300" w:lineRule="auto"/>
        <w:ind w:firstLine="520" w:firstLineChars="217"/>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13</w:t>
      </w:r>
      <w:r>
        <w:rPr>
          <w:rFonts w:hint="eastAsia" w:ascii="宋体" w:hAnsi="宋体" w:cs="楷体_GB2312"/>
          <w:color w:val="auto"/>
          <w:sz w:val="24"/>
          <w:lang w:val="zh-CN"/>
        </w:rPr>
        <w:t>）</w:t>
      </w:r>
      <w:r>
        <w:rPr>
          <w:rFonts w:hint="eastAsia" w:ascii="宋体" w:hAnsi="宋体"/>
          <w:color w:val="auto"/>
          <w:sz w:val="24"/>
        </w:rPr>
        <w:t>投标人认为有必要提交的其它材料</w:t>
      </w:r>
    </w:p>
    <w:p>
      <w:pPr>
        <w:adjustRightInd w:val="0"/>
        <w:snapToGrid w:val="0"/>
        <w:spacing w:beforeLines="50" w:line="300" w:lineRule="auto"/>
        <w:ind w:firstLine="539"/>
        <w:textAlignment w:val="top"/>
        <w:rPr>
          <w:rFonts w:ascii="黑体" w:hAnsi="黑体" w:eastAsia="黑体" w:cs="楷体_GB2312"/>
          <w:b/>
          <w:color w:val="auto"/>
          <w:sz w:val="24"/>
          <w:lang w:val="zh-CN"/>
        </w:rPr>
      </w:pPr>
      <w:r>
        <w:rPr>
          <w:rFonts w:hint="eastAsia" w:ascii="黑体" w:hAnsi="黑体" w:eastAsia="黑体" w:cs="楷体_GB2312"/>
          <w:b/>
          <w:color w:val="auto"/>
          <w:sz w:val="24"/>
          <w:lang w:val="zh-CN"/>
        </w:rPr>
        <w:t>资</w:t>
      </w:r>
      <w:r>
        <w:rPr>
          <w:rFonts w:ascii="黑体" w:hAnsi="黑体" w:eastAsia="黑体" w:cs="楷体_GB2312"/>
          <w:b/>
          <w:color w:val="auto"/>
          <w:sz w:val="24"/>
          <w:lang w:val="zh-CN"/>
        </w:rPr>
        <w:t>格性</w:t>
      </w:r>
      <w:r>
        <w:rPr>
          <w:rFonts w:hint="eastAsia" w:ascii="黑体" w:hAnsi="黑体" w:eastAsia="黑体" w:cs="楷体_GB2312"/>
          <w:b/>
          <w:color w:val="auto"/>
          <w:sz w:val="24"/>
          <w:lang w:val="zh-CN"/>
        </w:rPr>
        <w:t>证明文件</w:t>
      </w:r>
    </w:p>
    <w:p>
      <w:pPr>
        <w:adjustRightInd w:val="0"/>
        <w:snapToGrid w:val="0"/>
        <w:spacing w:line="300" w:lineRule="auto"/>
        <w:ind w:firstLine="539"/>
        <w:textAlignment w:val="top"/>
        <w:rPr>
          <w:color w:val="auto"/>
          <w:sz w:val="24"/>
        </w:rPr>
      </w:pPr>
      <w:r>
        <w:rPr>
          <w:rFonts w:hint="eastAsia" w:ascii="宋体" w:hAnsi="宋体" w:cs="楷体_GB2312"/>
          <w:color w:val="auto"/>
          <w:sz w:val="24"/>
          <w:lang w:val="zh-CN"/>
        </w:rPr>
        <w:t>（</w:t>
      </w:r>
      <w:r>
        <w:rPr>
          <w:rFonts w:ascii="宋体" w:hAnsi="宋体" w:cs="楷体_GB2312"/>
          <w:color w:val="auto"/>
          <w:sz w:val="24"/>
          <w:lang w:val="zh-CN"/>
        </w:rPr>
        <w:t>14</w:t>
      </w:r>
      <w:r>
        <w:rPr>
          <w:rFonts w:hint="eastAsia" w:ascii="宋体" w:hAnsi="宋体" w:cs="楷体_GB2312"/>
          <w:color w:val="auto"/>
          <w:sz w:val="24"/>
          <w:lang w:val="zh-CN"/>
        </w:rPr>
        <w:t>）</w:t>
      </w:r>
      <w:r>
        <w:rPr>
          <w:rFonts w:hint="eastAsia"/>
          <w:color w:val="auto"/>
          <w:sz w:val="24"/>
        </w:rPr>
        <w:t>关于资格的声明函</w:t>
      </w:r>
    </w:p>
    <w:p>
      <w:pPr>
        <w:autoSpaceDE w:val="0"/>
        <w:autoSpaceDN w:val="0"/>
        <w:adjustRightInd w:val="0"/>
        <w:snapToGrid w:val="0"/>
        <w:spacing w:line="300" w:lineRule="auto"/>
        <w:ind w:firstLine="520" w:firstLineChars="217"/>
        <w:rPr>
          <w:rFonts w:ascii="宋体" w:cs="楷体_GB2312"/>
          <w:color w:val="auto"/>
          <w:sz w:val="24"/>
          <w:lang w:val="zh-CN"/>
        </w:rPr>
      </w:pPr>
      <w:r>
        <w:rPr>
          <w:rFonts w:hint="eastAsia"/>
          <w:color w:val="auto"/>
          <w:sz w:val="24"/>
        </w:rPr>
        <w:t>（</w:t>
      </w:r>
      <w:r>
        <w:rPr>
          <w:color w:val="auto"/>
          <w:sz w:val="24"/>
        </w:rPr>
        <w:t>15</w:t>
      </w:r>
      <w:r>
        <w:rPr>
          <w:rFonts w:hint="eastAsia"/>
          <w:color w:val="auto"/>
          <w:sz w:val="24"/>
        </w:rPr>
        <w:t>）资格要求相关证明材料（文件）</w:t>
      </w:r>
    </w:p>
    <w:p>
      <w:pPr>
        <w:topLinePunct/>
        <w:adjustRightInd w:val="0"/>
        <w:snapToGrid w:val="0"/>
        <w:spacing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3.2.3</w:t>
      </w:r>
      <w:r>
        <w:rPr>
          <w:rFonts w:hint="eastAsia" w:ascii="宋体" w:hAnsi="宋体" w:cs="楷体_GB2312"/>
          <w:color w:val="auto"/>
          <w:sz w:val="24"/>
          <w:lang w:val="zh-CN"/>
        </w:rPr>
        <w:t>按照本章第</w:t>
      </w:r>
      <w:r>
        <w:rPr>
          <w:rFonts w:ascii="宋体" w:hAnsi="宋体" w:cs="楷体_GB2312"/>
          <w:color w:val="auto"/>
          <w:sz w:val="24"/>
          <w:lang w:val="zh-CN"/>
        </w:rPr>
        <w:t>4.3</w:t>
      </w:r>
      <w:r>
        <w:rPr>
          <w:rFonts w:hint="eastAsia" w:ascii="宋体" w:hAnsi="宋体" w:cs="楷体_GB2312"/>
          <w:color w:val="auto"/>
          <w:sz w:val="24"/>
          <w:lang w:val="zh-CN"/>
        </w:rPr>
        <w:t>款、第四章第</w:t>
      </w:r>
      <w:r>
        <w:rPr>
          <w:rFonts w:ascii="宋体" w:hAnsi="宋体" w:cs="楷体_GB2312"/>
          <w:color w:val="auto"/>
          <w:sz w:val="24"/>
          <w:lang w:val="zh-CN"/>
        </w:rPr>
        <w:t>3.</w:t>
      </w:r>
      <w:r>
        <w:rPr>
          <w:rFonts w:hint="eastAsia" w:ascii="宋体" w:hAnsi="宋体" w:cs="楷体_GB2312"/>
          <w:color w:val="auto"/>
          <w:sz w:val="24"/>
          <w:lang w:val="zh-CN"/>
        </w:rPr>
        <w:t>3款规定，对投标文件的补充、修改、澄清、说明或者更正构成投标文件的组成部分，并取代投标文件中被澄清、修改处。</w:t>
      </w:r>
    </w:p>
    <w:p>
      <w:pPr>
        <w:topLinePunct/>
        <w:adjustRightInd w:val="0"/>
        <w:snapToGrid w:val="0"/>
        <w:spacing w:beforeLines="50" w:line="300" w:lineRule="auto"/>
        <w:ind w:firstLine="566" w:firstLineChars="235"/>
        <w:rPr>
          <w:rFonts w:ascii="宋体" w:cs="楷体_GB2312"/>
          <w:color w:val="auto"/>
          <w:sz w:val="24"/>
          <w:lang w:val="zh-CN"/>
        </w:rPr>
      </w:pPr>
      <w:r>
        <w:rPr>
          <w:rFonts w:ascii="黑体" w:hAnsi="黑体" w:eastAsia="黑体" w:cs="楷体_GB2312"/>
          <w:b/>
          <w:color w:val="auto"/>
          <w:sz w:val="24"/>
          <w:lang w:val="zh-CN"/>
        </w:rPr>
        <w:t xml:space="preserve">3.3 </w:t>
      </w:r>
      <w:r>
        <w:rPr>
          <w:rFonts w:hint="eastAsia" w:ascii="黑体" w:hAnsi="黑体" w:eastAsia="黑体" w:cs="楷体_GB2312"/>
          <w:b/>
          <w:color w:val="auto"/>
          <w:sz w:val="24"/>
          <w:lang w:val="zh-CN"/>
        </w:rPr>
        <w:t>投标报价</w:t>
      </w:r>
      <w:r>
        <w:rPr>
          <w:rFonts w:hint="eastAsia" w:ascii="宋体" w:hAnsi="宋体" w:cs="楷体_GB2312"/>
          <w:color w:val="auto"/>
          <w:sz w:val="24"/>
          <w:lang w:val="zh-CN"/>
        </w:rPr>
        <w:t>（价格构成）：见第二章</w:t>
      </w:r>
      <w:r>
        <w:rPr>
          <w:rFonts w:ascii="宋体" w:hAnsi="宋体" w:cs="楷体_GB2312"/>
          <w:color w:val="auto"/>
          <w:sz w:val="24"/>
          <w:lang w:val="zh-CN"/>
        </w:rPr>
        <w:t>1.3</w:t>
      </w:r>
      <w:r>
        <w:rPr>
          <w:rFonts w:hint="eastAsia" w:ascii="宋体" w:hAnsi="宋体" w:cs="楷体_GB2312"/>
          <w:color w:val="auto"/>
          <w:sz w:val="24"/>
          <w:lang w:val="zh-CN"/>
        </w:rPr>
        <w:t>款。</w:t>
      </w:r>
    </w:p>
    <w:p>
      <w:pPr>
        <w:topLinePunct/>
        <w:adjustRightInd w:val="0"/>
        <w:snapToGrid w:val="0"/>
        <w:spacing w:beforeLines="50" w:line="300" w:lineRule="auto"/>
        <w:ind w:firstLine="566" w:firstLineChars="235"/>
        <w:rPr>
          <w:rFonts w:ascii="黑体" w:hAnsi="黑体" w:eastAsia="黑体" w:cs="楷体_GB2312"/>
          <w:b/>
          <w:color w:val="auto"/>
          <w:sz w:val="24"/>
          <w:lang w:val="zh-CN"/>
        </w:rPr>
      </w:pPr>
      <w:r>
        <w:rPr>
          <w:rFonts w:ascii="黑体" w:hAnsi="黑体" w:eastAsia="黑体" w:cs="楷体_GB2312"/>
          <w:b/>
          <w:color w:val="auto"/>
          <w:sz w:val="24"/>
          <w:lang w:val="zh-CN"/>
        </w:rPr>
        <w:t xml:space="preserve">3.4 </w:t>
      </w:r>
      <w:r>
        <w:rPr>
          <w:rFonts w:hint="eastAsia" w:ascii="黑体" w:hAnsi="黑体" w:eastAsia="黑体" w:cs="楷体_GB2312"/>
          <w:b/>
          <w:color w:val="auto"/>
          <w:sz w:val="24"/>
          <w:lang w:val="zh-CN"/>
        </w:rPr>
        <w:t>投标有效期</w:t>
      </w:r>
    </w:p>
    <w:p>
      <w:pPr>
        <w:topLinePunct/>
        <w:adjustRightInd w:val="0"/>
        <w:snapToGrid w:val="0"/>
        <w:spacing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3.4.1</w:t>
      </w:r>
      <w:r>
        <w:rPr>
          <w:rFonts w:hint="eastAsia" w:ascii="宋体" w:hAnsi="宋体" w:cs="楷体_GB2312"/>
          <w:color w:val="auto"/>
          <w:sz w:val="24"/>
          <w:lang w:val="zh-CN"/>
        </w:rPr>
        <w:t>投标有效期见投标人须知前附表。投标有效期从提交投标文件的截止之日起算。投标文件中承诺的投标有效期应当不少于招标文件中载明的投标有效期。投标文件在投标有效期内保持不变（包括价格等投标文件各项条款）。</w:t>
      </w:r>
    </w:p>
    <w:p>
      <w:pPr>
        <w:topLinePunct/>
        <w:adjustRightInd w:val="0"/>
        <w:snapToGrid w:val="0"/>
        <w:spacing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3.4.2</w:t>
      </w:r>
      <w:r>
        <w:rPr>
          <w:rFonts w:hint="eastAsia" w:ascii="宋体" w:hAnsi="宋体" w:cs="楷体_GB2312"/>
          <w:color w:val="auto"/>
          <w:sz w:val="24"/>
          <w:lang w:val="zh-CN"/>
        </w:rPr>
        <w:t>在投标有效期内，投标人撤销或修改其投标文件的，依据招标文件“第三章3.5.5 违背承诺的责任追究措施”，投标人承担相应法律责任及违约责任。</w:t>
      </w:r>
    </w:p>
    <w:p>
      <w:pPr>
        <w:topLinePunct/>
        <w:adjustRightInd w:val="0"/>
        <w:snapToGrid w:val="0"/>
        <w:spacing w:beforeLines="50" w:line="300" w:lineRule="auto"/>
        <w:ind w:firstLine="566" w:firstLineChars="235"/>
        <w:rPr>
          <w:rFonts w:ascii="黑体" w:hAnsi="黑体" w:eastAsia="黑体" w:cs="楷体_GB2312"/>
          <w:b/>
          <w:color w:val="auto"/>
          <w:sz w:val="24"/>
          <w:lang w:val="zh-CN"/>
        </w:rPr>
      </w:pPr>
      <w:r>
        <w:rPr>
          <w:rFonts w:ascii="黑体" w:hAnsi="黑体" w:eastAsia="黑体" w:cs="楷体_GB2312"/>
          <w:b/>
          <w:color w:val="auto"/>
          <w:sz w:val="24"/>
          <w:lang w:val="zh-CN"/>
        </w:rPr>
        <w:t xml:space="preserve">3.5 </w:t>
      </w:r>
      <w:r>
        <w:rPr>
          <w:rFonts w:hint="eastAsia" w:ascii="黑体" w:hAnsi="黑体" w:eastAsia="黑体" w:cs="楷体_GB2312"/>
          <w:b/>
          <w:color w:val="auto"/>
          <w:sz w:val="24"/>
        </w:rPr>
        <w:t>投标承诺函</w:t>
      </w:r>
      <w:r>
        <w:rPr>
          <w:rFonts w:hint="eastAsia" w:ascii="黑体" w:hAnsi="黑体" w:eastAsia="黑体" w:cs="楷体_GB2312"/>
          <w:b/>
          <w:color w:val="auto"/>
          <w:sz w:val="24"/>
          <w:lang w:val="zh-CN"/>
        </w:rPr>
        <w:t>（</w:t>
      </w:r>
      <w:r>
        <w:rPr>
          <w:rFonts w:hint="eastAsia" w:ascii="黑体" w:hAnsi="黑体" w:eastAsia="黑体" w:cs="楷体_GB2312"/>
          <w:b/>
          <w:color w:val="auto"/>
          <w:sz w:val="24"/>
        </w:rPr>
        <w:t>替代</w:t>
      </w:r>
      <w:r>
        <w:rPr>
          <w:rFonts w:hint="eastAsia" w:ascii="黑体" w:hAnsi="黑体" w:eastAsia="黑体" w:cs="楷体_GB2312"/>
          <w:b/>
          <w:color w:val="auto"/>
          <w:sz w:val="24"/>
          <w:lang w:val="zh-CN"/>
        </w:rPr>
        <w:t>投标保证金）：</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lang w:val="zh-CN"/>
        </w:rPr>
        <w:t xml:space="preserve">3.5.1 </w:t>
      </w:r>
      <w:r>
        <w:rPr>
          <w:rFonts w:hint="eastAsia" w:ascii="宋体" w:hAnsi="宋体"/>
          <w:color w:val="auto"/>
          <w:sz w:val="24"/>
          <w:szCs w:val="24"/>
        </w:rPr>
        <w:t>按照豫财购〔2019〕4号文件规定，本项目以投标承诺函的形式替代投标保证金，供应商应按附件格式进行投标承诺，违背承诺的将承担相应的法律责任及违约责任。</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3.5.2 未提供投标承诺函的为</w:t>
      </w:r>
      <w:r>
        <w:rPr>
          <w:rFonts w:hint="eastAsia" w:ascii="宋体" w:hAnsi="宋体"/>
          <w:b/>
          <w:bCs/>
          <w:color w:val="auto"/>
          <w:sz w:val="24"/>
          <w:szCs w:val="24"/>
        </w:rPr>
        <w:t>无效投标</w:t>
      </w:r>
      <w:r>
        <w:rPr>
          <w:rFonts w:hint="eastAsia" w:ascii="宋体" w:hAnsi="宋体"/>
          <w:color w:val="auto"/>
          <w:sz w:val="24"/>
          <w:szCs w:val="24"/>
        </w:rPr>
        <w:t>。</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3.5.3 投标人的投标承诺函包含投标人承诺的事项及违背承诺的责任追究措施。</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3.5.4 承诺事项：</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3.5.4.1、投标人应遵循公开、公平、公正和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的原则自愿参加项目的投标；</w:t>
      </w:r>
      <w:r>
        <w:rPr>
          <w:rFonts w:hint="eastAsia" w:ascii="宋体" w:hAnsi="宋体"/>
          <w:color w:val="auto"/>
          <w:sz w:val="24"/>
          <w:szCs w:val="24"/>
        </w:rPr>
        <w:br w:type="textWrapping"/>
      </w:r>
      <w:r>
        <w:rPr>
          <w:rFonts w:hint="eastAsia" w:ascii="宋体" w:hAnsi="宋体"/>
          <w:color w:val="auto"/>
          <w:sz w:val="24"/>
          <w:szCs w:val="24"/>
        </w:rPr>
        <w:t xml:space="preserve">    3.5.4.2、投标人在政府采购活动中应提供真实、准确、有效、合法的材料，不</w:t>
      </w:r>
      <w:r>
        <w:rPr>
          <w:rFonts w:hint="eastAsia" w:ascii="宋体" w:hAnsi="宋体"/>
          <w:color w:val="auto"/>
          <w:sz w:val="24"/>
          <w:szCs w:val="24"/>
          <w:lang w:val="zh-CN"/>
        </w:rPr>
        <w:t>提供虚假材料；</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3.5.4.3、投标人</w:t>
      </w:r>
      <w:r>
        <w:rPr>
          <w:rFonts w:hint="eastAsia" w:ascii="宋体" w:hAnsi="宋体"/>
          <w:color w:val="auto"/>
          <w:sz w:val="24"/>
          <w:szCs w:val="24"/>
          <w:lang w:val="zh-CN"/>
        </w:rPr>
        <w:t>按照招标文件规定，在提交投标文件截止时间后，在招标文件规定的投标有效期限内不</w:t>
      </w:r>
      <w:r>
        <w:rPr>
          <w:rFonts w:hint="eastAsia" w:ascii="宋体" w:hAnsi="宋体"/>
          <w:color w:val="auto"/>
          <w:sz w:val="24"/>
          <w:szCs w:val="24"/>
        </w:rPr>
        <w:t>应</w:t>
      </w:r>
      <w:r>
        <w:rPr>
          <w:rFonts w:hint="eastAsia" w:ascii="宋体" w:hAnsi="宋体"/>
          <w:color w:val="auto"/>
          <w:sz w:val="24"/>
          <w:szCs w:val="24"/>
          <w:lang w:val="zh-CN"/>
        </w:rPr>
        <w:t>撤回投标文件；</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3.5.4.4、不应</w:t>
      </w:r>
      <w:r>
        <w:rPr>
          <w:rFonts w:hint="eastAsia" w:ascii="宋体" w:hAnsi="宋体"/>
          <w:color w:val="auto"/>
          <w:sz w:val="24"/>
          <w:szCs w:val="24"/>
          <w:lang w:val="zh-CN"/>
        </w:rPr>
        <w:t>与其他投标人、采购人或采购代理机构串通或恶意串通。</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3.5.4.5、中标后</w:t>
      </w:r>
      <w:r>
        <w:rPr>
          <w:rFonts w:hint="eastAsia" w:ascii="宋体" w:hAnsi="宋体"/>
          <w:color w:val="auto"/>
          <w:sz w:val="24"/>
          <w:szCs w:val="24"/>
          <w:lang w:val="zh-CN"/>
        </w:rPr>
        <w:t>除不可抗拒力或</w:t>
      </w:r>
      <w:r>
        <w:rPr>
          <w:rFonts w:hint="eastAsia" w:ascii="宋体" w:hAnsi="宋体"/>
          <w:color w:val="auto"/>
          <w:sz w:val="24"/>
          <w:szCs w:val="24"/>
        </w:rPr>
        <w:t>招标</w:t>
      </w:r>
      <w:r>
        <w:rPr>
          <w:rFonts w:hint="eastAsia" w:ascii="宋体" w:hAnsi="宋体"/>
          <w:color w:val="auto"/>
          <w:sz w:val="24"/>
          <w:szCs w:val="24"/>
          <w:lang w:val="zh-CN"/>
        </w:rPr>
        <w:t>文件认可的情形外</w:t>
      </w:r>
      <w:r>
        <w:rPr>
          <w:rFonts w:hint="eastAsia" w:ascii="宋体" w:hAnsi="宋体"/>
          <w:color w:val="auto"/>
          <w:sz w:val="24"/>
          <w:szCs w:val="24"/>
        </w:rPr>
        <w:t>，投标人应及时领取中标通知书，</w:t>
      </w:r>
      <w:r>
        <w:rPr>
          <w:rFonts w:hint="eastAsia" w:ascii="宋体" w:hAnsi="宋体"/>
          <w:color w:val="auto"/>
          <w:sz w:val="24"/>
          <w:szCs w:val="24"/>
          <w:lang w:val="zh-CN"/>
        </w:rPr>
        <w:t>在成交通知书规定时间、地点与采购人签订合同；</w:t>
      </w:r>
      <w:r>
        <w:rPr>
          <w:rFonts w:hint="eastAsia" w:ascii="宋体" w:hAnsi="宋体"/>
          <w:color w:val="auto"/>
          <w:sz w:val="24"/>
          <w:szCs w:val="24"/>
        </w:rPr>
        <w:br w:type="textWrapping"/>
      </w:r>
      <w:r>
        <w:rPr>
          <w:rFonts w:hint="eastAsia" w:ascii="宋体" w:hAnsi="宋体"/>
          <w:color w:val="auto"/>
          <w:sz w:val="24"/>
          <w:szCs w:val="24"/>
        </w:rPr>
        <w:t xml:space="preserve">    3.5.4.6、投标人应</w:t>
      </w:r>
      <w:r>
        <w:rPr>
          <w:rFonts w:hint="eastAsia" w:ascii="宋体" w:hAnsi="宋体"/>
          <w:color w:val="auto"/>
          <w:sz w:val="24"/>
          <w:szCs w:val="24"/>
          <w:lang w:val="zh-CN"/>
        </w:rPr>
        <w:t>遵守法律法规及招标文件规定的其他情况；</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3.5.4.7、投标人应按招标文件规定及时缴纳中标服务费。</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 违背承诺的责任追究措施</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投标人如违背上述承诺事项，应无条件接受以下责任追究：</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3.5.5.1</w:t>
      </w:r>
      <w:r>
        <w:rPr>
          <w:rFonts w:hint="eastAsia" w:ascii="宋体" w:hAnsi="宋体"/>
          <w:color w:val="auto"/>
          <w:sz w:val="24"/>
          <w:szCs w:val="24"/>
          <w:lang w:val="zh-CN"/>
        </w:rPr>
        <w:t>法定责任：</w:t>
      </w:r>
      <w:r>
        <w:rPr>
          <w:rFonts w:hint="eastAsia" w:ascii="宋体" w:hAnsi="宋体"/>
          <w:color w:val="auto"/>
          <w:sz w:val="24"/>
          <w:szCs w:val="24"/>
        </w:rPr>
        <w:t>按照政府采购相关法规，</w:t>
      </w:r>
      <w:r>
        <w:rPr>
          <w:rFonts w:hint="eastAsia" w:ascii="宋体" w:hAnsi="宋体"/>
          <w:color w:val="auto"/>
          <w:sz w:val="24"/>
          <w:szCs w:val="24"/>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给采购人及他人造成损失的，应承担相应的赔偿责任。</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3.5.5.2</w:t>
      </w:r>
      <w:r>
        <w:rPr>
          <w:rFonts w:hint="eastAsia" w:ascii="宋体" w:hAnsi="宋体"/>
          <w:color w:val="auto"/>
          <w:sz w:val="24"/>
          <w:szCs w:val="24"/>
          <w:lang w:val="zh-CN"/>
        </w:rPr>
        <w:t>违约责任：</w:t>
      </w:r>
      <w:r>
        <w:rPr>
          <w:rFonts w:hint="eastAsia" w:ascii="宋体" w:hAnsi="宋体"/>
          <w:color w:val="auto"/>
          <w:sz w:val="24"/>
          <w:szCs w:val="24"/>
        </w:rPr>
        <w:t xml:space="preserve"> </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3.5.5.2.1 已中标的，中标（成交）无效；</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3.5.5.2.2 支付采购人违约标的预算金额2%的</w:t>
      </w:r>
      <w:r>
        <w:rPr>
          <w:rFonts w:hint="eastAsia" w:ascii="宋体" w:hAnsi="宋体"/>
          <w:color w:val="auto"/>
          <w:sz w:val="24"/>
          <w:szCs w:val="24"/>
          <w:lang w:val="zh-CN"/>
        </w:rPr>
        <w:t>违约金</w:t>
      </w:r>
      <w:r>
        <w:rPr>
          <w:rFonts w:hint="eastAsia" w:ascii="宋体" w:hAnsi="宋体"/>
          <w:color w:val="auto"/>
          <w:sz w:val="24"/>
          <w:szCs w:val="24"/>
        </w:rPr>
        <w:t>；</w:t>
      </w:r>
    </w:p>
    <w:p>
      <w:pPr>
        <w:widowControl w:val="0"/>
        <w:tabs>
          <w:tab w:val="left" w:pos="65"/>
        </w:tabs>
        <w:spacing w:line="460" w:lineRule="atLeast"/>
        <w:ind w:firstLine="480" w:firstLineChars="200"/>
        <w:textAlignment w:val="auto"/>
        <w:rPr>
          <w:rFonts w:ascii="宋体" w:cs="楷体_GB2312"/>
          <w:color w:val="auto"/>
          <w:sz w:val="24"/>
          <w:lang w:val="zh-CN"/>
        </w:rPr>
      </w:pPr>
      <w:r>
        <w:rPr>
          <w:rFonts w:hint="eastAsia" w:ascii="宋体" w:hAnsi="宋体"/>
          <w:color w:val="auto"/>
          <w:sz w:val="24"/>
          <w:szCs w:val="24"/>
        </w:rPr>
        <w:t>3.5.5.2.3中标后未缴中标服务费的，作为违约及违背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原则，在履行承诺前，代理机构将视该单位为失信企业、不予办理其后相关业务。</w:t>
      </w:r>
    </w:p>
    <w:p>
      <w:pPr>
        <w:autoSpaceDE w:val="0"/>
        <w:autoSpaceDN w:val="0"/>
        <w:adjustRightInd w:val="0"/>
        <w:spacing w:beforeLines="50" w:line="360" w:lineRule="auto"/>
        <w:ind w:firstLine="539"/>
        <w:rPr>
          <w:rFonts w:ascii="黑体" w:hAnsi="黑体" w:eastAsia="黑体" w:cs="楷体_GB2312"/>
          <w:b/>
          <w:bCs/>
          <w:color w:val="auto"/>
          <w:sz w:val="28"/>
          <w:szCs w:val="28"/>
          <w:lang w:val="zh-CN"/>
        </w:rPr>
      </w:pPr>
      <w:r>
        <w:rPr>
          <w:rFonts w:ascii="黑体" w:hAnsi="黑体" w:eastAsia="黑体" w:cs="楷体_GB2312"/>
          <w:b/>
          <w:color w:val="auto"/>
          <w:sz w:val="24"/>
          <w:lang w:val="zh-CN"/>
        </w:rPr>
        <w:t xml:space="preserve">3.6 </w:t>
      </w:r>
      <w:r>
        <w:rPr>
          <w:rFonts w:hint="eastAsia" w:ascii="黑体" w:hAnsi="黑体" w:eastAsia="黑体" w:cs="楷体_GB2312"/>
          <w:b/>
          <w:color w:val="auto"/>
          <w:sz w:val="24"/>
          <w:lang w:val="zh-CN"/>
        </w:rPr>
        <w:t>投标资格文件：</w:t>
      </w:r>
      <w:r>
        <w:rPr>
          <w:rFonts w:hint="eastAsia" w:ascii="宋体" w:hAnsi="宋体" w:cs="楷体_GB2312"/>
          <w:color w:val="auto"/>
          <w:sz w:val="24"/>
          <w:lang w:val="zh-CN"/>
        </w:rPr>
        <w:t>要求见招标公告</w:t>
      </w:r>
    </w:p>
    <w:p>
      <w:pPr>
        <w:topLinePunct/>
        <w:adjustRightInd w:val="0"/>
        <w:snapToGrid w:val="0"/>
        <w:spacing w:beforeLines="50" w:line="300" w:lineRule="auto"/>
        <w:ind w:left="561" w:leftChars="267" w:firstLine="5" w:firstLineChars="2"/>
        <w:rPr>
          <w:rFonts w:ascii="黑体" w:hAnsi="黑体" w:eastAsia="黑体" w:cs="楷体_GB2312"/>
          <w:b/>
          <w:color w:val="auto"/>
          <w:sz w:val="24"/>
          <w:lang w:val="zh-CN"/>
        </w:rPr>
      </w:pPr>
      <w:r>
        <w:rPr>
          <w:rFonts w:ascii="黑体" w:hAnsi="黑体" w:eastAsia="黑体" w:cs="楷体_GB2312"/>
          <w:b/>
          <w:color w:val="auto"/>
          <w:sz w:val="24"/>
          <w:lang w:val="zh-CN"/>
        </w:rPr>
        <w:t>3.7</w:t>
      </w:r>
      <w:r>
        <w:rPr>
          <w:rFonts w:hint="eastAsia" w:ascii="黑体" w:hAnsi="黑体" w:eastAsia="黑体" w:cs="楷体_GB2312"/>
          <w:b/>
          <w:color w:val="auto"/>
          <w:sz w:val="24"/>
          <w:lang w:val="zh-CN"/>
        </w:rPr>
        <w:t>投标文件的编制</w:t>
      </w:r>
    </w:p>
    <w:p>
      <w:pPr>
        <w:topLinePunct/>
        <w:adjustRightInd w:val="0"/>
        <w:snapToGrid w:val="0"/>
        <w:spacing w:beforeLines="50" w:line="300" w:lineRule="auto"/>
        <w:ind w:firstLine="564" w:firstLineChars="235"/>
        <w:rPr>
          <w:rFonts w:ascii="宋体" w:hAnsi="宋体" w:cs="楷体_GB2312"/>
          <w:color w:val="auto"/>
          <w:sz w:val="24"/>
          <w:lang w:val="zh-CN"/>
        </w:rPr>
      </w:pPr>
      <w:r>
        <w:rPr>
          <w:rFonts w:ascii="宋体" w:hAnsi="宋体" w:cs="楷体_GB2312"/>
          <w:color w:val="auto"/>
          <w:sz w:val="24"/>
          <w:lang w:val="zh-CN"/>
        </w:rPr>
        <w:t>3.7.1</w:t>
      </w:r>
      <w:r>
        <w:rPr>
          <w:rFonts w:hint="eastAsia" w:ascii="宋体" w:hAnsi="宋体" w:cs="楷体_GB2312"/>
          <w:color w:val="auto"/>
          <w:sz w:val="24"/>
          <w:lang w:val="zh-CN"/>
        </w:rPr>
        <w:t>投标文件应按第六章“投标文件格式”进行编写，如有必要，可以增加附页，作为投标文件的组成部分。招标文件中未列明格式的，由投标人按一般通用格式自行设计编写。</w:t>
      </w:r>
    </w:p>
    <w:p>
      <w:pPr>
        <w:topLinePunct/>
        <w:adjustRightInd w:val="0"/>
        <w:snapToGrid w:val="0"/>
        <w:spacing w:beforeLines="50" w:line="300" w:lineRule="auto"/>
        <w:ind w:firstLine="566" w:firstLineChars="235"/>
        <w:rPr>
          <w:rFonts w:ascii="宋体" w:hAnsi="宋体" w:cs="楷体_GB2312"/>
          <w:b/>
          <w:color w:val="auto"/>
          <w:sz w:val="24"/>
          <w:lang w:val="zh-CN"/>
        </w:rPr>
      </w:pPr>
      <w:r>
        <w:rPr>
          <w:rFonts w:hint="eastAsia" w:ascii="宋体" w:hAnsi="宋体" w:cs="楷体_GB2312"/>
          <w:b/>
          <w:color w:val="auto"/>
          <w:sz w:val="24"/>
          <w:lang w:val="zh-CN"/>
        </w:rPr>
        <w:t>投标文件编制后</w:t>
      </w:r>
      <w:r>
        <w:rPr>
          <w:rFonts w:ascii="宋体" w:hAnsi="宋体" w:cs="楷体_GB2312"/>
          <w:b/>
          <w:color w:val="auto"/>
          <w:sz w:val="24"/>
          <w:lang w:val="zh-CN"/>
        </w:rPr>
        <w:t>，需录入导入</w:t>
      </w:r>
      <w:r>
        <w:rPr>
          <w:rFonts w:hint="eastAsia" w:ascii="宋体" w:hAnsi="宋体" w:cs="楷体_GB2312"/>
          <w:b/>
          <w:color w:val="auto"/>
          <w:sz w:val="24"/>
          <w:lang w:val="zh-CN"/>
        </w:rPr>
        <w:t>招标</w:t>
      </w:r>
      <w:r>
        <w:rPr>
          <w:rFonts w:ascii="宋体" w:hAnsi="宋体" w:cs="楷体_GB2312"/>
          <w:b/>
          <w:color w:val="auto"/>
          <w:sz w:val="24"/>
          <w:lang w:val="zh-CN"/>
        </w:rPr>
        <w:t>公告所述 “</w:t>
      </w:r>
      <w:r>
        <w:rPr>
          <w:rFonts w:hint="eastAsia" w:ascii="宋体" w:hAnsi="宋体" w:cs="楷体_GB2312"/>
          <w:b/>
          <w:color w:val="auto"/>
          <w:sz w:val="24"/>
          <w:lang w:val="zh-CN"/>
        </w:rPr>
        <w:t>安阳市政府采购投标文件编制系统</w:t>
      </w:r>
      <w:r>
        <w:rPr>
          <w:rFonts w:ascii="宋体" w:hAnsi="宋体" w:cs="楷体_GB2312"/>
          <w:b/>
          <w:color w:val="auto"/>
          <w:sz w:val="24"/>
          <w:lang w:val="zh-CN"/>
        </w:rPr>
        <w:t>”</w:t>
      </w:r>
      <w:r>
        <w:rPr>
          <w:rFonts w:hint="eastAsia" w:ascii="宋体" w:hAnsi="宋体" w:cs="楷体_GB2312"/>
          <w:b/>
          <w:color w:val="auto"/>
          <w:sz w:val="24"/>
          <w:lang w:val="zh-CN"/>
        </w:rPr>
        <w:t>，经电</w:t>
      </w:r>
      <w:r>
        <w:rPr>
          <w:rFonts w:ascii="宋体" w:hAnsi="宋体" w:cs="楷体_GB2312"/>
          <w:b/>
          <w:color w:val="auto"/>
          <w:sz w:val="24"/>
          <w:lang w:val="zh-CN"/>
        </w:rPr>
        <w:t>子签名并加密后、在</w:t>
      </w:r>
      <w:r>
        <w:rPr>
          <w:rFonts w:hint="eastAsia" w:ascii="宋体" w:hAnsi="宋体" w:cs="楷体_GB2312"/>
          <w:b/>
          <w:color w:val="auto"/>
          <w:sz w:val="24"/>
          <w:lang w:val="zh-CN"/>
        </w:rPr>
        <w:t>投标文件提交截止时间前，</w:t>
      </w:r>
      <w:r>
        <w:rPr>
          <w:rFonts w:ascii="宋体" w:hAnsi="宋体" w:cs="楷体_GB2312"/>
          <w:b/>
          <w:color w:val="auto"/>
          <w:sz w:val="24"/>
          <w:lang w:val="zh-CN"/>
        </w:rPr>
        <w:t>上</w:t>
      </w:r>
      <w:r>
        <w:rPr>
          <w:rFonts w:hint="eastAsia" w:ascii="宋体" w:hAnsi="宋体" w:cs="楷体_GB2312"/>
          <w:b/>
          <w:color w:val="auto"/>
          <w:sz w:val="24"/>
          <w:lang w:val="zh-CN"/>
        </w:rPr>
        <w:t>传至招标公告所述网上电子交易系</w:t>
      </w:r>
      <w:r>
        <w:rPr>
          <w:rFonts w:ascii="宋体" w:hAnsi="宋体" w:cs="楷体_GB2312"/>
          <w:b/>
          <w:color w:val="auto"/>
          <w:sz w:val="24"/>
          <w:lang w:val="zh-CN"/>
        </w:rPr>
        <w:t>统</w:t>
      </w:r>
      <w:r>
        <w:rPr>
          <w:rFonts w:hint="eastAsia" w:ascii="宋体" w:hAnsi="宋体" w:cs="楷体_GB2312"/>
          <w:b/>
          <w:color w:val="auto"/>
          <w:sz w:val="24"/>
          <w:lang w:val="zh-CN"/>
        </w:rPr>
        <w:t>。</w:t>
      </w:r>
    </w:p>
    <w:p>
      <w:pPr>
        <w:topLinePunct/>
        <w:adjustRightInd w:val="0"/>
        <w:snapToGrid w:val="0"/>
        <w:spacing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 xml:space="preserve">3.7.2 </w:t>
      </w:r>
      <w:r>
        <w:rPr>
          <w:rFonts w:hint="eastAsia" w:ascii="宋体" w:hAnsi="宋体" w:cs="楷体_GB2312"/>
          <w:color w:val="auto"/>
          <w:sz w:val="24"/>
          <w:lang w:val="zh-CN"/>
        </w:rPr>
        <w:t>“投标文件格式”仅为对投标文件部分内容的格式化规范，并非投标文件所应具备的全部内容。投标人应按本章“</w:t>
      </w:r>
      <w:r>
        <w:rPr>
          <w:rFonts w:ascii="宋体" w:hAnsi="宋体" w:cs="楷体_GB2312"/>
          <w:color w:val="auto"/>
          <w:sz w:val="24"/>
          <w:lang w:val="zh-CN"/>
        </w:rPr>
        <w:t>3.2</w:t>
      </w:r>
      <w:r>
        <w:rPr>
          <w:rFonts w:hint="eastAsia" w:ascii="宋体" w:hAnsi="宋体" w:cs="楷体_GB2312"/>
          <w:color w:val="auto"/>
          <w:sz w:val="24"/>
          <w:lang w:val="zh-CN"/>
        </w:rPr>
        <w:t>投标文件的组成”列示内容编制投标文件。</w:t>
      </w:r>
    </w:p>
    <w:p>
      <w:pPr>
        <w:adjustRightInd w:val="0"/>
        <w:snapToGrid w:val="0"/>
        <w:spacing w:beforeLines="50" w:line="300" w:lineRule="auto"/>
        <w:ind w:firstLine="480" w:firstLineChars="200"/>
        <w:rPr>
          <w:rFonts w:ascii="宋体" w:cs="楷体_GB2312"/>
          <w:color w:val="auto"/>
          <w:sz w:val="24"/>
          <w:lang w:val="zh-CN"/>
        </w:rPr>
      </w:pPr>
      <w:r>
        <w:rPr>
          <w:rFonts w:ascii="宋体" w:hAnsi="宋体" w:cs="楷体_GB2312"/>
          <w:color w:val="auto"/>
          <w:sz w:val="24"/>
          <w:lang w:val="zh-CN"/>
        </w:rPr>
        <w:t>3.7</w:t>
      </w:r>
      <w:r>
        <w:rPr>
          <w:rFonts w:asci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投标文件应当对招标文件有关标段（包）内容（范围）、采购需求（技术要求、售后服务、交付（实施）期等）、投标有效期等实质性内容作出响应。在满足招标文件实质性要求的基础上，可以提出比招标文件要求更有利于采购人的承诺。并符合招标文件偏差规定。</w:t>
      </w:r>
    </w:p>
    <w:p>
      <w:pPr>
        <w:adjustRightInd w:val="0"/>
        <w:snapToGrid w:val="0"/>
        <w:spacing w:beforeLines="50" w:line="300" w:lineRule="auto"/>
        <w:ind w:firstLine="480" w:firstLineChars="200"/>
        <w:rPr>
          <w:rFonts w:ascii="宋体" w:cs="楷体_GB2312"/>
          <w:color w:val="auto"/>
          <w:sz w:val="24"/>
          <w:lang w:val="zh-CN"/>
        </w:rPr>
      </w:pPr>
      <w:r>
        <w:rPr>
          <w:rFonts w:hint="eastAsia" w:ascii="宋体" w:hAnsi="宋体" w:cs="楷体_GB2312"/>
          <w:color w:val="auto"/>
          <w:sz w:val="24"/>
          <w:lang w:val="zh-CN"/>
        </w:rPr>
        <w:t>投标文件的所有条款与招标文件要求有任何不同之处，应按《技术偏差表》、《其他偏差表》格式逐一填列。投标文件与招标文件所有要求存在偏差而未填列的，评标委员会有权按照实质性判断原则（实质性要求和实质性响应两因素）评定其为</w:t>
      </w:r>
      <w:r>
        <w:rPr>
          <w:rFonts w:hint="eastAsia" w:ascii="宋体" w:hAnsi="宋体" w:cs="楷体_GB2312"/>
          <w:b/>
          <w:color w:val="auto"/>
          <w:sz w:val="24"/>
          <w:lang w:val="zh-CN"/>
        </w:rPr>
        <w:t>无效投标</w:t>
      </w:r>
      <w:r>
        <w:rPr>
          <w:rFonts w:hint="eastAsia" w:ascii="宋体" w:hAnsi="宋体" w:cs="楷体_GB2312"/>
          <w:color w:val="auto"/>
          <w:sz w:val="24"/>
          <w:lang w:val="zh-CN"/>
        </w:rPr>
        <w:t>。投标人应认真编制投标文件并自负此项风险。</w:t>
      </w:r>
    </w:p>
    <w:p>
      <w:pPr>
        <w:autoSpaceDE w:val="0"/>
        <w:autoSpaceDN w:val="0"/>
        <w:adjustRightInd w:val="0"/>
        <w:snapToGrid w:val="0"/>
        <w:spacing w:beforeLines="50" w:line="300" w:lineRule="auto"/>
        <w:ind w:firstLine="539"/>
        <w:rPr>
          <w:rFonts w:ascii="宋体" w:cs="楷体_GB2312"/>
          <w:b/>
          <w:color w:val="auto"/>
          <w:sz w:val="24"/>
        </w:rPr>
      </w:pPr>
      <w:r>
        <w:rPr>
          <w:rFonts w:ascii="宋体" w:hAnsi="宋体" w:cs="楷体_GB2312"/>
          <w:b/>
          <w:color w:val="auto"/>
          <w:sz w:val="24"/>
          <w:lang w:val="zh-CN"/>
        </w:rPr>
        <w:t>3.7.</w:t>
      </w:r>
      <w:r>
        <w:rPr>
          <w:rFonts w:hint="eastAsia" w:ascii="宋体" w:hAnsi="宋体" w:cs="楷体_GB2312"/>
          <w:b/>
          <w:color w:val="auto"/>
          <w:sz w:val="24"/>
          <w:lang w:val="zh-CN"/>
        </w:rPr>
        <w:t>4</w:t>
      </w:r>
      <w:r>
        <w:rPr>
          <w:rFonts w:ascii="宋体" w:hAnsi="宋体" w:cs="楷体_GB2312"/>
          <w:b/>
          <w:color w:val="auto"/>
          <w:sz w:val="24"/>
          <w:lang w:val="zh-CN"/>
        </w:rPr>
        <w:t xml:space="preserve"> </w:t>
      </w:r>
      <w:r>
        <w:rPr>
          <w:rFonts w:hint="eastAsia" w:ascii="宋体" w:hAnsi="宋体" w:cs="楷体_GB2312"/>
          <w:b/>
          <w:color w:val="auto"/>
          <w:sz w:val="24"/>
          <w:lang w:val="zh-CN"/>
        </w:rPr>
        <w:t>投标文件</w:t>
      </w:r>
      <w:r>
        <w:rPr>
          <w:rFonts w:hint="eastAsia" w:ascii="宋体" w:hAnsi="宋体" w:cs="楷体_GB2312"/>
          <w:b/>
          <w:color w:val="auto"/>
          <w:sz w:val="24"/>
        </w:rPr>
        <w:t>应</w:t>
      </w:r>
      <w:r>
        <w:rPr>
          <w:rFonts w:hint="eastAsia" w:ascii="宋体" w:hAnsi="宋体" w:cs="楷体_GB2312"/>
          <w:b/>
          <w:color w:val="auto"/>
          <w:sz w:val="24"/>
          <w:lang w:val="zh-CN"/>
        </w:rPr>
        <w:t>按招标文件相关要求（含格式上标注的要求）、</w:t>
      </w:r>
      <w:r>
        <w:rPr>
          <w:rFonts w:hint="eastAsia" w:ascii="宋体" w:hAnsi="宋体" w:cs="楷体_GB2312"/>
          <w:b/>
          <w:color w:val="auto"/>
          <w:sz w:val="24"/>
        </w:rPr>
        <w:t>使用供应商企业数字证书进行电</w:t>
      </w:r>
      <w:r>
        <w:rPr>
          <w:rFonts w:ascii="宋体" w:hAnsi="宋体" w:cs="楷体_GB2312"/>
          <w:b/>
          <w:color w:val="auto"/>
          <w:sz w:val="24"/>
        </w:rPr>
        <w:t>子</w:t>
      </w:r>
      <w:r>
        <w:rPr>
          <w:rFonts w:hint="eastAsia" w:ascii="宋体" w:hAnsi="宋体" w:cs="楷体_GB2312"/>
          <w:b/>
          <w:color w:val="auto"/>
          <w:sz w:val="24"/>
        </w:rPr>
        <w:t>签章和供应商法定代表人数字证书进行电</w:t>
      </w:r>
      <w:r>
        <w:rPr>
          <w:rFonts w:ascii="宋体" w:hAnsi="宋体" w:cs="楷体_GB2312"/>
          <w:b/>
          <w:color w:val="auto"/>
          <w:sz w:val="24"/>
        </w:rPr>
        <w:t>子</w:t>
      </w:r>
      <w:r>
        <w:rPr>
          <w:rFonts w:hint="eastAsia" w:ascii="宋体" w:hAnsi="宋体" w:cs="楷体_GB2312"/>
          <w:b/>
          <w:color w:val="auto"/>
          <w:sz w:val="24"/>
        </w:rPr>
        <w:t>签名、并加密，没有使用供应商企业数字证书和供应商法定代表人数字证书进行电</w:t>
      </w:r>
      <w:r>
        <w:rPr>
          <w:rFonts w:ascii="宋体" w:hAnsi="宋体" w:cs="楷体_GB2312"/>
          <w:b/>
          <w:color w:val="auto"/>
          <w:sz w:val="24"/>
        </w:rPr>
        <w:t>子</w:t>
      </w:r>
      <w:r>
        <w:rPr>
          <w:rFonts w:hint="eastAsia" w:ascii="宋体" w:hAnsi="宋体" w:cs="楷体_GB2312"/>
          <w:b/>
          <w:color w:val="auto"/>
          <w:sz w:val="24"/>
        </w:rPr>
        <w:t>签名并加密的投标文件，属于未按照招标文件要求进行签署。</w:t>
      </w:r>
    </w:p>
    <w:p>
      <w:pPr>
        <w:adjustRightInd w:val="0"/>
        <w:snapToGrid w:val="0"/>
        <w:spacing w:beforeLines="50" w:line="300" w:lineRule="auto"/>
        <w:ind w:firstLine="482" w:firstLineChars="200"/>
        <w:rPr>
          <w:rFonts w:ascii="宋体" w:hAnsi="宋体" w:cs="楷体_GB2312"/>
          <w:color w:val="auto"/>
          <w:sz w:val="24"/>
          <w:lang w:val="zh-CN"/>
        </w:rPr>
      </w:pPr>
      <w:r>
        <w:rPr>
          <w:rFonts w:hint="eastAsia" w:ascii="宋体" w:hAnsi="宋体" w:cs="楷体_GB2312"/>
          <w:b/>
          <w:color w:val="auto"/>
          <w:sz w:val="24"/>
        </w:rPr>
        <w:t>根据《中华人民共和国电子签名法》规定，可靠的电子签名与手写签名或者盖章具有同等的法律效力。本次采购活动中，供应商使用有效的企业数字证书对投标文件进行电子签章与加盖投标</w:t>
      </w:r>
      <w:r>
        <w:rPr>
          <w:rFonts w:ascii="宋体" w:hAnsi="宋体" w:cs="楷体_GB2312"/>
          <w:b/>
          <w:color w:val="auto"/>
          <w:sz w:val="24"/>
        </w:rPr>
        <w:t>人公</w:t>
      </w:r>
      <w:r>
        <w:rPr>
          <w:rFonts w:hint="eastAsia" w:ascii="宋体" w:hAnsi="宋体" w:cs="楷体_GB2312"/>
          <w:b/>
          <w:color w:val="auto"/>
          <w:sz w:val="24"/>
        </w:rPr>
        <w:t>章具有同等法律效力；供应商法定代表人使用有效的个人数字证书对投标文件进行签名与法人签章具有同等法律效力。</w:t>
      </w:r>
    </w:p>
    <w:p>
      <w:pPr>
        <w:adjustRightInd w:val="0"/>
        <w:snapToGrid w:val="0"/>
        <w:spacing w:beforeLines="50" w:line="300" w:lineRule="auto"/>
        <w:ind w:firstLine="480" w:firstLineChars="200"/>
        <w:rPr>
          <w:rFonts w:ascii="宋体" w:cs="楷体_GB2312"/>
          <w:color w:val="auto"/>
          <w:sz w:val="24"/>
          <w:lang w:val="zh-CN"/>
        </w:rPr>
      </w:pPr>
      <w:r>
        <w:rPr>
          <w:rFonts w:ascii="宋体" w:hAnsi="宋体" w:cs="楷体_GB2312"/>
          <w:color w:val="auto"/>
          <w:sz w:val="24"/>
          <w:lang w:val="zh-CN"/>
        </w:rPr>
        <w:t>3.7.</w:t>
      </w:r>
      <w:r>
        <w:rPr>
          <w:rFonts w:hint="eastAsia" w:ascii="宋体" w:hAnsi="宋体" w:cs="楷体_GB2312"/>
          <w:color w:val="auto"/>
          <w:sz w:val="24"/>
          <w:lang w:val="zh-CN"/>
        </w:rPr>
        <w:t>5投标人可对本招标文件中所列的所有标段（包）进行分别投标，也可选择其中一个标段（包）或几个标段（包）投标，但不得将招标文件规定的同一标段（包）的内容拆开投标，否则将按</w:t>
      </w:r>
      <w:r>
        <w:rPr>
          <w:rFonts w:hint="eastAsia" w:ascii="宋体" w:hAnsi="宋体" w:cs="楷体_GB2312"/>
          <w:b/>
          <w:color w:val="auto"/>
          <w:sz w:val="24"/>
          <w:lang w:val="zh-CN"/>
        </w:rPr>
        <w:t>无效投标处理</w:t>
      </w:r>
      <w:r>
        <w:rPr>
          <w:rFonts w:hint="eastAsia" w:ascii="宋体" w:hAnsi="宋体" w:cs="楷体_GB2312"/>
          <w:color w:val="auto"/>
          <w:sz w:val="24"/>
          <w:lang w:val="zh-CN"/>
        </w:rPr>
        <w:t>。</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3.7.6 </w:t>
      </w:r>
      <w:r>
        <w:rPr>
          <w:rFonts w:hint="eastAsia" w:ascii="宋体" w:hAnsi="宋体" w:cs="楷体_GB2312"/>
          <w:color w:val="auto"/>
          <w:sz w:val="24"/>
          <w:lang w:val="zh-CN"/>
        </w:rPr>
        <w:t>投标文件因字迹或表述不清所引起的后果由投标人自行负责。</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3.7.7 </w:t>
      </w:r>
      <w:r>
        <w:rPr>
          <w:rFonts w:hint="eastAsia" w:ascii="宋体" w:hAnsi="宋体" w:cs="楷体_GB2312"/>
          <w:color w:val="auto"/>
          <w:sz w:val="24"/>
          <w:lang w:val="zh-CN"/>
        </w:rPr>
        <w:t>未按上述要求提供的投标文件将视为</w:t>
      </w:r>
      <w:r>
        <w:rPr>
          <w:rFonts w:hint="eastAsia" w:ascii="宋体" w:hAnsi="宋体" w:cs="楷体_GB2312"/>
          <w:b/>
          <w:color w:val="auto"/>
          <w:sz w:val="24"/>
          <w:lang w:val="zh-CN"/>
        </w:rPr>
        <w:t>无效投标。</w:t>
      </w:r>
    </w:p>
    <w:p>
      <w:pPr>
        <w:autoSpaceDE w:val="0"/>
        <w:autoSpaceDN w:val="0"/>
        <w:adjustRightInd w:val="0"/>
        <w:spacing w:line="360" w:lineRule="auto"/>
        <w:ind w:firstLine="539"/>
        <w:rPr>
          <w:rFonts w:ascii="黑体" w:hAnsi="黑体" w:eastAsia="黑体" w:cs="楷体_GB2312"/>
          <w:b/>
          <w:bCs/>
          <w:color w:val="auto"/>
          <w:sz w:val="28"/>
          <w:szCs w:val="28"/>
          <w:lang w:val="zh-CN"/>
        </w:rPr>
      </w:pPr>
    </w:p>
    <w:p>
      <w:pPr>
        <w:autoSpaceDE w:val="0"/>
        <w:autoSpaceDN w:val="0"/>
        <w:adjustRightInd w:val="0"/>
        <w:snapToGrid w:val="0"/>
        <w:spacing w:beforeLines="50" w:line="300" w:lineRule="auto"/>
        <w:ind w:firstLine="539"/>
        <w:outlineLvl w:val="1"/>
        <w:rPr>
          <w:rFonts w:ascii="黑体" w:hAnsi="黑体" w:eastAsia="黑体" w:cs="楷体_GB2312"/>
          <w:b/>
          <w:bCs/>
          <w:color w:val="auto"/>
          <w:sz w:val="28"/>
          <w:szCs w:val="28"/>
          <w:lang w:val="zh-CN"/>
        </w:rPr>
      </w:pPr>
      <w:bookmarkStart w:id="28" w:name="_Toc114740090"/>
      <w:r>
        <w:rPr>
          <w:rFonts w:ascii="黑体" w:hAnsi="黑体" w:eastAsia="黑体" w:cs="楷体_GB2312"/>
          <w:b/>
          <w:bCs/>
          <w:color w:val="auto"/>
          <w:sz w:val="28"/>
          <w:szCs w:val="28"/>
          <w:lang w:val="zh-CN"/>
        </w:rPr>
        <w:t xml:space="preserve">4 </w:t>
      </w:r>
      <w:r>
        <w:rPr>
          <w:rFonts w:hint="eastAsia" w:ascii="黑体" w:hAnsi="黑体" w:eastAsia="黑体" w:cs="楷体_GB2312"/>
          <w:b/>
          <w:bCs/>
          <w:color w:val="auto"/>
          <w:sz w:val="28"/>
          <w:szCs w:val="28"/>
          <w:lang w:val="zh-CN"/>
        </w:rPr>
        <w:t>投标</w:t>
      </w:r>
      <w:bookmarkEnd w:id="28"/>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4.1 </w:t>
      </w:r>
      <w:r>
        <w:rPr>
          <w:rFonts w:hint="eastAsia" w:ascii="黑体" w:hAnsi="黑体" w:eastAsia="黑体" w:cs="楷体_GB2312"/>
          <w:b/>
          <w:color w:val="auto"/>
          <w:sz w:val="24"/>
          <w:lang w:val="zh-CN"/>
        </w:rPr>
        <w:t>投标文件的密封和标记：</w:t>
      </w:r>
    </w:p>
    <w:p>
      <w:pPr>
        <w:autoSpaceDE w:val="0"/>
        <w:autoSpaceDN w:val="0"/>
        <w:adjustRightInd w:val="0"/>
        <w:snapToGrid w:val="0"/>
        <w:spacing w:beforeLines="50" w:line="300" w:lineRule="auto"/>
        <w:ind w:firstLine="539"/>
        <w:rPr>
          <w:rFonts w:ascii="宋体" w:cs="楷体_GB2312"/>
          <w:b/>
          <w:color w:val="auto"/>
          <w:sz w:val="24"/>
          <w:lang w:val="zh-CN"/>
        </w:rPr>
      </w:pPr>
      <w:bookmarkStart w:id="29" w:name="OLE_LINK2"/>
      <w:r>
        <w:rPr>
          <w:rFonts w:ascii="宋体" w:hAnsi="宋体" w:cs="楷体_GB2312"/>
          <w:b/>
          <w:color w:val="auto"/>
          <w:sz w:val="24"/>
          <w:lang w:val="zh-CN"/>
        </w:rPr>
        <w:t xml:space="preserve">4.1.1 </w:t>
      </w:r>
      <w:r>
        <w:rPr>
          <w:rFonts w:hint="eastAsia" w:ascii="宋体" w:hAnsi="宋体" w:cs="楷体_GB2312"/>
          <w:b/>
          <w:color w:val="auto"/>
          <w:sz w:val="24"/>
          <w:lang w:val="zh-CN"/>
        </w:rPr>
        <w:t>投标文件应</w:t>
      </w:r>
      <w:r>
        <w:rPr>
          <w:rFonts w:ascii="宋体" w:hAnsi="宋体" w:cs="楷体_GB2312"/>
          <w:b/>
          <w:color w:val="auto"/>
          <w:sz w:val="24"/>
          <w:lang w:val="zh-CN"/>
        </w:rPr>
        <w:t>当</w:t>
      </w:r>
      <w:r>
        <w:rPr>
          <w:rFonts w:hint="eastAsia" w:ascii="宋体" w:hAnsi="宋体" w:cs="楷体_GB2312"/>
          <w:b/>
          <w:color w:val="auto"/>
          <w:sz w:val="24"/>
          <w:lang w:val="zh-CN"/>
        </w:rPr>
        <w:t>按网上电子交易系统要</w:t>
      </w:r>
      <w:r>
        <w:rPr>
          <w:rFonts w:ascii="宋体" w:hAnsi="宋体" w:cs="楷体_GB2312"/>
          <w:b/>
          <w:color w:val="auto"/>
          <w:sz w:val="24"/>
          <w:lang w:val="zh-CN"/>
        </w:rPr>
        <w:t>求</w:t>
      </w:r>
      <w:r>
        <w:rPr>
          <w:rFonts w:hint="eastAsia" w:ascii="宋体" w:hAnsi="宋体" w:cs="楷体_GB2312"/>
          <w:b/>
          <w:color w:val="auto"/>
          <w:sz w:val="24"/>
          <w:lang w:val="zh-CN"/>
        </w:rPr>
        <w:t>进行</w:t>
      </w:r>
      <w:r>
        <w:rPr>
          <w:rFonts w:ascii="宋体" w:hAnsi="宋体" w:cs="楷体_GB2312"/>
          <w:b/>
          <w:color w:val="auto"/>
          <w:sz w:val="24"/>
          <w:lang w:val="zh-CN"/>
        </w:rPr>
        <w:t>加密</w:t>
      </w:r>
      <w:r>
        <w:rPr>
          <w:rFonts w:hint="eastAsia" w:ascii="宋体" w:hAnsi="宋体" w:cs="楷体_GB2312"/>
          <w:b/>
          <w:color w:val="auto"/>
          <w:sz w:val="24"/>
          <w:lang w:val="zh-CN"/>
        </w:rPr>
        <w:t>和标记，</w:t>
      </w:r>
      <w:r>
        <w:rPr>
          <w:rFonts w:ascii="宋体" w:hAnsi="宋体" w:cs="楷体_GB2312"/>
          <w:b/>
          <w:color w:val="auto"/>
          <w:sz w:val="24"/>
          <w:lang w:val="zh-CN"/>
        </w:rPr>
        <w:t>在</w:t>
      </w:r>
      <w:r>
        <w:rPr>
          <w:rFonts w:hint="eastAsia" w:ascii="宋体" w:hAnsi="宋体" w:cs="楷体_GB2312"/>
          <w:b/>
          <w:color w:val="auto"/>
          <w:sz w:val="24"/>
          <w:lang w:val="zh-CN"/>
        </w:rPr>
        <w:t>投标文件提</w:t>
      </w:r>
      <w:r>
        <w:rPr>
          <w:rFonts w:ascii="宋体" w:hAnsi="宋体" w:cs="楷体_GB2312"/>
          <w:b/>
          <w:color w:val="auto"/>
          <w:sz w:val="24"/>
          <w:lang w:val="zh-CN"/>
        </w:rPr>
        <w:t>交</w:t>
      </w:r>
      <w:r>
        <w:rPr>
          <w:rFonts w:hint="eastAsia" w:ascii="宋体" w:hAnsi="宋体" w:cs="楷体_GB2312"/>
          <w:b/>
          <w:color w:val="auto"/>
          <w:sz w:val="24"/>
          <w:lang w:val="zh-CN"/>
        </w:rPr>
        <w:t>截止时间前，将</w:t>
      </w:r>
      <w:r>
        <w:rPr>
          <w:rFonts w:ascii="宋体" w:hAnsi="宋体" w:cs="楷体_GB2312"/>
          <w:b/>
          <w:color w:val="auto"/>
          <w:sz w:val="24"/>
          <w:lang w:val="zh-CN"/>
        </w:rPr>
        <w:t>加密的</w:t>
      </w:r>
      <w:r>
        <w:rPr>
          <w:rFonts w:hint="eastAsia" w:ascii="宋体" w:hAnsi="宋体" w:cs="楷体_GB2312"/>
          <w:b/>
          <w:color w:val="auto"/>
          <w:sz w:val="24"/>
          <w:lang w:val="zh-CN"/>
        </w:rPr>
        <w:t>投标文件</w:t>
      </w:r>
      <w:r>
        <w:rPr>
          <w:rFonts w:ascii="宋体" w:hAnsi="宋体" w:cs="楷体_GB2312"/>
          <w:b/>
          <w:color w:val="auto"/>
          <w:sz w:val="24"/>
          <w:lang w:val="zh-CN"/>
        </w:rPr>
        <w:t>上</w:t>
      </w:r>
      <w:r>
        <w:rPr>
          <w:rFonts w:hint="eastAsia" w:ascii="宋体" w:hAnsi="宋体" w:cs="楷体_GB2312"/>
          <w:b/>
          <w:color w:val="auto"/>
          <w:sz w:val="24"/>
          <w:lang w:val="zh-CN"/>
        </w:rPr>
        <w:t>传至招标公告所述网上电子交易系</w:t>
      </w:r>
      <w:r>
        <w:rPr>
          <w:rFonts w:ascii="宋体" w:hAnsi="宋体" w:cs="楷体_GB2312"/>
          <w:b/>
          <w:color w:val="auto"/>
          <w:sz w:val="24"/>
          <w:lang w:val="zh-CN"/>
        </w:rPr>
        <w:t>统</w:t>
      </w:r>
      <w:r>
        <w:rPr>
          <w:rFonts w:hint="eastAsia" w:ascii="宋体" w:hAnsi="宋体" w:cs="楷体_GB2312"/>
          <w:b/>
          <w:color w:val="auto"/>
          <w:sz w:val="24"/>
          <w:lang w:val="zh-CN"/>
        </w:rPr>
        <w:t>。</w:t>
      </w:r>
    </w:p>
    <w:p>
      <w:pPr>
        <w:autoSpaceDE w:val="0"/>
        <w:autoSpaceDN w:val="0"/>
        <w:adjustRightInd w:val="0"/>
        <w:snapToGrid w:val="0"/>
        <w:spacing w:beforeLines="50" w:line="300" w:lineRule="auto"/>
        <w:ind w:firstLine="539"/>
        <w:rPr>
          <w:rFonts w:ascii="宋体" w:cs="楷体_GB2312"/>
          <w:b/>
          <w:color w:val="auto"/>
          <w:sz w:val="24"/>
          <w:lang w:val="zh-CN"/>
        </w:rPr>
      </w:pPr>
      <w:bookmarkStart w:id="30" w:name="OLE_LINK1"/>
      <w:r>
        <w:rPr>
          <w:rFonts w:ascii="宋体" w:hAnsi="宋体" w:cs="楷体_GB2312"/>
          <w:b/>
          <w:color w:val="auto"/>
          <w:sz w:val="24"/>
          <w:lang w:val="zh-CN"/>
        </w:rPr>
        <w:t xml:space="preserve">4.1.2 </w:t>
      </w:r>
      <w:r>
        <w:rPr>
          <w:rFonts w:hint="eastAsia" w:ascii="宋体" w:hAnsi="宋体" w:cs="楷体_GB2312"/>
          <w:b/>
          <w:color w:val="auto"/>
          <w:sz w:val="24"/>
          <w:lang w:val="zh-CN"/>
        </w:rPr>
        <w:t>投标文件没有按照上述要求进行</w:t>
      </w:r>
      <w:r>
        <w:rPr>
          <w:rFonts w:ascii="宋体" w:hAnsi="宋体" w:cs="楷体_GB2312"/>
          <w:b/>
          <w:color w:val="auto"/>
          <w:sz w:val="24"/>
          <w:lang w:val="zh-CN"/>
        </w:rPr>
        <w:t>加密</w:t>
      </w:r>
      <w:r>
        <w:rPr>
          <w:rFonts w:hint="eastAsia" w:ascii="黑体" w:hAnsi="黑体" w:eastAsia="黑体" w:cs="楷体_GB2312"/>
          <w:b/>
          <w:color w:val="auto"/>
          <w:sz w:val="24"/>
          <w:lang w:val="zh-CN"/>
        </w:rPr>
        <w:t>和标记</w:t>
      </w:r>
      <w:r>
        <w:rPr>
          <w:rFonts w:hint="eastAsia" w:ascii="宋体" w:hAnsi="宋体" w:cs="楷体_GB2312"/>
          <w:b/>
          <w:color w:val="auto"/>
          <w:sz w:val="24"/>
          <w:lang w:val="zh-CN"/>
        </w:rPr>
        <w:t>的、网上电子交易系</w:t>
      </w:r>
      <w:r>
        <w:rPr>
          <w:rFonts w:ascii="宋体" w:hAnsi="宋体" w:cs="楷体_GB2312"/>
          <w:b/>
          <w:color w:val="auto"/>
          <w:sz w:val="24"/>
          <w:lang w:val="zh-CN"/>
        </w:rPr>
        <w:t>统</w:t>
      </w:r>
      <w:r>
        <w:rPr>
          <w:rFonts w:hint="eastAsia" w:ascii="宋体" w:hAnsi="宋体" w:cs="楷体_GB2312"/>
          <w:b/>
          <w:color w:val="auto"/>
          <w:sz w:val="24"/>
          <w:lang w:val="zh-CN"/>
        </w:rPr>
        <w:t>将</w:t>
      </w:r>
      <w:r>
        <w:rPr>
          <w:rFonts w:ascii="宋体" w:hAnsi="宋体" w:cs="楷体_GB2312"/>
          <w:b/>
          <w:color w:val="auto"/>
          <w:sz w:val="24"/>
          <w:lang w:val="zh-CN"/>
        </w:rPr>
        <w:t>据系统设定</w:t>
      </w:r>
      <w:r>
        <w:rPr>
          <w:rFonts w:hint="eastAsia" w:ascii="宋体" w:hAnsi="宋体" w:cs="楷体_GB2312"/>
          <w:b/>
          <w:color w:val="auto"/>
          <w:sz w:val="24"/>
          <w:lang w:val="zh-CN"/>
        </w:rPr>
        <w:t>拒收其投标文件，投标人应自负该项风险，采购代理机构对可能产</w:t>
      </w:r>
      <w:r>
        <w:rPr>
          <w:rFonts w:ascii="宋体" w:hAnsi="宋体" w:cs="楷体_GB2312"/>
          <w:b/>
          <w:color w:val="auto"/>
          <w:sz w:val="24"/>
          <w:lang w:val="zh-CN"/>
        </w:rPr>
        <w:t>生的</w:t>
      </w:r>
      <w:r>
        <w:rPr>
          <w:rFonts w:hint="eastAsia" w:ascii="宋体" w:hAnsi="宋体" w:cs="楷体_GB2312"/>
          <w:b/>
          <w:color w:val="auto"/>
          <w:sz w:val="24"/>
          <w:lang w:val="zh-CN"/>
        </w:rPr>
        <w:t>误投或提前启封概不负责。</w:t>
      </w:r>
      <w:bookmarkEnd w:id="30"/>
    </w:p>
    <w:bookmarkEnd w:id="29"/>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4.2 </w:t>
      </w:r>
      <w:r>
        <w:rPr>
          <w:rFonts w:hint="eastAsia" w:ascii="黑体" w:hAnsi="黑体" w:eastAsia="黑体" w:cs="楷体_GB2312"/>
          <w:b/>
          <w:color w:val="auto"/>
          <w:sz w:val="24"/>
          <w:lang w:val="zh-CN"/>
        </w:rPr>
        <w:t>投标文件的递交</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4.2.1 </w:t>
      </w:r>
      <w:r>
        <w:rPr>
          <w:rFonts w:hint="eastAsia" w:ascii="宋体" w:hAnsi="宋体" w:cs="楷体_GB2312"/>
          <w:b/>
          <w:color w:val="auto"/>
          <w:sz w:val="24"/>
          <w:lang w:val="zh-CN"/>
        </w:rPr>
        <w:t>投标人须</w:t>
      </w:r>
      <w:r>
        <w:rPr>
          <w:rFonts w:ascii="宋体" w:hAnsi="宋体" w:cs="楷体_GB2312"/>
          <w:b/>
          <w:color w:val="auto"/>
          <w:sz w:val="24"/>
          <w:lang w:val="zh-CN"/>
        </w:rPr>
        <w:t>在</w:t>
      </w:r>
      <w:r>
        <w:rPr>
          <w:rFonts w:hint="eastAsia" w:ascii="宋体" w:hAnsi="宋体" w:cs="楷体_GB2312"/>
          <w:b/>
          <w:color w:val="auto"/>
          <w:sz w:val="24"/>
          <w:lang w:val="zh-CN"/>
        </w:rPr>
        <w:t>投标文件提</w:t>
      </w:r>
      <w:r>
        <w:rPr>
          <w:rFonts w:ascii="宋体" w:hAnsi="宋体" w:cs="楷体_GB2312"/>
          <w:b/>
          <w:color w:val="auto"/>
          <w:sz w:val="24"/>
          <w:lang w:val="zh-CN"/>
        </w:rPr>
        <w:t>交</w:t>
      </w:r>
      <w:r>
        <w:rPr>
          <w:rFonts w:hint="eastAsia" w:ascii="宋体" w:hAnsi="宋体" w:cs="楷体_GB2312"/>
          <w:b/>
          <w:color w:val="auto"/>
          <w:sz w:val="24"/>
          <w:lang w:val="zh-CN"/>
        </w:rPr>
        <w:t>截止时间前，将加密的投标文件上传至招标公告所述网上电子交易系统（在网上电子交易系统，凭企业数字证书登录投标用户入口 的“政府采购”系统上传）。投标人应在上传时认真检查上传投标文件是否完整、正确。</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4.2.2 </w:t>
      </w:r>
      <w:r>
        <w:rPr>
          <w:rFonts w:hint="eastAsia" w:ascii="宋体" w:hAnsi="宋体" w:cs="楷体_GB2312"/>
          <w:b/>
          <w:color w:val="auto"/>
          <w:sz w:val="24"/>
          <w:lang w:val="zh-CN"/>
        </w:rPr>
        <w:t>据网上电子交易系统设</w:t>
      </w:r>
      <w:r>
        <w:rPr>
          <w:rFonts w:ascii="宋体" w:hAnsi="宋体" w:cs="楷体_GB2312"/>
          <w:b/>
          <w:color w:val="auto"/>
          <w:sz w:val="24"/>
          <w:lang w:val="zh-CN"/>
        </w:rPr>
        <w:t>定，</w:t>
      </w:r>
      <w:r>
        <w:rPr>
          <w:rFonts w:hint="eastAsia" w:ascii="宋体" w:hAnsi="宋体" w:cs="楷体_GB2312"/>
          <w:b/>
          <w:color w:val="auto"/>
          <w:sz w:val="24"/>
          <w:lang w:val="zh-CN"/>
        </w:rPr>
        <w:t>投标文件提交截止时间后，系统将自动锁定已经提交的电子投标文件，拒绝再次提交。投</w:t>
      </w:r>
      <w:r>
        <w:rPr>
          <w:rFonts w:ascii="宋体" w:hAnsi="宋体" w:cs="楷体_GB2312"/>
          <w:b/>
          <w:color w:val="auto"/>
          <w:sz w:val="24"/>
          <w:lang w:val="zh-CN"/>
        </w:rPr>
        <w:t>标人</w:t>
      </w:r>
      <w:r>
        <w:rPr>
          <w:rFonts w:hint="eastAsia" w:ascii="宋体" w:hAnsi="宋体" w:cs="楷体_GB2312"/>
          <w:b/>
          <w:color w:val="auto"/>
          <w:sz w:val="24"/>
          <w:lang w:val="zh-CN"/>
        </w:rPr>
        <w:t>将无法通过网上电子交易系统进行上传，采购代理机构将无法接受并拒绝接受投标截止时间以后提</w:t>
      </w:r>
      <w:r>
        <w:rPr>
          <w:rFonts w:ascii="宋体" w:hAnsi="宋体" w:cs="楷体_GB2312"/>
          <w:b/>
          <w:color w:val="auto"/>
          <w:sz w:val="24"/>
          <w:lang w:val="zh-CN"/>
        </w:rPr>
        <w:t>交</w:t>
      </w:r>
      <w:r>
        <w:rPr>
          <w:rFonts w:hint="eastAsia" w:ascii="宋体" w:hAnsi="宋体" w:cs="楷体_GB2312"/>
          <w:b/>
          <w:color w:val="auto"/>
          <w:sz w:val="24"/>
          <w:lang w:val="zh-CN"/>
        </w:rPr>
        <w:t>的投标文件</w:t>
      </w:r>
    </w:p>
    <w:p>
      <w:pPr>
        <w:autoSpaceDE w:val="0"/>
        <w:autoSpaceDN w:val="0"/>
        <w:adjustRightInd w:val="0"/>
        <w:snapToGrid w:val="0"/>
        <w:spacing w:beforeLines="50" w:line="300" w:lineRule="auto"/>
        <w:ind w:firstLine="539"/>
        <w:rPr>
          <w:rFonts w:ascii="宋体" w:hAnsi="宋体" w:cs="楷体_GB2312"/>
          <w:color w:val="auto"/>
          <w:sz w:val="24"/>
          <w:lang w:val="zh-CN"/>
        </w:rPr>
      </w:pPr>
      <w:r>
        <w:rPr>
          <w:rFonts w:ascii="宋体" w:hAnsi="宋体" w:cs="楷体_GB2312"/>
          <w:color w:val="auto"/>
          <w:sz w:val="24"/>
          <w:lang w:val="zh-CN"/>
        </w:rPr>
        <w:t xml:space="preserve">4.2.3 </w:t>
      </w:r>
      <w:r>
        <w:rPr>
          <w:rFonts w:hint="eastAsia" w:ascii="宋体" w:hAnsi="宋体" w:cs="楷体_GB2312"/>
          <w:color w:val="auto"/>
          <w:sz w:val="24"/>
          <w:lang w:val="zh-CN"/>
        </w:rPr>
        <w:t>由于不可抗拒的原因，代理机构对投标文件的遗失和损坏不负任何责任。</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4.2.4 </w:t>
      </w:r>
      <w:r>
        <w:rPr>
          <w:rFonts w:hint="eastAsia" w:ascii="宋体" w:hAnsi="宋体" w:cs="楷体_GB2312"/>
          <w:color w:val="auto"/>
          <w:sz w:val="24"/>
          <w:lang w:val="zh-CN"/>
        </w:rPr>
        <w:t>除投标人须知前附表另有规定外，投标人所递交的投标文件不予退还。</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4.2.5 </w:t>
      </w:r>
      <w:r>
        <w:rPr>
          <w:rFonts w:hint="eastAsia" w:ascii="宋体" w:hAnsi="宋体" w:cs="楷体_GB2312"/>
          <w:b/>
          <w:color w:val="auto"/>
          <w:sz w:val="24"/>
          <w:lang w:val="zh-CN"/>
        </w:rPr>
        <w:t>基于</w:t>
      </w:r>
      <w:r>
        <w:rPr>
          <w:rFonts w:ascii="宋体" w:hAnsi="宋体" w:cs="楷体_GB2312"/>
          <w:b/>
          <w:color w:val="auto"/>
          <w:sz w:val="24"/>
          <w:lang w:val="zh-CN"/>
        </w:rPr>
        <w:t>网上电子交易的</w:t>
      </w:r>
      <w:r>
        <w:rPr>
          <w:rFonts w:hint="eastAsia" w:ascii="宋体" w:hAnsi="宋体" w:cs="楷体_GB2312"/>
          <w:b/>
          <w:color w:val="auto"/>
          <w:sz w:val="24"/>
          <w:lang w:val="zh-CN"/>
        </w:rPr>
        <w:t>系统</w:t>
      </w:r>
      <w:r>
        <w:rPr>
          <w:rFonts w:ascii="宋体" w:hAnsi="宋体" w:cs="楷体_GB2312"/>
          <w:b/>
          <w:color w:val="auto"/>
          <w:sz w:val="24"/>
          <w:lang w:val="zh-CN"/>
        </w:rPr>
        <w:t>要求及</w:t>
      </w:r>
      <w:r>
        <w:rPr>
          <w:rFonts w:hint="eastAsia" w:ascii="宋体" w:hAnsi="宋体" w:cs="楷体_GB2312"/>
          <w:b/>
          <w:color w:val="auto"/>
          <w:sz w:val="24"/>
          <w:lang w:val="zh-CN"/>
        </w:rPr>
        <w:t>特点</w:t>
      </w:r>
      <w:r>
        <w:rPr>
          <w:rFonts w:ascii="宋体" w:hAnsi="宋体" w:cs="楷体_GB2312"/>
          <w:b/>
          <w:color w:val="auto"/>
          <w:sz w:val="24"/>
          <w:lang w:val="zh-CN"/>
        </w:rPr>
        <w:t>，</w:t>
      </w:r>
      <w:r>
        <w:rPr>
          <w:rFonts w:hint="eastAsia" w:ascii="宋体" w:hAnsi="宋体" w:cs="楷体_GB2312"/>
          <w:b/>
          <w:color w:val="auto"/>
          <w:sz w:val="24"/>
          <w:lang w:val="zh-CN"/>
        </w:rPr>
        <w:t>只</w:t>
      </w:r>
      <w:r>
        <w:rPr>
          <w:rFonts w:ascii="宋体" w:hAnsi="宋体" w:cs="楷体_GB2312"/>
          <w:b/>
          <w:color w:val="auto"/>
          <w:sz w:val="24"/>
          <w:lang w:val="zh-CN"/>
        </w:rPr>
        <w:t>接受基于</w:t>
      </w:r>
      <w:r>
        <w:rPr>
          <w:rFonts w:hint="eastAsia" w:ascii="宋体" w:hAnsi="宋体" w:cs="楷体_GB2312"/>
          <w:b/>
          <w:color w:val="auto"/>
          <w:sz w:val="24"/>
          <w:lang w:val="zh-CN"/>
        </w:rPr>
        <w:t>符</w:t>
      </w:r>
      <w:r>
        <w:rPr>
          <w:rFonts w:ascii="宋体" w:hAnsi="宋体" w:cs="楷体_GB2312"/>
          <w:b/>
          <w:color w:val="auto"/>
          <w:sz w:val="24"/>
          <w:lang w:val="zh-CN"/>
        </w:rPr>
        <w:t>合</w:t>
      </w:r>
      <w:r>
        <w:rPr>
          <w:rFonts w:hint="eastAsia" w:ascii="宋体" w:hAnsi="宋体" w:cs="楷体_GB2312"/>
          <w:b/>
          <w:color w:val="auto"/>
          <w:sz w:val="24"/>
          <w:lang w:val="zh-CN"/>
        </w:rPr>
        <w:t>网上电子交易系统要</w:t>
      </w:r>
      <w:r>
        <w:rPr>
          <w:rFonts w:ascii="宋体" w:hAnsi="宋体" w:cs="楷体_GB2312"/>
          <w:b/>
          <w:color w:val="auto"/>
          <w:sz w:val="24"/>
          <w:lang w:val="zh-CN"/>
        </w:rPr>
        <w:t>求</w:t>
      </w:r>
      <w:r>
        <w:rPr>
          <w:rFonts w:hint="eastAsia" w:ascii="宋体" w:hAnsi="宋体" w:cs="楷体_GB2312"/>
          <w:b/>
          <w:color w:val="auto"/>
          <w:sz w:val="24"/>
          <w:lang w:val="zh-CN"/>
        </w:rPr>
        <w:t>的</w:t>
      </w:r>
      <w:r>
        <w:rPr>
          <w:rFonts w:ascii="宋体" w:hAnsi="宋体" w:cs="楷体_GB2312"/>
          <w:b/>
          <w:color w:val="auto"/>
          <w:sz w:val="24"/>
          <w:lang w:val="zh-CN"/>
        </w:rPr>
        <w:t>投标</w:t>
      </w:r>
      <w:r>
        <w:rPr>
          <w:rFonts w:hint="eastAsia" w:ascii="宋体" w:hAnsi="宋体" w:cs="楷体_GB2312"/>
          <w:b/>
          <w:color w:val="auto"/>
          <w:sz w:val="24"/>
          <w:lang w:val="zh-CN"/>
        </w:rPr>
        <w:t>，</w:t>
      </w:r>
      <w:r>
        <w:rPr>
          <w:rFonts w:ascii="宋体" w:hAnsi="宋体" w:cs="楷体_GB2312"/>
          <w:b/>
          <w:color w:val="auto"/>
          <w:sz w:val="24"/>
          <w:lang w:val="zh-CN"/>
        </w:rPr>
        <w:t>其他如纸制、送达、</w:t>
      </w:r>
      <w:r>
        <w:rPr>
          <w:rFonts w:hint="eastAsia" w:ascii="宋体" w:hAnsi="宋体" w:cs="楷体_GB2312"/>
          <w:b/>
          <w:color w:val="auto"/>
          <w:sz w:val="24"/>
          <w:lang w:val="zh-CN"/>
        </w:rPr>
        <w:t>电报、电话、电子邮件等形式的投标概不接受。</w:t>
      </w:r>
    </w:p>
    <w:p>
      <w:pPr>
        <w:autoSpaceDE w:val="0"/>
        <w:autoSpaceDN w:val="0"/>
        <w:adjustRightInd w:val="0"/>
        <w:snapToGrid w:val="0"/>
        <w:spacing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4.3 </w:t>
      </w:r>
      <w:r>
        <w:rPr>
          <w:rFonts w:hint="eastAsia" w:ascii="黑体" w:hAnsi="黑体" w:eastAsia="黑体" w:cs="楷体_GB2312"/>
          <w:b/>
          <w:color w:val="auto"/>
          <w:sz w:val="24"/>
          <w:lang w:val="zh-CN"/>
        </w:rPr>
        <w:t>投标文件的修改与撤回</w:t>
      </w:r>
      <w:r>
        <w:rPr>
          <w:rFonts w:hint="eastAsia" w:ascii="宋体" w:hAnsi="宋体" w:cs="楷体_GB2312"/>
          <w:color w:val="auto"/>
          <w:sz w:val="24"/>
          <w:lang w:val="zh-CN"/>
        </w:rPr>
        <w:t>：</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4.3.1</w:t>
      </w:r>
      <w:r>
        <w:rPr>
          <w:rFonts w:hint="eastAsia" w:ascii="宋体" w:hAnsi="宋体" w:cs="楷体_GB2312"/>
          <w:b/>
          <w:color w:val="auto"/>
          <w:sz w:val="24"/>
          <w:lang w:val="zh-CN"/>
        </w:rPr>
        <w:t xml:space="preserve"> 投标人于提交投标文件截止时间前如对投标文件进行补充、修改，可以上传新的投标文件进行覆盖。投标人如撤回投标文件，应及时书面通知采购代理机构进行办理。</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4.3.</w:t>
      </w:r>
      <w:r>
        <w:rPr>
          <w:rFonts w:hint="eastAsia" w:ascii="宋体" w:hAnsi="宋体" w:cs="楷体_GB2312"/>
          <w:b/>
          <w:color w:val="auto"/>
          <w:sz w:val="24"/>
          <w:lang w:val="zh-CN"/>
        </w:rPr>
        <w:t>2 投标人在投标文件提</w:t>
      </w:r>
      <w:r>
        <w:rPr>
          <w:rFonts w:ascii="宋体" w:hAnsi="宋体" w:cs="楷体_GB2312"/>
          <w:b/>
          <w:color w:val="auto"/>
          <w:sz w:val="24"/>
          <w:lang w:val="zh-CN"/>
        </w:rPr>
        <w:t>交</w:t>
      </w:r>
      <w:r>
        <w:rPr>
          <w:rFonts w:hint="eastAsia" w:ascii="宋体" w:hAnsi="宋体" w:cs="楷体_GB2312"/>
          <w:b/>
          <w:color w:val="auto"/>
          <w:sz w:val="24"/>
          <w:lang w:val="zh-CN"/>
        </w:rPr>
        <w:t>截止时间后不得自行修改或撤回其投标，否则依据招标文件“第三章3.5.5 违背承诺的责任追究措施”，投标人承担相应法律责任及违约责任。</w:t>
      </w:r>
    </w:p>
    <w:p>
      <w:pPr>
        <w:autoSpaceDE w:val="0"/>
        <w:autoSpaceDN w:val="0"/>
        <w:adjustRightInd w:val="0"/>
        <w:snapToGrid w:val="0"/>
        <w:spacing w:beforeLines="50" w:line="300" w:lineRule="auto"/>
        <w:ind w:firstLine="539"/>
        <w:rPr>
          <w:rFonts w:ascii="宋体" w:cs="楷体_GB2312"/>
          <w:color w:val="auto"/>
          <w:sz w:val="24"/>
          <w:lang w:val="zh-CN"/>
        </w:rPr>
      </w:pPr>
    </w:p>
    <w:p>
      <w:pPr>
        <w:autoSpaceDE w:val="0"/>
        <w:autoSpaceDN w:val="0"/>
        <w:adjustRightInd w:val="0"/>
        <w:snapToGrid w:val="0"/>
        <w:spacing w:beforeLines="50" w:line="300" w:lineRule="auto"/>
        <w:ind w:firstLine="539"/>
        <w:outlineLvl w:val="1"/>
        <w:rPr>
          <w:rFonts w:ascii="宋体" w:cs="楷体_GB2312"/>
          <w:color w:val="auto"/>
          <w:sz w:val="24"/>
          <w:lang w:val="zh-CN"/>
        </w:rPr>
      </w:pPr>
      <w:bookmarkStart w:id="31" w:name="_Toc114740091"/>
      <w:r>
        <w:rPr>
          <w:rFonts w:ascii="黑体" w:hAnsi="黑体" w:eastAsia="黑体" w:cs="楷体_GB2312"/>
          <w:b/>
          <w:bCs/>
          <w:color w:val="auto"/>
          <w:sz w:val="28"/>
          <w:szCs w:val="28"/>
          <w:lang w:val="zh-CN"/>
        </w:rPr>
        <w:t xml:space="preserve">5 </w:t>
      </w:r>
      <w:r>
        <w:rPr>
          <w:rFonts w:hint="eastAsia" w:ascii="黑体" w:hAnsi="黑体" w:eastAsia="黑体" w:cs="楷体_GB2312"/>
          <w:b/>
          <w:bCs/>
          <w:color w:val="auto"/>
          <w:sz w:val="28"/>
          <w:szCs w:val="28"/>
          <w:lang w:val="zh-CN"/>
        </w:rPr>
        <w:t>开标</w:t>
      </w:r>
      <w:bookmarkEnd w:id="31"/>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5.1 </w:t>
      </w:r>
      <w:r>
        <w:rPr>
          <w:rFonts w:hint="eastAsia" w:ascii="黑体" w:hAnsi="黑体" w:eastAsia="黑体" w:cs="楷体_GB2312"/>
          <w:b/>
          <w:color w:val="auto"/>
          <w:sz w:val="24"/>
          <w:lang w:val="zh-CN"/>
        </w:rPr>
        <w:t>开标时间和地点</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5.1.1 </w:t>
      </w:r>
      <w:r>
        <w:rPr>
          <w:rFonts w:hint="eastAsia" w:ascii="宋体" w:hAnsi="宋体" w:cs="楷体_GB2312"/>
          <w:b/>
          <w:color w:val="auto"/>
          <w:sz w:val="24"/>
          <w:lang w:val="zh-CN"/>
        </w:rPr>
        <w:t>采购人和采购代理机构按招标公告规定的时间和地点于</w:t>
      </w:r>
      <w:r>
        <w:rPr>
          <w:rFonts w:ascii="宋体" w:hAnsi="宋体" w:cs="楷体_GB2312"/>
          <w:b/>
          <w:color w:val="auto"/>
          <w:sz w:val="24"/>
          <w:lang w:val="zh-CN"/>
        </w:rPr>
        <w:t>网上</w:t>
      </w:r>
      <w:r>
        <w:rPr>
          <w:rFonts w:hint="eastAsia" w:ascii="宋体" w:hAnsi="宋体" w:cs="楷体_GB2312"/>
          <w:b/>
          <w:color w:val="auto"/>
          <w:sz w:val="24"/>
          <w:lang w:val="zh-CN"/>
        </w:rPr>
        <w:t>（招标公告所述网上电子交易系统</w:t>
      </w:r>
      <w:r>
        <w:rPr>
          <w:rFonts w:ascii="宋体" w:hAnsi="宋体" w:cs="楷体_GB2312"/>
          <w:b/>
          <w:color w:val="auto"/>
          <w:sz w:val="24"/>
          <w:lang w:val="zh-CN"/>
        </w:rPr>
        <w:t>）</w:t>
      </w:r>
      <w:r>
        <w:rPr>
          <w:rFonts w:hint="eastAsia" w:ascii="宋体" w:hAnsi="宋体" w:cs="楷体_GB2312"/>
          <w:b/>
          <w:color w:val="auto"/>
          <w:sz w:val="24"/>
          <w:lang w:val="zh-CN"/>
        </w:rPr>
        <w:t>公开开标。</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5.1.2</w:t>
      </w:r>
      <w:r>
        <w:rPr>
          <w:rFonts w:hint="eastAsia" w:ascii="宋体" w:hAnsi="宋体" w:cs="楷体_GB2312"/>
          <w:b/>
          <w:color w:val="auto"/>
          <w:sz w:val="24"/>
          <w:lang w:val="zh-CN"/>
        </w:rPr>
        <w:t xml:space="preserve"> 投标人需在开标前打开招标公告所述网上电子交易系统，凭企业数字证书登录投标用户入口 的“政府采购”系统，并进入本项目相匹配的网上开标室。</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5.2 </w:t>
      </w:r>
      <w:r>
        <w:rPr>
          <w:rFonts w:hint="eastAsia" w:ascii="黑体" w:hAnsi="黑体" w:eastAsia="黑体" w:cs="楷体_GB2312"/>
          <w:b/>
          <w:color w:val="auto"/>
          <w:sz w:val="24"/>
          <w:lang w:val="zh-CN"/>
        </w:rPr>
        <w:t>开标程序</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5.2.1</w:t>
      </w:r>
      <w:r>
        <w:rPr>
          <w:rFonts w:hint="eastAsia" w:ascii="宋体" w:hAnsi="宋体" w:cs="楷体_GB2312"/>
          <w:b/>
          <w:color w:val="auto"/>
          <w:sz w:val="24"/>
          <w:lang w:val="zh-CN"/>
        </w:rPr>
        <w:t xml:space="preserve"> 本项目为网</w:t>
      </w:r>
      <w:r>
        <w:rPr>
          <w:rFonts w:ascii="宋体" w:hAnsi="宋体" w:cs="楷体_GB2312"/>
          <w:b/>
          <w:color w:val="auto"/>
          <w:sz w:val="24"/>
          <w:lang w:val="zh-CN"/>
        </w:rPr>
        <w:t>上</w:t>
      </w:r>
      <w:r>
        <w:rPr>
          <w:rFonts w:hint="eastAsia" w:ascii="宋体" w:hAnsi="宋体" w:cs="楷体_GB2312"/>
          <w:b/>
          <w:color w:val="auto"/>
          <w:sz w:val="24"/>
          <w:lang w:val="zh-CN"/>
        </w:rPr>
        <w:t>电子交易方</w:t>
      </w:r>
      <w:r>
        <w:rPr>
          <w:rFonts w:ascii="宋体" w:hAnsi="宋体" w:cs="楷体_GB2312"/>
          <w:b/>
          <w:color w:val="auto"/>
          <w:sz w:val="24"/>
          <w:lang w:val="zh-CN"/>
        </w:rPr>
        <w:t>式，</w:t>
      </w:r>
      <w:r>
        <w:rPr>
          <w:rFonts w:hint="eastAsia" w:ascii="宋体" w:hAnsi="宋体" w:cs="楷体_GB2312"/>
          <w:b/>
          <w:color w:val="auto"/>
          <w:sz w:val="24"/>
          <w:lang w:val="zh-CN"/>
        </w:rPr>
        <w:t>投标文件的开启方式为远程解密，为保证开标工作顺利进行，投标人需在开标阶段</w:t>
      </w:r>
      <w:r>
        <w:rPr>
          <w:rFonts w:ascii="宋体" w:hAnsi="宋体" w:cs="楷体_GB2312"/>
          <w:b/>
          <w:color w:val="auto"/>
          <w:sz w:val="24"/>
          <w:lang w:val="zh-CN"/>
        </w:rPr>
        <w:t>、在</w:t>
      </w:r>
      <w:r>
        <w:rPr>
          <w:rFonts w:hint="eastAsia" w:ascii="宋体" w:hAnsi="宋体" w:cs="楷体_GB2312"/>
          <w:b/>
          <w:color w:val="auto"/>
          <w:sz w:val="24"/>
          <w:lang w:val="zh-CN"/>
        </w:rPr>
        <w:t>管理员下达解密指令后的指定时限内，完成对本单位的加密投标文件的远程解密。如投标人因自身原因、在指定时限内没</w:t>
      </w:r>
      <w:r>
        <w:rPr>
          <w:rFonts w:ascii="宋体" w:hAnsi="宋体" w:cs="楷体_GB2312"/>
          <w:b/>
          <w:color w:val="auto"/>
          <w:sz w:val="24"/>
          <w:lang w:val="zh-CN"/>
        </w:rPr>
        <w:t>有</w:t>
      </w:r>
      <w:r>
        <w:rPr>
          <w:rFonts w:hint="eastAsia" w:ascii="宋体" w:hAnsi="宋体" w:cs="楷体_GB2312"/>
          <w:b/>
          <w:color w:val="auto"/>
          <w:sz w:val="24"/>
          <w:lang w:val="zh-CN"/>
        </w:rPr>
        <w:t>解密成功的，其投标将不能被接受，投标人自行承担相应后果。解密完成后，投标人的报价将在系统界面上显示。</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hint="eastAsia" w:ascii="宋体" w:hAnsi="宋体" w:cs="楷体_GB2312"/>
          <w:b/>
          <w:color w:val="auto"/>
          <w:sz w:val="24"/>
          <w:lang w:val="zh-CN"/>
        </w:rPr>
        <w:t>鉴于网上电子交易方式的特点，管理员将根据系统情况下达解密指令。</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5.2.2</w:t>
      </w:r>
      <w:r>
        <w:rPr>
          <w:rFonts w:hint="eastAsia" w:ascii="宋体" w:hAnsi="宋体" w:cs="楷体_GB2312"/>
          <w:b/>
          <w:color w:val="auto"/>
          <w:sz w:val="24"/>
          <w:lang w:val="zh-CN"/>
        </w:rPr>
        <w:t xml:space="preserve"> 投标人对开标过程和开标记录有疑义，以及认为采购人、采购代理机构相关工作人员有需要回避的情形的，应在系统中提出询问或者回避申请，否则，视为对开标无异议。</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5.2.3  </w:t>
      </w:r>
      <w:r>
        <w:rPr>
          <w:rFonts w:hint="eastAsia" w:ascii="宋体" w:hAnsi="宋体" w:cs="楷体_GB2312"/>
          <w:color w:val="auto"/>
          <w:sz w:val="24"/>
          <w:lang w:val="zh-CN"/>
        </w:rPr>
        <w:t>投标人不足</w:t>
      </w:r>
      <w:r>
        <w:rPr>
          <w:rFonts w:ascii="宋体" w:hAnsi="宋体" w:cs="楷体_GB2312"/>
          <w:color w:val="auto"/>
          <w:sz w:val="24"/>
          <w:lang w:val="zh-CN"/>
        </w:rPr>
        <w:t>3</w:t>
      </w:r>
      <w:r>
        <w:rPr>
          <w:rFonts w:hint="eastAsia" w:ascii="宋体" w:hAnsi="宋体" w:cs="楷体_GB2312"/>
          <w:color w:val="auto"/>
          <w:sz w:val="24"/>
          <w:lang w:val="zh-CN"/>
        </w:rPr>
        <w:t>家的，将不予开标。</w:t>
      </w:r>
    </w:p>
    <w:p>
      <w:pPr>
        <w:autoSpaceDE w:val="0"/>
        <w:autoSpaceDN w:val="0"/>
        <w:adjustRightInd w:val="0"/>
        <w:snapToGrid w:val="0"/>
        <w:spacing w:beforeLines="50" w:line="300" w:lineRule="auto"/>
        <w:ind w:firstLine="539"/>
        <w:rPr>
          <w:rFonts w:ascii="宋体" w:cs="楷体_GB2312"/>
          <w:color w:val="auto"/>
          <w:sz w:val="24"/>
          <w:lang w:val="zh-CN"/>
        </w:rPr>
      </w:pPr>
    </w:p>
    <w:p>
      <w:pPr>
        <w:autoSpaceDE w:val="0"/>
        <w:autoSpaceDN w:val="0"/>
        <w:adjustRightInd w:val="0"/>
        <w:snapToGrid w:val="0"/>
        <w:spacing w:beforeLines="50" w:line="300" w:lineRule="auto"/>
        <w:ind w:firstLine="539"/>
        <w:outlineLvl w:val="1"/>
        <w:rPr>
          <w:rFonts w:ascii="黑体" w:hAnsi="黑体" w:eastAsia="黑体" w:cs="楷体_GB2312"/>
          <w:b/>
          <w:bCs/>
          <w:color w:val="auto"/>
          <w:sz w:val="28"/>
          <w:szCs w:val="28"/>
          <w:lang w:val="zh-CN"/>
        </w:rPr>
      </w:pPr>
      <w:bookmarkStart w:id="32" w:name="_Toc114740092"/>
      <w:r>
        <w:rPr>
          <w:rFonts w:ascii="黑体" w:hAnsi="黑体" w:eastAsia="黑体" w:cs="楷体_GB2312"/>
          <w:b/>
          <w:bCs/>
          <w:color w:val="auto"/>
          <w:sz w:val="28"/>
          <w:szCs w:val="28"/>
          <w:lang w:val="zh-CN"/>
        </w:rPr>
        <w:t xml:space="preserve">6 </w:t>
      </w:r>
      <w:r>
        <w:rPr>
          <w:rFonts w:hint="eastAsia" w:ascii="黑体" w:hAnsi="黑体" w:eastAsia="黑体" w:cs="楷体_GB2312"/>
          <w:b/>
          <w:bCs/>
          <w:color w:val="auto"/>
          <w:sz w:val="28"/>
          <w:szCs w:val="28"/>
          <w:lang w:val="zh-CN"/>
        </w:rPr>
        <w:t>资格性审查</w:t>
      </w:r>
      <w:bookmarkEnd w:id="32"/>
    </w:p>
    <w:p>
      <w:pPr>
        <w:autoSpaceDE w:val="0"/>
        <w:autoSpaceDN w:val="0"/>
        <w:adjustRightInd w:val="0"/>
        <w:snapToGrid w:val="0"/>
        <w:spacing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6.1 </w:t>
      </w:r>
      <w:r>
        <w:rPr>
          <w:rFonts w:hint="eastAsia" w:ascii="黑体" w:hAnsi="黑体" w:eastAsia="黑体" w:cs="楷体_GB2312"/>
          <w:b/>
          <w:color w:val="auto"/>
          <w:sz w:val="24"/>
          <w:lang w:val="zh-CN"/>
        </w:rPr>
        <w:t>资格性审查环节</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cs="楷体_GB2312"/>
          <w:color w:val="auto"/>
          <w:sz w:val="24"/>
          <w:lang w:val="zh-CN"/>
        </w:rPr>
        <w:t>公开招标采购项目开标结束后，采购人或者采购代理机构将依法对投标人的资格进行审查。</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6.2 </w:t>
      </w:r>
      <w:r>
        <w:rPr>
          <w:rFonts w:hint="eastAsia" w:ascii="黑体" w:hAnsi="黑体" w:eastAsia="黑体" w:cs="楷体_GB2312"/>
          <w:b/>
          <w:color w:val="auto"/>
          <w:sz w:val="24"/>
          <w:lang w:val="zh-CN"/>
        </w:rPr>
        <w:t>资格性审查内容</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cs="楷体_GB2312"/>
          <w:color w:val="auto"/>
          <w:sz w:val="24"/>
          <w:lang w:val="zh-CN"/>
        </w:rPr>
        <w:t>（</w:t>
      </w:r>
      <w:r>
        <w:rPr>
          <w:rFonts w:ascii="宋体" w:cs="楷体_GB2312"/>
          <w:color w:val="auto"/>
          <w:sz w:val="24"/>
          <w:lang w:val="zh-CN"/>
        </w:rPr>
        <w:t>1</w:t>
      </w:r>
      <w:r>
        <w:rPr>
          <w:rFonts w:hint="eastAsia" w:ascii="宋体" w:cs="楷体_GB2312"/>
          <w:color w:val="auto"/>
          <w:sz w:val="24"/>
          <w:lang w:val="zh-CN"/>
        </w:rPr>
        <w:t>）按照第一章“招标公告”第</w:t>
      </w:r>
      <w:r>
        <w:rPr>
          <w:rFonts w:ascii="宋体" w:cs="楷体_GB2312"/>
          <w:color w:val="auto"/>
          <w:sz w:val="24"/>
          <w:lang w:val="zh-CN"/>
        </w:rPr>
        <w:t>2</w:t>
      </w:r>
      <w:r>
        <w:rPr>
          <w:rFonts w:hint="eastAsia" w:ascii="宋体" w:cs="楷体_GB2312"/>
          <w:color w:val="auto"/>
          <w:sz w:val="24"/>
          <w:lang w:val="zh-CN"/>
        </w:rPr>
        <w:t>条各项资格要求规定，审查投标人是否符合第一章“招标公告”第</w:t>
      </w:r>
      <w:r>
        <w:rPr>
          <w:rFonts w:ascii="宋体" w:cs="楷体_GB2312"/>
          <w:color w:val="auto"/>
          <w:sz w:val="24"/>
          <w:lang w:val="zh-CN"/>
        </w:rPr>
        <w:t>2</w:t>
      </w:r>
      <w:r>
        <w:rPr>
          <w:rFonts w:hint="eastAsia" w:ascii="宋体" w:cs="楷体_GB2312"/>
          <w:color w:val="auto"/>
          <w:sz w:val="24"/>
          <w:lang w:val="zh-CN"/>
        </w:rPr>
        <w:t>条各项资格要求及所需证件材料、证明材料要求，不符合的、投标无效。</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cs="楷体_GB2312"/>
          <w:color w:val="auto"/>
          <w:sz w:val="24"/>
          <w:lang w:val="zh-CN"/>
        </w:rPr>
        <w:t>（</w:t>
      </w:r>
      <w:r>
        <w:rPr>
          <w:rFonts w:ascii="宋体" w:cs="楷体_GB2312"/>
          <w:color w:val="auto"/>
          <w:sz w:val="24"/>
          <w:lang w:val="zh-CN"/>
        </w:rPr>
        <w:t>2</w:t>
      </w:r>
      <w:r>
        <w:rPr>
          <w:rFonts w:hint="eastAsia" w:ascii="宋体" w:cs="楷体_GB2312"/>
          <w:color w:val="auto"/>
          <w:sz w:val="24"/>
          <w:lang w:val="zh-CN"/>
        </w:rPr>
        <w:t>）投标</w:t>
      </w:r>
      <w:r>
        <w:rPr>
          <w:rFonts w:hint="eastAsia" w:ascii="宋体" w:cs="楷体_GB2312"/>
          <w:color w:val="auto"/>
          <w:sz w:val="24"/>
        </w:rPr>
        <w:t>承诺函（替代投标</w:t>
      </w:r>
      <w:r>
        <w:rPr>
          <w:rFonts w:hint="eastAsia" w:ascii="宋体" w:cs="楷体_GB2312"/>
          <w:color w:val="auto"/>
          <w:sz w:val="24"/>
          <w:lang w:val="zh-CN"/>
        </w:rPr>
        <w:t>保证金</w:t>
      </w:r>
      <w:r>
        <w:rPr>
          <w:rFonts w:hint="eastAsia" w:ascii="宋体" w:cs="楷体_GB2312"/>
          <w:color w:val="auto"/>
          <w:sz w:val="24"/>
        </w:rPr>
        <w:t>）</w:t>
      </w:r>
      <w:r>
        <w:rPr>
          <w:rFonts w:hint="eastAsia" w:ascii="宋体" w:cs="楷体_GB2312"/>
          <w:color w:val="auto"/>
          <w:sz w:val="24"/>
          <w:lang w:val="zh-CN"/>
        </w:rPr>
        <w:t>。按照招标文件第三章“投标人须知”</w:t>
      </w:r>
      <w:r>
        <w:rPr>
          <w:rFonts w:ascii="宋体" w:cs="楷体_GB2312"/>
          <w:color w:val="auto"/>
          <w:sz w:val="24"/>
          <w:lang w:val="zh-CN"/>
        </w:rPr>
        <w:t>3.5</w:t>
      </w:r>
      <w:r>
        <w:rPr>
          <w:rFonts w:hint="eastAsia" w:ascii="宋体" w:cs="楷体_GB2312"/>
          <w:color w:val="auto"/>
          <w:sz w:val="24"/>
          <w:lang w:val="zh-CN"/>
        </w:rPr>
        <w:t>款规定审查，不符合的、投标无效。</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cs="楷体_GB2312"/>
          <w:color w:val="auto"/>
          <w:sz w:val="24"/>
          <w:lang w:val="zh-CN"/>
        </w:rPr>
        <w:t>（</w:t>
      </w:r>
      <w:r>
        <w:rPr>
          <w:rFonts w:ascii="宋体" w:cs="楷体_GB2312"/>
          <w:color w:val="auto"/>
          <w:sz w:val="24"/>
          <w:lang w:val="zh-CN"/>
        </w:rPr>
        <w:t>3</w:t>
      </w:r>
      <w:r>
        <w:rPr>
          <w:rFonts w:hint="eastAsia" w:ascii="宋体" w:cs="楷体_GB2312"/>
          <w:color w:val="auto"/>
          <w:sz w:val="24"/>
          <w:lang w:val="zh-CN"/>
        </w:rPr>
        <w:t>）</w:t>
      </w:r>
      <w:r>
        <w:rPr>
          <w:rFonts w:hint="eastAsia" w:ascii="宋体" w:hAnsi="宋体" w:cs="楷体_GB2312"/>
          <w:color w:val="auto"/>
          <w:sz w:val="24"/>
          <w:lang w:val="zh-CN"/>
        </w:rPr>
        <w:t>招标公告、资格预审公告或者投标邀请书中载明</w:t>
      </w:r>
      <w:r>
        <w:rPr>
          <w:rFonts w:hint="eastAsia" w:ascii="宋体" w:cs="楷体_GB2312"/>
          <w:color w:val="auto"/>
          <w:sz w:val="24"/>
          <w:lang w:val="zh-CN"/>
        </w:rPr>
        <w:t>接受联合体投标的，按照招标文件第三章“</w:t>
      </w:r>
      <w:r>
        <w:rPr>
          <w:rFonts w:hint="eastAsia" w:ascii="宋体" w:hAnsi="宋体" w:cs="楷体_GB2312"/>
          <w:color w:val="auto"/>
          <w:sz w:val="24"/>
          <w:lang w:val="zh-CN"/>
        </w:rPr>
        <w:t>投标人须知”</w:t>
      </w:r>
      <w:r>
        <w:rPr>
          <w:rFonts w:ascii="宋体" w:hAnsi="宋体" w:cs="楷体_GB2312"/>
          <w:color w:val="auto"/>
          <w:sz w:val="24"/>
          <w:lang w:val="zh-CN"/>
        </w:rPr>
        <w:t>1.4</w:t>
      </w:r>
      <w:r>
        <w:rPr>
          <w:rFonts w:hint="eastAsia" w:ascii="宋体" w:hAnsi="宋体" w:cs="楷体_GB2312"/>
          <w:color w:val="auto"/>
          <w:sz w:val="24"/>
          <w:lang w:val="zh-CN"/>
        </w:rPr>
        <w:t>款</w:t>
      </w:r>
      <w:r>
        <w:rPr>
          <w:rFonts w:hint="eastAsia" w:ascii="宋体" w:cs="楷体_GB2312"/>
          <w:color w:val="auto"/>
          <w:sz w:val="24"/>
          <w:lang w:val="zh-CN"/>
        </w:rPr>
        <w:t>规定进行审查，不符合的、投标无效。</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6.3 </w:t>
      </w:r>
      <w:r>
        <w:rPr>
          <w:rFonts w:hint="eastAsia" w:ascii="黑体" w:hAnsi="黑体" w:eastAsia="黑体" w:cs="楷体_GB2312"/>
          <w:b/>
          <w:color w:val="auto"/>
          <w:sz w:val="24"/>
          <w:lang w:val="zh-CN"/>
        </w:rPr>
        <w:t>资格性审查结果</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cs="楷体_GB2312"/>
          <w:color w:val="auto"/>
          <w:sz w:val="24"/>
          <w:lang w:val="zh-CN"/>
        </w:rPr>
        <w:t xml:space="preserve">6.3.1 </w:t>
      </w:r>
      <w:r>
        <w:rPr>
          <w:rFonts w:hint="eastAsia" w:ascii="宋体" w:cs="楷体_GB2312"/>
          <w:color w:val="auto"/>
          <w:sz w:val="24"/>
          <w:lang w:val="zh-CN"/>
        </w:rPr>
        <w:t>对未通过资格审查的投标人，将告知其未通过的原因。</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cs="楷体_GB2312"/>
          <w:color w:val="auto"/>
          <w:sz w:val="24"/>
          <w:lang w:val="zh-CN"/>
        </w:rPr>
        <w:t xml:space="preserve">6.3.2 </w:t>
      </w:r>
      <w:r>
        <w:rPr>
          <w:rFonts w:hint="eastAsia" w:ascii="宋体" w:cs="楷体_GB2312"/>
          <w:color w:val="auto"/>
          <w:sz w:val="24"/>
          <w:lang w:val="zh-CN"/>
        </w:rPr>
        <w:t>资格性审查合格投标人不足</w:t>
      </w:r>
      <w:r>
        <w:rPr>
          <w:rFonts w:ascii="宋体" w:cs="楷体_GB2312"/>
          <w:color w:val="auto"/>
          <w:sz w:val="24"/>
          <w:lang w:val="zh-CN"/>
        </w:rPr>
        <w:t>3</w:t>
      </w:r>
      <w:r>
        <w:rPr>
          <w:rFonts w:hint="eastAsia" w:ascii="宋体" w:cs="楷体_GB2312"/>
          <w:color w:val="auto"/>
          <w:sz w:val="24"/>
          <w:lang w:val="zh-CN"/>
        </w:rPr>
        <w:t>家的，将不再评标。</w:t>
      </w:r>
    </w:p>
    <w:p>
      <w:pPr>
        <w:autoSpaceDE w:val="0"/>
        <w:autoSpaceDN w:val="0"/>
        <w:adjustRightInd w:val="0"/>
        <w:snapToGrid w:val="0"/>
        <w:spacing w:beforeLines="50" w:line="300" w:lineRule="auto"/>
        <w:ind w:firstLine="539"/>
        <w:rPr>
          <w:rFonts w:ascii="宋体" w:cs="楷体_GB2312"/>
          <w:color w:val="auto"/>
          <w:sz w:val="24"/>
          <w:lang w:val="zh-CN"/>
        </w:rPr>
      </w:pPr>
    </w:p>
    <w:p>
      <w:pPr>
        <w:autoSpaceDE w:val="0"/>
        <w:autoSpaceDN w:val="0"/>
        <w:adjustRightInd w:val="0"/>
        <w:snapToGrid w:val="0"/>
        <w:spacing w:beforeLines="50" w:line="300" w:lineRule="auto"/>
        <w:ind w:firstLine="539"/>
        <w:outlineLvl w:val="1"/>
        <w:rPr>
          <w:rFonts w:ascii="宋体" w:cs="楷体_GB2312"/>
          <w:color w:val="auto"/>
          <w:sz w:val="24"/>
          <w:lang w:val="zh-CN"/>
        </w:rPr>
      </w:pPr>
      <w:bookmarkStart w:id="33" w:name="_Toc114740093"/>
      <w:r>
        <w:rPr>
          <w:rFonts w:ascii="黑体" w:hAnsi="黑体" w:eastAsia="黑体" w:cs="楷体_GB2312"/>
          <w:b/>
          <w:bCs/>
          <w:color w:val="auto"/>
          <w:sz w:val="28"/>
          <w:szCs w:val="28"/>
          <w:lang w:val="zh-CN"/>
        </w:rPr>
        <w:t xml:space="preserve">7 </w:t>
      </w:r>
      <w:r>
        <w:rPr>
          <w:rFonts w:hint="eastAsia" w:ascii="黑体" w:hAnsi="黑体" w:eastAsia="黑体" w:cs="楷体_GB2312"/>
          <w:b/>
          <w:bCs/>
          <w:color w:val="auto"/>
          <w:sz w:val="28"/>
          <w:szCs w:val="28"/>
          <w:lang w:val="zh-CN"/>
        </w:rPr>
        <w:t>评审</w:t>
      </w:r>
      <w:bookmarkEnd w:id="33"/>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7.1 </w:t>
      </w:r>
      <w:r>
        <w:rPr>
          <w:rFonts w:hint="eastAsia" w:ascii="黑体" w:hAnsi="黑体" w:eastAsia="黑体" w:cs="楷体_GB2312"/>
          <w:b/>
          <w:color w:val="auto"/>
          <w:sz w:val="24"/>
          <w:lang w:val="zh-CN"/>
        </w:rPr>
        <w:t>评标委员会</w:t>
      </w:r>
    </w:p>
    <w:p>
      <w:pPr>
        <w:autoSpaceDE w:val="0"/>
        <w:autoSpaceDN w:val="0"/>
        <w:adjustRightInd w:val="0"/>
        <w:snapToGrid w:val="0"/>
        <w:spacing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评标工作由依法组建的评标委员会负责。评标委员会由采购人代表和评审专家共</w:t>
      </w:r>
      <w:r>
        <w:rPr>
          <w:rFonts w:ascii="宋体" w:hAnsi="宋体" w:cs="楷体_GB2312"/>
          <w:color w:val="auto"/>
          <w:sz w:val="24"/>
          <w:lang w:val="zh-CN"/>
        </w:rPr>
        <w:t>5</w:t>
      </w:r>
      <w:r>
        <w:rPr>
          <w:rFonts w:hint="eastAsia" w:ascii="宋体" w:hAnsi="宋体" w:cs="楷体_GB2312"/>
          <w:color w:val="auto"/>
          <w:sz w:val="24"/>
          <w:lang w:val="zh-CN"/>
        </w:rPr>
        <w:t>人及以上单数组成，其中评审专家人数不少于评标委员会成员总数的</w:t>
      </w:r>
      <w:r>
        <w:rPr>
          <w:rFonts w:ascii="宋体" w:hAnsi="宋体" w:cs="楷体_GB2312"/>
          <w:color w:val="auto"/>
          <w:sz w:val="24"/>
          <w:lang w:val="zh-CN"/>
        </w:rPr>
        <w:t>2/3</w:t>
      </w:r>
      <w:r>
        <w:rPr>
          <w:rFonts w:hint="eastAsia" w:ascii="宋体" w:hAnsi="宋体" w:cs="楷体_GB2312"/>
          <w:color w:val="auto"/>
          <w:sz w:val="24"/>
          <w:lang w:val="zh-CN"/>
        </w:rPr>
        <w:t>，评审专家是在监督部门监督下从政府采购专家库中随机抽取产生。技术复杂、专业性强的采购项目，通过随机方式难以确定合适评审专家的，经主管预算单位同意，报经批准后，采购人自行选定相应专业领域的评审专家。</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7.2 </w:t>
      </w:r>
      <w:r>
        <w:rPr>
          <w:rFonts w:hint="eastAsia" w:ascii="黑体" w:hAnsi="黑体" w:eastAsia="黑体" w:cs="楷体_GB2312"/>
          <w:b/>
          <w:color w:val="auto"/>
          <w:sz w:val="24"/>
          <w:lang w:val="zh-CN"/>
        </w:rPr>
        <w:t>评审原则</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7.2.1 </w:t>
      </w:r>
      <w:r>
        <w:rPr>
          <w:rFonts w:hint="eastAsia" w:ascii="宋体" w:hAnsi="宋体" w:cs="楷体_GB2312"/>
          <w:color w:val="auto"/>
          <w:sz w:val="24"/>
          <w:lang w:val="zh-CN"/>
        </w:rPr>
        <w:t>坚持公开、公平、公正地对待所有投标人。</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7.2.2 </w:t>
      </w:r>
      <w:r>
        <w:rPr>
          <w:rFonts w:hint="eastAsia" w:ascii="宋体" w:hAnsi="宋体" w:cs="楷体_GB2312"/>
          <w:color w:val="auto"/>
          <w:sz w:val="24"/>
          <w:lang w:val="zh-CN"/>
        </w:rPr>
        <w:t>按照同一评审程序及方法审查所有投标人的投标文件。</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7.2.3 </w:t>
      </w:r>
      <w:r>
        <w:rPr>
          <w:rFonts w:hint="eastAsia" w:ascii="宋体" w:hAnsi="宋体" w:cs="楷体_GB2312"/>
          <w:color w:val="auto"/>
          <w:sz w:val="24"/>
          <w:lang w:val="zh-CN"/>
        </w:rPr>
        <w:t>反对不正当竞争</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7.3 </w:t>
      </w:r>
      <w:r>
        <w:rPr>
          <w:rFonts w:hint="eastAsia" w:ascii="黑体" w:hAnsi="黑体" w:eastAsia="黑体" w:cs="楷体_GB2312"/>
          <w:b/>
          <w:color w:val="auto"/>
          <w:sz w:val="24"/>
          <w:lang w:val="zh-CN"/>
        </w:rPr>
        <w:t>评审</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7.3.1</w:t>
      </w:r>
      <w:r>
        <w:rPr>
          <w:rFonts w:hint="eastAsia" w:ascii="宋体" w:hAnsi="宋体" w:cs="楷体_GB2312"/>
          <w:color w:val="auto"/>
          <w:sz w:val="24"/>
          <w:lang w:val="zh-CN"/>
        </w:rPr>
        <w:t>评审工作在评标委员会内独立进行。评标委员会按照第四章“评标办法”规定的方法、评标因素、标准和程序对投标文件进行评审。第四章“评标办法”没有规定的方法、评标因素和标准，不作为评审依据。</w:t>
      </w:r>
    </w:p>
    <w:p>
      <w:pPr>
        <w:adjustRightInd w:val="0"/>
        <w:snapToGrid w:val="0"/>
        <w:spacing w:line="300" w:lineRule="auto"/>
        <w:ind w:firstLine="480" w:firstLineChars="200"/>
        <w:jc w:val="left"/>
        <w:rPr>
          <w:rFonts w:ascii="宋体" w:cs="楷体_GB2312"/>
          <w:color w:val="auto"/>
          <w:sz w:val="24"/>
          <w:lang w:val="zh-CN"/>
        </w:rPr>
      </w:pPr>
      <w:r>
        <w:rPr>
          <w:rFonts w:ascii="宋体" w:hAnsi="宋体" w:cs="宋体"/>
          <w:color w:val="auto"/>
          <w:sz w:val="24"/>
        </w:rPr>
        <w:t xml:space="preserve">7.3.2 </w:t>
      </w:r>
      <w:r>
        <w:rPr>
          <w:rFonts w:hint="eastAsia" w:ascii="宋体" w:hAnsi="宋体" w:cs="宋体"/>
          <w:color w:val="auto"/>
          <w:sz w:val="24"/>
        </w:rPr>
        <w:t>评标中因评标委员会成员缺席、回避或者健康等特殊原因导致评标委员会组成不符政府采购法规规定的，无法及时补足评标委员会成员的，采购代理机构将停止评标活动，封存所有投标文件和开标、评标资料，依法重新组建评标委员会进行评标。原评标委员会所作出的评标意见无效。</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7.3.3 </w:t>
      </w:r>
      <w:r>
        <w:rPr>
          <w:rFonts w:hint="eastAsia" w:ascii="宋体" w:hAnsi="宋体" w:cs="楷体_GB2312"/>
          <w:color w:val="auto"/>
          <w:sz w:val="24"/>
          <w:lang w:val="zh-CN"/>
        </w:rPr>
        <w:t>在开标、评审期间，投标人不得向评标委员会成员询问情况，不得进行旨在影响评审结果的活动。</w:t>
      </w:r>
    </w:p>
    <w:p>
      <w:pPr>
        <w:autoSpaceDE w:val="0"/>
        <w:autoSpaceDN w:val="0"/>
        <w:adjustRightInd w:val="0"/>
        <w:snapToGrid w:val="0"/>
        <w:spacing w:beforeLines="50" w:line="300" w:lineRule="auto"/>
        <w:ind w:firstLine="539"/>
        <w:rPr>
          <w:rFonts w:ascii="宋体" w:cs="楷体_GB2312"/>
          <w:color w:val="auto"/>
          <w:sz w:val="24"/>
          <w:lang w:val="zh-CN"/>
        </w:rPr>
      </w:pPr>
    </w:p>
    <w:p>
      <w:pPr>
        <w:autoSpaceDE w:val="0"/>
        <w:autoSpaceDN w:val="0"/>
        <w:adjustRightInd w:val="0"/>
        <w:snapToGrid w:val="0"/>
        <w:spacing w:beforeLines="50" w:line="300" w:lineRule="auto"/>
        <w:ind w:firstLine="539"/>
        <w:outlineLvl w:val="1"/>
        <w:rPr>
          <w:rFonts w:ascii="黑体" w:hAnsi="黑体" w:eastAsia="黑体" w:cs="楷体_GB2312"/>
          <w:b/>
          <w:bCs/>
          <w:color w:val="auto"/>
          <w:sz w:val="28"/>
          <w:szCs w:val="28"/>
          <w:lang w:val="zh-CN"/>
        </w:rPr>
      </w:pPr>
      <w:bookmarkStart w:id="34" w:name="_Toc114740094"/>
      <w:r>
        <w:rPr>
          <w:rFonts w:ascii="黑体" w:hAnsi="黑体" w:eastAsia="黑体" w:cs="楷体_GB2312"/>
          <w:b/>
          <w:bCs/>
          <w:color w:val="auto"/>
          <w:sz w:val="28"/>
          <w:szCs w:val="28"/>
          <w:lang w:val="zh-CN"/>
        </w:rPr>
        <w:t xml:space="preserve">8 </w:t>
      </w:r>
      <w:r>
        <w:rPr>
          <w:rFonts w:hint="eastAsia" w:ascii="黑体" w:hAnsi="黑体" w:eastAsia="黑体" w:cs="楷体_GB2312"/>
          <w:b/>
          <w:bCs/>
          <w:color w:val="auto"/>
          <w:sz w:val="28"/>
          <w:szCs w:val="28"/>
          <w:lang w:val="zh-CN"/>
        </w:rPr>
        <w:t>授予合同</w:t>
      </w:r>
      <w:bookmarkEnd w:id="34"/>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8.1 </w:t>
      </w:r>
      <w:r>
        <w:rPr>
          <w:rFonts w:hint="eastAsia" w:ascii="黑体" w:hAnsi="黑体" w:eastAsia="黑体" w:cs="楷体_GB2312"/>
          <w:b/>
          <w:color w:val="auto"/>
          <w:sz w:val="24"/>
          <w:lang w:val="zh-CN"/>
        </w:rPr>
        <w:t>确定中标人方式</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除投标人须知前附表规定授权评标委员会直接确定中标人外，采购人应当自收到评标报告之日起</w:t>
      </w:r>
      <w:r>
        <w:rPr>
          <w:rFonts w:ascii="宋体" w:hAnsi="宋体" w:cs="楷体_GB2312"/>
          <w:color w:val="auto"/>
          <w:sz w:val="24"/>
          <w:lang w:val="zh-CN"/>
        </w:rPr>
        <w:t>5</w:t>
      </w:r>
      <w:r>
        <w:rPr>
          <w:rFonts w:hint="eastAsia" w:ascii="宋体" w:hAnsi="宋体" w:cs="楷体_GB2312"/>
          <w:color w:val="auto"/>
          <w:sz w:val="24"/>
          <w:lang w:val="zh-CN"/>
        </w:rPr>
        <w:t>个工作日内在评标报告推荐的中标候选人中按顺序确定中标人。若排名第一的中标候选人放弃中标，或者因不可抗力不能履行合同，或者被查实存在影响中标结果的违法行为等情形、不符合中标条件的，采购人可以按照评标委员会提出的中标候选人名单排序依次确定其他中标候选人为中标人，也可以重新采购。</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8.2 </w:t>
      </w:r>
      <w:r>
        <w:rPr>
          <w:rFonts w:hint="eastAsia" w:ascii="黑体" w:hAnsi="黑体" w:eastAsia="黑体" w:cs="楷体_GB2312"/>
          <w:b/>
          <w:color w:val="auto"/>
          <w:sz w:val="24"/>
          <w:lang w:val="zh-CN"/>
        </w:rPr>
        <w:t>中标结果公告</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采购代理机构在中标人确定后1个工作日内，在招标公告所述媒体公告中标结果。同时向中标人发出中标通知书。中标结果公告期限为</w:t>
      </w:r>
      <w:r>
        <w:rPr>
          <w:rFonts w:ascii="宋体" w:hAnsi="宋体" w:cs="楷体_GB2312"/>
          <w:color w:val="auto"/>
          <w:sz w:val="24"/>
          <w:lang w:val="zh-CN"/>
        </w:rPr>
        <w:t>1</w:t>
      </w:r>
      <w:r>
        <w:rPr>
          <w:rFonts w:hint="eastAsia" w:ascii="宋体" w:hAnsi="宋体" w:cs="楷体_GB2312"/>
          <w:color w:val="auto"/>
          <w:sz w:val="24"/>
          <w:lang w:val="zh-CN"/>
        </w:rPr>
        <w:t>个工作日。</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8.3 </w:t>
      </w:r>
      <w:r>
        <w:rPr>
          <w:rFonts w:hint="eastAsia" w:ascii="黑体" w:hAnsi="黑体" w:eastAsia="黑体" w:cs="楷体_GB2312"/>
          <w:b/>
          <w:color w:val="auto"/>
          <w:sz w:val="24"/>
          <w:lang w:val="zh-CN"/>
        </w:rPr>
        <w:t>质疑、投诉：</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olor w:val="auto"/>
          <w:sz w:val="24"/>
        </w:rPr>
        <w:t>8.3.1</w:t>
      </w:r>
      <w:r>
        <w:rPr>
          <w:rFonts w:ascii="黑体" w:hAnsi="黑体" w:eastAsia="黑体" w:cs="楷体_GB2312"/>
          <w:b/>
          <w:color w:val="auto"/>
          <w:sz w:val="24"/>
          <w:lang w:val="zh-CN"/>
        </w:rPr>
        <w:t xml:space="preserve"> </w:t>
      </w:r>
      <w:r>
        <w:rPr>
          <w:rFonts w:hint="eastAsia" w:ascii="宋体" w:hAnsi="宋体" w:cs="楷体_GB2312"/>
          <w:color w:val="auto"/>
          <w:sz w:val="24"/>
          <w:lang w:val="zh-CN"/>
        </w:rPr>
        <w:t>见投标人须知前附表</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8.3.2 </w:t>
      </w:r>
      <w:r>
        <w:rPr>
          <w:rFonts w:hint="eastAsia" w:ascii="宋体" w:hAnsi="宋体" w:cs="楷体_GB2312"/>
          <w:color w:val="auto"/>
          <w:sz w:val="24"/>
          <w:lang w:val="zh-CN"/>
        </w:rPr>
        <w:t>依据政府采购法规规定，招标公告、资格预审公告的公告期限为</w:t>
      </w:r>
      <w:r>
        <w:rPr>
          <w:rFonts w:ascii="宋体" w:hAnsi="宋体" w:cs="楷体_GB2312"/>
          <w:color w:val="auto"/>
          <w:sz w:val="24"/>
          <w:lang w:val="zh-CN"/>
        </w:rPr>
        <w:t>5</w:t>
      </w:r>
      <w:r>
        <w:rPr>
          <w:rFonts w:hint="eastAsia" w:ascii="宋体" w:hAnsi="宋体" w:cs="楷体_GB2312"/>
          <w:color w:val="auto"/>
          <w:sz w:val="24"/>
          <w:lang w:val="zh-CN"/>
        </w:rPr>
        <w:t>个工作日，中标公告期限为</w:t>
      </w:r>
      <w:r>
        <w:rPr>
          <w:rFonts w:ascii="宋体" w:hAnsi="宋体" w:cs="楷体_GB2312"/>
          <w:color w:val="auto"/>
          <w:sz w:val="24"/>
          <w:lang w:val="zh-CN"/>
        </w:rPr>
        <w:t>1</w:t>
      </w:r>
      <w:r>
        <w:rPr>
          <w:rFonts w:hint="eastAsia" w:ascii="宋体" w:hAnsi="宋体" w:cs="楷体_GB2312"/>
          <w:color w:val="auto"/>
          <w:sz w:val="24"/>
          <w:lang w:val="zh-CN"/>
        </w:rPr>
        <w:t>个工作日，投标人应在法定期限内提出质疑，逾期提交或未按照要求提交的质疑函将不予受理。</w:t>
      </w:r>
    </w:p>
    <w:p>
      <w:pPr>
        <w:adjustRightInd w:val="0"/>
        <w:snapToGrid w:val="0"/>
        <w:spacing w:beforeLines="50" w:line="300" w:lineRule="auto"/>
        <w:ind w:firstLine="600" w:firstLineChars="250"/>
        <w:rPr>
          <w:rFonts w:ascii="宋体"/>
          <w:color w:val="auto"/>
          <w:sz w:val="24"/>
        </w:rPr>
      </w:pPr>
      <w:r>
        <w:rPr>
          <w:rFonts w:ascii="宋体" w:hAnsi="宋体"/>
          <w:color w:val="auto"/>
          <w:sz w:val="24"/>
        </w:rPr>
        <w:t xml:space="preserve">8.3.3 </w:t>
      </w:r>
      <w:r>
        <w:rPr>
          <w:rFonts w:hint="eastAsia" w:ascii="宋体" w:hAnsi="宋体"/>
          <w:color w:val="auto"/>
          <w:sz w:val="24"/>
        </w:rPr>
        <w:t>询问或者质疑事项可能影响中标结果的，采购人应当暂停签订合同，已经签订合同的，应当中止履行合同。</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8.4 </w:t>
      </w:r>
      <w:r>
        <w:rPr>
          <w:rFonts w:hint="eastAsia" w:ascii="黑体" w:hAnsi="黑体" w:eastAsia="黑体" w:cs="楷体_GB2312"/>
          <w:b/>
          <w:color w:val="auto"/>
          <w:sz w:val="24"/>
          <w:lang w:val="zh-CN"/>
        </w:rPr>
        <w:t>中标通知：</w:t>
      </w:r>
      <w:r>
        <w:rPr>
          <w:rFonts w:hint="eastAsia" w:ascii="宋体" w:hAnsi="宋体" w:cs="楷体_GB2312"/>
          <w:color w:val="auto"/>
          <w:sz w:val="24"/>
          <w:lang w:val="zh-CN"/>
        </w:rPr>
        <w:t>见投标人须知前附表</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8.5 </w:t>
      </w:r>
      <w:r>
        <w:rPr>
          <w:rFonts w:hint="eastAsia" w:ascii="黑体" w:hAnsi="黑体" w:eastAsia="黑体" w:cs="楷体_GB2312"/>
          <w:b/>
          <w:color w:val="auto"/>
          <w:sz w:val="24"/>
          <w:lang w:val="zh-CN"/>
        </w:rPr>
        <w:t>履约保证金</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8.5.1</w:t>
      </w:r>
      <w:r>
        <w:rPr>
          <w:rFonts w:hint="eastAsia" w:ascii="宋体" w:hAnsi="宋体" w:cs="楷体_GB2312"/>
          <w:color w:val="auto"/>
          <w:sz w:val="24"/>
          <w:lang w:val="zh-CN"/>
        </w:rPr>
        <w:t>在签订合同时，中标人应按投标人须知前附表规定向采购人提交履约保证金。</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8.5.2 </w:t>
      </w:r>
      <w:r>
        <w:rPr>
          <w:rFonts w:hint="eastAsia" w:ascii="宋体" w:hAnsi="宋体" w:cs="楷体_GB2312"/>
          <w:color w:val="auto"/>
          <w:sz w:val="24"/>
          <w:lang w:val="zh-CN"/>
        </w:rPr>
        <w:t>中标人不能按本章第8</w:t>
      </w:r>
      <w:r>
        <w:rPr>
          <w:rFonts w:ascii="宋体" w:hAnsi="宋体" w:cs="楷体_GB2312"/>
          <w:color w:val="auto"/>
          <w:sz w:val="24"/>
          <w:lang w:val="zh-CN"/>
        </w:rPr>
        <w:t>.5.1</w:t>
      </w:r>
      <w:r>
        <w:rPr>
          <w:rFonts w:hint="eastAsia" w:ascii="宋体" w:hAnsi="宋体" w:cs="楷体_GB2312"/>
          <w:color w:val="auto"/>
          <w:sz w:val="24"/>
          <w:lang w:val="zh-CN"/>
        </w:rPr>
        <w:t>项要求提交履约保证金的，视为放弃中标资格，</w:t>
      </w:r>
      <w:r>
        <w:rPr>
          <w:rFonts w:hint="eastAsia" w:ascii="宋体" w:hAnsi="宋体"/>
          <w:color w:val="auto"/>
          <w:sz w:val="24"/>
          <w:szCs w:val="24"/>
        </w:rPr>
        <w:t>依据招标文件“第三章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”，投标人</w:t>
      </w:r>
      <w:r>
        <w:rPr>
          <w:rFonts w:hint="eastAsia" w:ascii="宋体" w:hAnsi="宋体" w:cs="楷体_GB2312"/>
          <w:color w:val="auto"/>
          <w:sz w:val="24"/>
          <w:szCs w:val="22"/>
        </w:rPr>
        <w:t>承担相应法律责任及违约责任。</w:t>
      </w:r>
      <w:r>
        <w:rPr>
          <w:rFonts w:hint="eastAsia" w:ascii="宋体" w:hAnsi="宋体" w:cs="楷体_GB2312"/>
          <w:color w:val="auto"/>
          <w:sz w:val="24"/>
          <w:lang w:val="zh-CN"/>
        </w:rPr>
        <w:t>给采购人及采购代理机构造成的损失，中标人应当予以赔偿。</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8.6 </w:t>
      </w:r>
      <w:r>
        <w:rPr>
          <w:rFonts w:hint="eastAsia" w:ascii="黑体" w:hAnsi="黑体" w:eastAsia="黑体" w:cs="楷体_GB2312"/>
          <w:b/>
          <w:color w:val="auto"/>
          <w:sz w:val="24"/>
          <w:lang w:val="zh-CN"/>
        </w:rPr>
        <w:t>签订合同</w:t>
      </w:r>
    </w:p>
    <w:p>
      <w:pPr>
        <w:autoSpaceDE w:val="0"/>
        <w:autoSpaceDN w:val="0"/>
        <w:adjustRightInd w:val="0"/>
        <w:snapToGrid w:val="0"/>
        <w:spacing w:beforeLines="50" w:line="300" w:lineRule="auto"/>
        <w:ind w:firstLine="539"/>
        <w:rPr>
          <w:rFonts w:ascii="宋体" w:hAnsi="宋体"/>
          <w:color w:val="auto"/>
          <w:sz w:val="24"/>
        </w:rPr>
      </w:pPr>
      <w:r>
        <w:rPr>
          <w:rFonts w:ascii="宋体" w:hAnsi="宋体"/>
          <w:color w:val="auto"/>
          <w:sz w:val="24"/>
        </w:rPr>
        <w:t xml:space="preserve">8.6.1 </w:t>
      </w:r>
      <w:r>
        <w:rPr>
          <w:rFonts w:hint="eastAsia" w:ascii="宋体" w:hAnsi="宋体"/>
          <w:color w:val="auto"/>
          <w:sz w:val="24"/>
        </w:rPr>
        <w:t>据优化营商环境精神，中标人应在《中标通知书》发出后2个工作日内，按照招标文件确定的合同文本以及中标标的、技术和服务等事项与采购人签订</w:t>
      </w:r>
      <w:r>
        <w:rPr>
          <w:rFonts w:hint="eastAsia" w:ascii="宋体" w:hAnsi="宋体" w:cs="楷体_GB2312"/>
          <w:color w:val="auto"/>
          <w:sz w:val="24"/>
          <w:lang w:val="zh-CN"/>
        </w:rPr>
        <w:t>书面</w:t>
      </w:r>
      <w:r>
        <w:rPr>
          <w:rFonts w:hint="eastAsia" w:ascii="宋体" w:hAnsi="宋体"/>
          <w:color w:val="auto"/>
          <w:sz w:val="24"/>
        </w:rPr>
        <w:t>政府采购合同。</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olor w:val="auto"/>
          <w:sz w:val="24"/>
        </w:rPr>
        <w:t xml:space="preserve">8.6.2 </w:t>
      </w:r>
      <w:r>
        <w:rPr>
          <w:rFonts w:hint="eastAsia" w:ascii="宋体" w:hAnsi="宋体"/>
          <w:color w:val="auto"/>
          <w:sz w:val="24"/>
        </w:rPr>
        <w:t>如中标人不按时签订合同、</w:t>
      </w:r>
      <w:r>
        <w:rPr>
          <w:rFonts w:hint="eastAsia" w:ascii="宋体" w:hAnsi="宋体" w:cs="楷体_GB2312"/>
          <w:color w:val="auto"/>
          <w:sz w:val="24"/>
          <w:lang w:val="zh-CN"/>
        </w:rPr>
        <w:t>拒签合同的，取消其中标资格，依据招标文件“第三章3.5.5 违背承诺的责任追究措施”，投标人承担相应法律责任及违约责任。</w:t>
      </w:r>
    </w:p>
    <w:p>
      <w:pPr>
        <w:widowControl w:val="0"/>
        <w:adjustRightInd w:val="0"/>
        <w:snapToGrid w:val="0"/>
        <w:spacing w:beforeLines="50" w:line="300" w:lineRule="auto"/>
        <w:ind w:firstLine="566"/>
        <w:rPr>
          <w:rFonts w:ascii="宋体" w:hAnsi="宋体"/>
          <w:color w:val="auto"/>
          <w:sz w:val="24"/>
          <w:szCs w:val="24"/>
        </w:rPr>
      </w:pPr>
      <w:r>
        <w:rPr>
          <w:color w:val="auto"/>
          <w:sz w:val="24"/>
          <w:szCs w:val="24"/>
        </w:rPr>
        <w:t>8.6.3</w:t>
      </w:r>
      <w:r>
        <w:rPr>
          <w:rFonts w:hint="eastAsia"/>
          <w:color w:val="auto"/>
          <w:sz w:val="24"/>
          <w:szCs w:val="24"/>
        </w:rPr>
        <w:t>合同生效：中标人与采购人签订的合同，双方签字后盖章生效。</w:t>
      </w:r>
      <w:r>
        <w:rPr>
          <w:rFonts w:hint="eastAsia" w:ascii="宋体" w:hAnsi="宋体" w:cs="宋体"/>
          <w:color w:val="auto"/>
          <w:sz w:val="24"/>
        </w:rPr>
        <w:t>采购</w:t>
      </w:r>
      <w:r>
        <w:rPr>
          <w:rFonts w:hint="eastAsia" w:ascii="宋体" w:hAnsi="宋体"/>
          <w:color w:val="auto"/>
          <w:sz w:val="24"/>
          <w:szCs w:val="24"/>
        </w:rPr>
        <w:t>人要在合同签订后1个工作日内登陆安阳市政府采购网进行备案并公告</w:t>
      </w:r>
      <w:r>
        <w:rPr>
          <w:rFonts w:hint="eastAsia" w:ascii="宋体" w:hAnsi="宋体" w:cs="宋体"/>
          <w:color w:val="auto"/>
          <w:sz w:val="24"/>
        </w:rPr>
        <w:t>。</w:t>
      </w:r>
    </w:p>
    <w:p>
      <w:pPr>
        <w:widowControl w:val="0"/>
        <w:adjustRightInd w:val="0"/>
        <w:snapToGrid w:val="0"/>
        <w:spacing w:beforeLines="50" w:line="300" w:lineRule="auto"/>
        <w:ind w:firstLine="566"/>
        <w:rPr>
          <w:color w:val="auto"/>
          <w:sz w:val="24"/>
          <w:szCs w:val="24"/>
        </w:rPr>
      </w:pPr>
      <w:r>
        <w:rPr>
          <w:color w:val="auto"/>
          <w:sz w:val="24"/>
          <w:szCs w:val="24"/>
        </w:rPr>
        <w:t xml:space="preserve">8.6.4 </w:t>
      </w:r>
      <w:r>
        <w:rPr>
          <w:rFonts w:hint="eastAsia"/>
          <w:color w:val="auto"/>
          <w:sz w:val="24"/>
          <w:szCs w:val="24"/>
        </w:rPr>
        <w:t>《中标通知书》、招标文件</w:t>
      </w:r>
      <w:r>
        <w:rPr>
          <w:rFonts w:hint="eastAsia"/>
          <w:color w:val="auto"/>
          <w:spacing w:val="20"/>
          <w:sz w:val="24"/>
          <w:szCs w:val="24"/>
        </w:rPr>
        <w:t>及其修改补充澄清</w:t>
      </w:r>
      <w:r>
        <w:rPr>
          <w:rFonts w:hint="eastAsia"/>
          <w:color w:val="auto"/>
          <w:sz w:val="24"/>
          <w:szCs w:val="24"/>
        </w:rPr>
        <w:t>、中标人的投标文件及</w:t>
      </w:r>
      <w:r>
        <w:rPr>
          <w:rFonts w:hint="eastAsia"/>
          <w:color w:val="auto"/>
          <w:spacing w:val="20"/>
          <w:sz w:val="24"/>
          <w:szCs w:val="24"/>
        </w:rPr>
        <w:t>及其修改补充澄清</w:t>
      </w:r>
      <w:r>
        <w:rPr>
          <w:rFonts w:hint="eastAsia"/>
          <w:color w:val="auto"/>
          <w:sz w:val="24"/>
          <w:szCs w:val="24"/>
        </w:rPr>
        <w:t>等，均为签订合同的依据。所定合同不得对招标文件和中标人的投标文件作实质性修改，采购人和中标人不得私下订立背离合同实质性内容的协议。</w:t>
      </w:r>
    </w:p>
    <w:p>
      <w:pPr>
        <w:widowControl w:val="0"/>
        <w:adjustRightInd w:val="0"/>
        <w:snapToGrid w:val="0"/>
        <w:spacing w:beforeLines="50" w:line="300" w:lineRule="auto"/>
        <w:ind w:firstLine="549"/>
        <w:rPr>
          <w:color w:val="auto"/>
          <w:sz w:val="24"/>
          <w:szCs w:val="24"/>
        </w:rPr>
      </w:pPr>
      <w:r>
        <w:rPr>
          <w:color w:val="auto"/>
          <w:sz w:val="24"/>
          <w:szCs w:val="24"/>
        </w:rPr>
        <w:t xml:space="preserve">8.6.5 </w:t>
      </w:r>
      <w:r>
        <w:rPr>
          <w:rFonts w:hint="eastAsia"/>
          <w:color w:val="auto"/>
          <w:sz w:val="24"/>
          <w:szCs w:val="24"/>
        </w:rPr>
        <w:t>评审会后，中标人、采购人之间擅自私下谈判、变更中标标的、价格及招投标文件实质性内容的，有关部门将按《中华人民共和国政府采购法》及相关法规的规定处理。</w:t>
      </w:r>
    </w:p>
    <w:p>
      <w:pPr>
        <w:widowControl w:val="0"/>
        <w:adjustRightInd w:val="0"/>
        <w:snapToGrid w:val="0"/>
        <w:spacing w:beforeLines="50" w:line="300" w:lineRule="auto"/>
        <w:ind w:firstLine="549"/>
        <w:rPr>
          <w:color w:val="auto"/>
          <w:sz w:val="24"/>
          <w:szCs w:val="24"/>
        </w:rPr>
      </w:pPr>
      <w:r>
        <w:rPr>
          <w:color w:val="auto"/>
          <w:sz w:val="24"/>
          <w:szCs w:val="24"/>
        </w:rPr>
        <w:t>8.6.</w:t>
      </w:r>
      <w:r>
        <w:rPr>
          <w:rFonts w:hint="eastAsia"/>
          <w:color w:val="auto"/>
          <w:sz w:val="24"/>
          <w:szCs w:val="24"/>
        </w:rPr>
        <w:t>6</w:t>
      </w:r>
      <w:r>
        <w:rPr>
          <w:color w:val="auto"/>
          <w:sz w:val="24"/>
          <w:szCs w:val="24"/>
        </w:rPr>
        <w:t xml:space="preserve"> </w:t>
      </w:r>
      <w:r>
        <w:rPr>
          <w:rFonts w:hint="eastAsia"/>
          <w:color w:val="auto"/>
          <w:sz w:val="24"/>
          <w:szCs w:val="24"/>
        </w:rPr>
        <w:t>采购人与中标人签订《政府采购合同》后，合同履行中产生的纠纷、争议，由采购人与中标人按合同条款及《中华人民共和国民法典》处理。</w:t>
      </w:r>
    </w:p>
    <w:p>
      <w:pPr>
        <w:widowControl w:val="0"/>
        <w:adjustRightInd w:val="0"/>
        <w:snapToGrid w:val="0"/>
        <w:spacing w:beforeLines="50" w:line="300" w:lineRule="auto"/>
        <w:ind w:firstLine="556"/>
        <w:rPr>
          <w:rFonts w:ascii="黑体" w:hAnsi="黑体" w:eastAsia="黑体" w:cs="楷体_GB2312"/>
          <w:b/>
          <w:color w:val="auto"/>
          <w:sz w:val="24"/>
          <w:lang w:val="zh-CN"/>
        </w:rPr>
      </w:pPr>
      <w:r>
        <w:rPr>
          <w:rFonts w:ascii="黑体" w:hAnsi="黑体" w:eastAsia="黑体" w:cs="楷体_GB2312"/>
          <w:b/>
          <w:color w:val="auto"/>
          <w:sz w:val="24"/>
          <w:lang w:val="zh-CN"/>
        </w:rPr>
        <w:t xml:space="preserve">8.7 </w:t>
      </w:r>
      <w:r>
        <w:rPr>
          <w:rFonts w:hint="eastAsia" w:ascii="黑体" w:hAnsi="黑体" w:eastAsia="黑体" w:cs="楷体_GB2312"/>
          <w:b/>
          <w:color w:val="auto"/>
          <w:sz w:val="24"/>
          <w:lang w:val="zh-CN"/>
        </w:rPr>
        <w:t>合同补充变更</w:t>
      </w:r>
    </w:p>
    <w:p>
      <w:pPr>
        <w:widowControl w:val="0"/>
        <w:adjustRightInd w:val="0"/>
        <w:snapToGrid w:val="0"/>
        <w:spacing w:beforeLines="50" w:line="300" w:lineRule="auto"/>
        <w:ind w:firstLine="555"/>
        <w:rPr>
          <w:color w:val="auto"/>
          <w:sz w:val="24"/>
          <w:szCs w:val="24"/>
        </w:rPr>
      </w:pPr>
      <w:r>
        <w:rPr>
          <w:color w:val="auto"/>
          <w:sz w:val="24"/>
          <w:szCs w:val="24"/>
        </w:rPr>
        <w:t>8.7.1</w:t>
      </w:r>
      <w:r>
        <w:rPr>
          <w:rFonts w:hint="eastAsia"/>
          <w:color w:val="auto"/>
          <w:sz w:val="24"/>
          <w:szCs w:val="24"/>
        </w:rPr>
        <w:t>政府采购合同履行中，采购人需追加或减少与合同标的相同的货物、</w:t>
      </w:r>
      <w:r>
        <w:rPr>
          <w:rFonts w:hint="eastAsia" w:ascii="宋体" w:hAnsi="宋体"/>
          <w:color w:val="auto"/>
          <w:sz w:val="24"/>
          <w:szCs w:val="24"/>
        </w:rPr>
        <w:t>工程和服务的</w:t>
      </w:r>
      <w:r>
        <w:rPr>
          <w:rFonts w:hint="eastAsia"/>
          <w:color w:val="auto"/>
          <w:sz w:val="24"/>
          <w:szCs w:val="24"/>
        </w:rPr>
        <w:t>（即追加或减少原合同标的数量），在不改变合同条款（包括原合同单价）的前提下，双方可以协商签订补充合同，但所有补充合同总金额不得超过原合同采购金额的</w:t>
      </w:r>
      <w:r>
        <w:rPr>
          <w:color w:val="auto"/>
          <w:sz w:val="24"/>
          <w:szCs w:val="24"/>
        </w:rPr>
        <w:t>10%</w:t>
      </w:r>
      <w:r>
        <w:rPr>
          <w:rFonts w:hint="eastAsia"/>
          <w:color w:val="auto"/>
          <w:sz w:val="24"/>
          <w:szCs w:val="24"/>
        </w:rPr>
        <w:t>，不得调增原合同单价，不得超出项目预算，超过原合同采购金额的</w:t>
      </w:r>
      <w:r>
        <w:rPr>
          <w:color w:val="auto"/>
          <w:sz w:val="24"/>
          <w:szCs w:val="24"/>
        </w:rPr>
        <w:t>10%</w:t>
      </w:r>
      <w:r>
        <w:rPr>
          <w:rFonts w:hint="eastAsia"/>
          <w:color w:val="auto"/>
          <w:sz w:val="24"/>
          <w:szCs w:val="24"/>
        </w:rPr>
        <w:t>，应重新组织采购活动。</w:t>
      </w:r>
    </w:p>
    <w:p>
      <w:pPr>
        <w:widowControl w:val="0"/>
        <w:adjustRightInd w:val="0"/>
        <w:snapToGrid w:val="0"/>
        <w:spacing w:beforeLines="50" w:line="300" w:lineRule="auto"/>
        <w:ind w:firstLine="555"/>
        <w:rPr>
          <w:color w:val="auto"/>
          <w:sz w:val="24"/>
          <w:szCs w:val="24"/>
        </w:rPr>
      </w:pPr>
      <w:r>
        <w:rPr>
          <w:b/>
          <w:color w:val="auto"/>
          <w:sz w:val="24"/>
          <w:szCs w:val="24"/>
        </w:rPr>
        <w:t>8.7.2</w:t>
      </w:r>
      <w:r>
        <w:rPr>
          <w:rFonts w:hint="eastAsia"/>
          <w:color w:val="auto"/>
          <w:sz w:val="24"/>
          <w:szCs w:val="24"/>
        </w:rPr>
        <w:t>采购人需追加或减少的货物</w:t>
      </w:r>
      <w:r>
        <w:rPr>
          <w:rFonts w:hint="eastAsia" w:ascii="宋体" w:hAnsi="宋体"/>
          <w:color w:val="auto"/>
          <w:sz w:val="24"/>
          <w:szCs w:val="24"/>
        </w:rPr>
        <w:t>、工程和服务的</w:t>
      </w:r>
      <w:r>
        <w:rPr>
          <w:rFonts w:hint="eastAsia"/>
          <w:color w:val="auto"/>
          <w:sz w:val="24"/>
          <w:szCs w:val="24"/>
        </w:rPr>
        <w:t>金额达到</w:t>
      </w:r>
      <w:r>
        <w:rPr>
          <w:color w:val="auto"/>
          <w:sz w:val="24"/>
          <w:szCs w:val="24"/>
        </w:rPr>
        <w:t>50</w:t>
      </w:r>
      <w:r>
        <w:rPr>
          <w:rFonts w:hint="eastAsia"/>
          <w:color w:val="auto"/>
          <w:sz w:val="24"/>
          <w:szCs w:val="24"/>
        </w:rPr>
        <w:t>万元以上（含</w:t>
      </w:r>
      <w:r>
        <w:rPr>
          <w:color w:val="auto"/>
          <w:sz w:val="24"/>
          <w:szCs w:val="24"/>
        </w:rPr>
        <w:t>50</w:t>
      </w:r>
      <w:r>
        <w:rPr>
          <w:rFonts w:hint="eastAsia"/>
          <w:color w:val="auto"/>
          <w:sz w:val="24"/>
          <w:szCs w:val="24"/>
        </w:rPr>
        <w:t>万元）、且超过中标价</w:t>
      </w:r>
      <w:r>
        <w:rPr>
          <w:color w:val="auto"/>
          <w:sz w:val="24"/>
          <w:szCs w:val="24"/>
        </w:rPr>
        <w:t>3%</w:t>
      </w:r>
      <w:r>
        <w:rPr>
          <w:rFonts w:hint="eastAsia"/>
          <w:color w:val="auto"/>
          <w:sz w:val="24"/>
          <w:szCs w:val="24"/>
        </w:rPr>
        <w:t>的，采购人应当自确定变更之日起</w:t>
      </w:r>
      <w:r>
        <w:rPr>
          <w:color w:val="auto"/>
          <w:sz w:val="24"/>
          <w:szCs w:val="24"/>
        </w:rPr>
        <w:t>5</w:t>
      </w:r>
      <w:r>
        <w:rPr>
          <w:rFonts w:hint="eastAsia"/>
          <w:color w:val="auto"/>
          <w:sz w:val="24"/>
          <w:szCs w:val="24"/>
        </w:rPr>
        <w:t>个工作日内将变更情况及事由报送同级监察机关。</w:t>
      </w:r>
    </w:p>
    <w:p>
      <w:pPr>
        <w:widowControl w:val="0"/>
        <w:adjustRightInd w:val="0"/>
        <w:snapToGrid w:val="0"/>
        <w:spacing w:beforeLines="50" w:line="300" w:lineRule="auto"/>
        <w:ind w:firstLine="555"/>
        <w:rPr>
          <w:color w:val="auto"/>
          <w:sz w:val="24"/>
          <w:szCs w:val="24"/>
        </w:rPr>
      </w:pPr>
      <w:r>
        <w:rPr>
          <w:rFonts w:hint="eastAsia"/>
          <w:color w:val="auto"/>
          <w:sz w:val="24"/>
          <w:szCs w:val="24"/>
        </w:rPr>
        <w:t>招标项目在中标后经有关行政机关批准变更的，批准的行政机关应当自批准之日起</w:t>
      </w:r>
      <w:r>
        <w:rPr>
          <w:color w:val="auto"/>
          <w:sz w:val="24"/>
          <w:szCs w:val="24"/>
        </w:rPr>
        <w:t>3</w:t>
      </w:r>
      <w:r>
        <w:rPr>
          <w:rFonts w:hint="eastAsia"/>
          <w:color w:val="auto"/>
          <w:sz w:val="24"/>
          <w:szCs w:val="24"/>
        </w:rPr>
        <w:t>个工作日内将批准文件抄送同级监察机关备案。</w:t>
      </w:r>
    </w:p>
    <w:p>
      <w:pPr>
        <w:widowControl w:val="0"/>
        <w:adjustRightInd w:val="0"/>
        <w:snapToGrid w:val="0"/>
        <w:spacing w:beforeLines="50" w:line="300" w:lineRule="auto"/>
        <w:ind w:firstLine="555"/>
        <w:rPr>
          <w:color w:val="auto"/>
          <w:sz w:val="24"/>
          <w:szCs w:val="24"/>
        </w:rPr>
      </w:pPr>
    </w:p>
    <w:p>
      <w:pPr>
        <w:widowControl w:val="0"/>
        <w:adjustRightInd w:val="0"/>
        <w:snapToGrid w:val="0"/>
        <w:spacing w:beforeLines="50" w:line="300" w:lineRule="auto"/>
        <w:ind w:firstLine="561"/>
        <w:outlineLvl w:val="1"/>
        <w:rPr>
          <w:rFonts w:ascii="黑体" w:hAnsi="黑体" w:eastAsia="黑体" w:cs="楷体_GB2312"/>
          <w:b/>
          <w:bCs/>
          <w:color w:val="auto"/>
          <w:sz w:val="28"/>
          <w:szCs w:val="28"/>
          <w:lang w:val="zh-CN"/>
        </w:rPr>
      </w:pPr>
      <w:bookmarkStart w:id="35" w:name="_Toc114740095"/>
      <w:r>
        <w:rPr>
          <w:rFonts w:ascii="黑体" w:hAnsi="黑体" w:eastAsia="黑体" w:cs="楷体_GB2312"/>
          <w:b/>
          <w:bCs/>
          <w:color w:val="auto"/>
          <w:sz w:val="28"/>
          <w:szCs w:val="28"/>
          <w:lang w:val="zh-CN"/>
        </w:rPr>
        <w:t xml:space="preserve">9 </w:t>
      </w:r>
      <w:r>
        <w:rPr>
          <w:rFonts w:hint="eastAsia" w:ascii="黑体" w:hAnsi="黑体" w:eastAsia="黑体" w:cs="楷体_GB2312"/>
          <w:b/>
          <w:bCs/>
          <w:color w:val="auto"/>
          <w:sz w:val="28"/>
          <w:szCs w:val="28"/>
          <w:lang w:val="zh-CN"/>
        </w:rPr>
        <w:t>验收</w:t>
      </w:r>
      <w:bookmarkEnd w:id="35"/>
    </w:p>
    <w:p>
      <w:pPr>
        <w:widowControl w:val="0"/>
        <w:adjustRightInd w:val="0"/>
        <w:snapToGrid w:val="0"/>
        <w:spacing w:beforeLines="50" w:line="300" w:lineRule="auto"/>
        <w:ind w:firstLine="561"/>
        <w:rPr>
          <w:rFonts w:ascii="宋体" w:cs="楷体_GB2312"/>
          <w:color w:val="auto"/>
          <w:sz w:val="24"/>
          <w:lang w:val="zh-CN"/>
        </w:rPr>
      </w:pPr>
      <w:r>
        <w:rPr>
          <w:rFonts w:hint="eastAsia" w:ascii="宋体" w:hAnsi="宋体" w:cs="楷体_GB2312"/>
          <w:color w:val="auto"/>
          <w:sz w:val="24"/>
        </w:rPr>
        <w:t>9</w:t>
      </w:r>
      <w:r>
        <w:rPr>
          <w:rFonts w:ascii="宋体" w:hAnsi="宋体" w:cs="楷体_GB2312"/>
          <w:color w:val="auto"/>
          <w:sz w:val="24"/>
          <w:lang w:val="zh-CN"/>
        </w:rPr>
        <w:t>.1</w:t>
      </w:r>
      <w:r>
        <w:rPr>
          <w:rFonts w:hint="eastAsia" w:ascii="宋体" w:hAnsi="宋体" w:cs="楷体_GB2312"/>
          <w:color w:val="auto"/>
          <w:sz w:val="24"/>
          <w:lang w:val="zh-CN"/>
        </w:rPr>
        <w:t>验收时间：所供货物安装调试结束、具备正常使用及验收条件时，由采购</w:t>
      </w:r>
      <w:r>
        <w:rPr>
          <w:rFonts w:hint="eastAsia" w:ascii="宋体" w:hAnsi="宋体" w:cs="楷体_GB2312"/>
          <w:color w:val="auto"/>
          <w:sz w:val="24"/>
        </w:rPr>
        <w:t>人</w:t>
      </w:r>
      <w:r>
        <w:rPr>
          <w:rFonts w:hint="eastAsia" w:ascii="宋体" w:hAnsi="宋体" w:cs="楷体_GB2312"/>
          <w:color w:val="auto"/>
          <w:sz w:val="24"/>
          <w:lang w:val="zh-CN"/>
        </w:rPr>
        <w:t>成立验收工作组负责验收。</w:t>
      </w:r>
      <w:r>
        <w:rPr>
          <w:rFonts w:hint="eastAsia" w:ascii="宋体" w:hAnsi="宋体" w:cs="楷体_GB2312"/>
          <w:color w:val="auto"/>
          <w:sz w:val="24"/>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pPr>
        <w:widowControl w:val="0"/>
        <w:adjustRightInd w:val="0"/>
        <w:snapToGrid w:val="0"/>
        <w:spacing w:beforeLines="50" w:line="300" w:lineRule="auto"/>
        <w:ind w:firstLine="561"/>
        <w:rPr>
          <w:rFonts w:ascii="宋体" w:hAnsi="宋体" w:cs="楷体_GB2312"/>
          <w:color w:val="auto"/>
          <w:sz w:val="24"/>
          <w:lang w:val="zh-CN"/>
        </w:rPr>
      </w:pPr>
      <w:r>
        <w:rPr>
          <w:rFonts w:hint="eastAsia" w:ascii="宋体" w:hAnsi="宋体" w:cs="楷体_GB2312"/>
          <w:color w:val="auto"/>
          <w:sz w:val="24"/>
        </w:rPr>
        <w:t>9</w:t>
      </w:r>
      <w:r>
        <w:rPr>
          <w:rFonts w:ascii="宋体" w:hAnsi="宋体" w:cs="楷体_GB2312"/>
          <w:color w:val="auto"/>
          <w:sz w:val="24"/>
          <w:lang w:val="zh-CN"/>
        </w:rPr>
        <w:t>.2</w:t>
      </w:r>
      <w:r>
        <w:rPr>
          <w:rFonts w:hint="eastAsia" w:ascii="宋体" w:hAnsi="宋体" w:cs="楷体_GB2312"/>
          <w:color w:val="auto"/>
          <w:sz w:val="24"/>
          <w:lang w:val="zh-CN"/>
        </w:rPr>
        <w:t>验收工作组：合同履约验收工作应成立验收工作组专门负责。</w:t>
      </w:r>
    </w:p>
    <w:p>
      <w:pPr>
        <w:widowControl w:val="0"/>
        <w:adjustRightInd w:val="0"/>
        <w:snapToGrid w:val="0"/>
        <w:spacing w:beforeLines="50" w:line="300" w:lineRule="auto"/>
        <w:ind w:firstLine="561"/>
        <w:rPr>
          <w:rFonts w:ascii="宋体" w:hAnsi="宋体" w:cs="楷体_GB2312"/>
          <w:color w:val="auto"/>
          <w:sz w:val="24"/>
          <w:lang w:val="zh-CN"/>
        </w:rPr>
      </w:pPr>
      <w:r>
        <w:rPr>
          <w:rFonts w:hint="eastAsia" w:ascii="宋体" w:hAnsi="宋体" w:cs="楷体_GB2312"/>
          <w:color w:val="auto"/>
          <w:sz w:val="24"/>
          <w:lang w:val="zh-CN"/>
        </w:rPr>
        <w:t>直接参与该项目政府采购活动的主要负责人不得作为验收工作的主要负责人。</w:t>
      </w:r>
      <w:r>
        <w:rPr>
          <w:rFonts w:hint="eastAsia" w:ascii="宋体" w:hAnsi="宋体" w:cs="楷体_GB2312"/>
          <w:color w:val="auto"/>
          <w:sz w:val="24"/>
        </w:rPr>
        <w:t>对于采购人和使用人分离的采购项目，应当邀请实际使用人参与验收；政府向社会公众提供的公共服务项目，验收时应当邀请服务对象参与并出具意见，验收结果应当向社会公告。</w:t>
      </w:r>
    </w:p>
    <w:p>
      <w:pPr>
        <w:widowControl w:val="0"/>
        <w:adjustRightInd w:val="0"/>
        <w:snapToGrid w:val="0"/>
        <w:spacing w:beforeLines="50" w:line="300" w:lineRule="auto"/>
        <w:ind w:firstLine="561"/>
        <w:rPr>
          <w:rFonts w:ascii="宋体" w:hAnsi="宋体" w:cs="楷体_GB2312"/>
          <w:color w:val="auto"/>
          <w:sz w:val="24"/>
        </w:rPr>
      </w:pPr>
      <w:r>
        <w:rPr>
          <w:rFonts w:hint="eastAsia" w:ascii="宋体" w:hAnsi="宋体" w:cs="楷体_GB2312"/>
          <w:color w:val="auto"/>
          <w:sz w:val="24"/>
        </w:rPr>
        <w:t>9.2.1</w:t>
      </w:r>
      <w:r>
        <w:rPr>
          <w:rFonts w:hint="eastAsia" w:ascii="宋体" w:hAnsi="宋体" w:cs="楷体_GB2312"/>
          <w:color w:val="auto"/>
          <w:sz w:val="24"/>
          <w:lang w:val="zh-CN"/>
        </w:rPr>
        <w:t>政府采购合同金额</w:t>
      </w:r>
      <w:r>
        <w:rPr>
          <w:rFonts w:hint="eastAsia" w:ascii="宋体" w:hAnsi="宋体" w:cs="楷体_GB2312"/>
          <w:color w:val="auto"/>
          <w:sz w:val="24"/>
        </w:rPr>
        <w:t>在</w:t>
      </w:r>
      <w:r>
        <w:rPr>
          <w:rFonts w:hint="eastAsia" w:ascii="宋体" w:hAnsi="宋体" w:cs="楷体_GB2312"/>
          <w:color w:val="auto"/>
          <w:sz w:val="24"/>
          <w:lang w:val="zh-CN"/>
        </w:rPr>
        <w:t>10万元以下（</w:t>
      </w:r>
      <w:r>
        <w:rPr>
          <w:rFonts w:hint="eastAsia" w:ascii="宋体" w:hAnsi="宋体" w:cs="楷体_GB2312"/>
          <w:color w:val="auto"/>
          <w:sz w:val="24"/>
        </w:rPr>
        <w:t>含10万元</w:t>
      </w:r>
      <w:r>
        <w:rPr>
          <w:rFonts w:hint="eastAsia" w:ascii="宋体" w:hAnsi="宋体" w:cs="楷体_GB2312"/>
          <w:color w:val="auto"/>
          <w:sz w:val="24"/>
          <w:lang w:val="zh-CN"/>
        </w:rPr>
        <w:t>）的项目，原则上可以不邀请评审专家参加，组织方成立验收小组自行验收。</w:t>
      </w:r>
      <w:r>
        <w:rPr>
          <w:rFonts w:hint="eastAsia" w:ascii="宋体" w:hAnsi="宋体" w:cs="楷体_GB2312"/>
          <w:color w:val="auto"/>
          <w:sz w:val="24"/>
        </w:rPr>
        <w:t>自行验收时，验收小组应仔细对照采购文件及合同，对标的物的数量、质量、规格、型号等参数逐一核对，并编制验收报告。组织方认为不能独立完成验收任务的，可以邀请评审专家参与验收。</w:t>
      </w:r>
    </w:p>
    <w:p>
      <w:pPr>
        <w:widowControl w:val="0"/>
        <w:adjustRightInd w:val="0"/>
        <w:snapToGrid w:val="0"/>
        <w:spacing w:beforeLines="50" w:line="300" w:lineRule="auto"/>
        <w:ind w:firstLine="561"/>
        <w:rPr>
          <w:rFonts w:ascii="宋体" w:hAnsi="宋体" w:cs="楷体_GB2312"/>
          <w:color w:val="auto"/>
          <w:sz w:val="24"/>
        </w:rPr>
      </w:pPr>
      <w:r>
        <w:rPr>
          <w:rFonts w:hint="eastAsia" w:ascii="宋体" w:hAnsi="宋体" w:cs="楷体_GB2312"/>
          <w:color w:val="auto"/>
          <w:sz w:val="24"/>
        </w:rPr>
        <w:t>9.2.2</w:t>
      </w:r>
      <w:r>
        <w:rPr>
          <w:rFonts w:hint="eastAsia" w:ascii="宋体" w:hAnsi="宋体" w:cs="楷体_GB2312"/>
          <w:color w:val="auto"/>
          <w:sz w:val="24"/>
          <w:lang w:val="zh-CN"/>
        </w:rPr>
        <w:t>政府采购合同金额50万元以下的（含50万元）的项目，验收工作组应不少于三人；政府采购合同金额50万元以上的项目，验收工作组应由</w:t>
      </w:r>
      <w:r>
        <w:rPr>
          <w:rFonts w:hint="eastAsia" w:ascii="宋体" w:hAnsi="宋体" w:cs="楷体_GB2312"/>
          <w:color w:val="auto"/>
          <w:sz w:val="24"/>
        </w:rPr>
        <w:t>采购人</w:t>
      </w:r>
      <w:r>
        <w:rPr>
          <w:rFonts w:hint="eastAsia" w:ascii="宋体" w:hAnsi="宋体" w:cs="楷体_GB2312"/>
          <w:color w:val="auto"/>
          <w:sz w:val="24"/>
          <w:lang w:val="zh-CN"/>
        </w:rPr>
        <w:t>领导牵头，财务、审计、监察、资产管理、技术等部门人员参与，成员不少于五人。验收工作</w:t>
      </w:r>
      <w:r>
        <w:rPr>
          <w:rFonts w:hint="eastAsia" w:ascii="宋体" w:hAnsi="宋体" w:cs="楷体_GB2312"/>
          <w:color w:val="auto"/>
          <w:sz w:val="24"/>
        </w:rPr>
        <w:t>原则上</w:t>
      </w:r>
      <w:r>
        <w:rPr>
          <w:rFonts w:hint="eastAsia" w:ascii="宋体" w:hAnsi="宋体" w:cs="楷体_GB2312"/>
          <w:color w:val="auto"/>
          <w:sz w:val="24"/>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楷体_GB2312"/>
          <w:color w:val="auto"/>
          <w:sz w:val="24"/>
        </w:rPr>
        <w:t>采购人</w:t>
      </w:r>
      <w:r>
        <w:rPr>
          <w:rFonts w:hint="eastAsia" w:ascii="宋体" w:hAnsi="宋体" w:cs="楷体_GB2312"/>
          <w:color w:val="auto"/>
          <w:sz w:val="24"/>
          <w:lang w:val="zh-CN"/>
        </w:rPr>
        <w:t>必须委托国家认可专业检测机构进行验收。</w:t>
      </w:r>
    </w:p>
    <w:p>
      <w:pPr>
        <w:widowControl w:val="0"/>
        <w:adjustRightInd w:val="0"/>
        <w:snapToGrid w:val="0"/>
        <w:spacing w:beforeLines="50" w:line="300" w:lineRule="auto"/>
        <w:ind w:firstLine="561"/>
        <w:rPr>
          <w:rFonts w:ascii="宋体" w:hAnsi="宋体" w:cs="楷体_GB2312"/>
          <w:color w:val="auto"/>
          <w:sz w:val="24"/>
        </w:rPr>
      </w:pPr>
      <w:r>
        <w:rPr>
          <w:rFonts w:hint="eastAsia" w:ascii="宋体" w:hAnsi="宋体" w:cs="楷体_GB2312"/>
          <w:color w:val="auto"/>
          <w:sz w:val="24"/>
        </w:rPr>
        <w:t>9.3验收时，验收小组按照采购合同的约定对每一项技术、服务、安全标准的履约情况进行确认。</w:t>
      </w:r>
      <w:r>
        <w:rPr>
          <w:rFonts w:hint="eastAsia" w:ascii="宋体" w:hAnsi="宋体" w:cs="楷体_GB2312"/>
          <w:color w:val="auto"/>
          <w:sz w:val="24"/>
          <w:lang w:val="zh-CN"/>
        </w:rPr>
        <w:t>验收时需要进行破坏性试验的，供应商应进行充分的配合并提供备品备件。</w:t>
      </w:r>
    </w:p>
    <w:p>
      <w:pPr>
        <w:widowControl w:val="0"/>
        <w:adjustRightInd w:val="0"/>
        <w:snapToGrid w:val="0"/>
        <w:spacing w:beforeLines="50" w:line="300" w:lineRule="auto"/>
        <w:ind w:firstLine="561"/>
        <w:rPr>
          <w:rFonts w:ascii="宋体" w:hAnsi="宋体" w:cs="楷体_GB2312"/>
          <w:color w:val="auto"/>
          <w:sz w:val="24"/>
        </w:rPr>
      </w:pPr>
      <w:r>
        <w:rPr>
          <w:rFonts w:hint="eastAsia" w:ascii="宋体" w:hAnsi="宋体" w:cs="楷体_GB2312"/>
          <w:color w:val="auto"/>
          <w:sz w:val="24"/>
        </w:rPr>
        <w:t>9</w:t>
      </w:r>
      <w:r>
        <w:rPr>
          <w:rFonts w:ascii="宋体" w:hAnsi="宋体" w:cs="楷体_GB2312"/>
          <w:color w:val="auto"/>
          <w:sz w:val="24"/>
          <w:lang w:val="zh-CN"/>
        </w:rPr>
        <w:t>.</w:t>
      </w:r>
      <w:r>
        <w:rPr>
          <w:rFonts w:hint="eastAsia" w:ascii="宋体" w:hAnsi="宋体" w:cs="楷体_GB2312"/>
          <w:color w:val="auto"/>
          <w:sz w:val="24"/>
        </w:rPr>
        <w:t>4</w:t>
      </w:r>
      <w:r>
        <w:rPr>
          <w:rFonts w:ascii="宋体" w:hAnsi="宋体" w:cs="楷体_GB2312"/>
          <w:color w:val="auto"/>
          <w:sz w:val="24"/>
          <w:lang w:val="zh-CN"/>
        </w:rPr>
        <w:t xml:space="preserve"> </w:t>
      </w:r>
      <w:r>
        <w:rPr>
          <w:rFonts w:hint="eastAsia" w:ascii="宋体" w:hAnsi="宋体" w:cs="楷体_GB2312"/>
          <w:color w:val="auto"/>
          <w:sz w:val="24"/>
          <w:lang w:val="zh-CN"/>
        </w:rPr>
        <w:t>验收报告：验收后，由采购</w:t>
      </w:r>
      <w:r>
        <w:rPr>
          <w:rFonts w:hint="eastAsia" w:ascii="宋体" w:hAnsi="宋体" w:cs="楷体_GB2312"/>
          <w:color w:val="auto"/>
          <w:sz w:val="24"/>
        </w:rPr>
        <w:t>人</w:t>
      </w:r>
      <w:r>
        <w:rPr>
          <w:rFonts w:hint="eastAsia" w:ascii="宋体" w:hAnsi="宋体" w:cs="楷体_GB2312"/>
          <w:color w:val="auto"/>
          <w:sz w:val="24"/>
          <w:lang w:val="zh-CN"/>
        </w:rPr>
        <w:t>及专家等出具验收报告（</w:t>
      </w:r>
      <w:r>
        <w:rPr>
          <w:rFonts w:hint="eastAsia" w:ascii="宋体" w:hAnsi="宋体" w:cs="楷体_GB2312"/>
          <w:color w:val="auto"/>
          <w:sz w:val="24"/>
        </w:rPr>
        <w:t>自行验收的，由采购人出具</w:t>
      </w:r>
      <w:r>
        <w:rPr>
          <w:rFonts w:hint="eastAsia" w:ascii="宋体" w:hAnsi="宋体" w:cs="楷体_GB2312"/>
          <w:color w:val="auto"/>
          <w:sz w:val="24"/>
          <w:lang w:val="zh-CN"/>
        </w:rPr>
        <w:t>），国家规定强制性检测的采购项目应附国家认可的专业检测机构出具的验收报告。</w:t>
      </w:r>
    </w:p>
    <w:p>
      <w:pPr>
        <w:widowControl w:val="0"/>
        <w:adjustRightInd w:val="0"/>
        <w:snapToGrid w:val="0"/>
        <w:spacing w:beforeLines="50" w:line="300" w:lineRule="auto"/>
        <w:ind w:firstLine="561"/>
        <w:rPr>
          <w:rFonts w:ascii="宋体" w:cs="楷体_GB2312"/>
          <w:color w:val="auto"/>
          <w:sz w:val="24"/>
          <w:lang w:val="zh-CN"/>
        </w:rPr>
      </w:pPr>
      <w:r>
        <w:rPr>
          <w:rFonts w:hint="eastAsia" w:ascii="宋体" w:hAnsi="宋体" w:cs="楷体_GB2312"/>
          <w:color w:val="auto"/>
          <w:sz w:val="24"/>
        </w:rPr>
        <w:t>9</w:t>
      </w:r>
      <w:r>
        <w:rPr>
          <w:rFonts w:hint="eastAsia" w:ascii="宋体" w:hAnsi="宋体" w:cs="楷体_GB2312"/>
          <w:color w:val="auto"/>
          <w:sz w:val="24"/>
          <w:lang w:val="zh-CN"/>
        </w:rPr>
        <w:t>.</w:t>
      </w:r>
      <w:r>
        <w:rPr>
          <w:rFonts w:hint="eastAsia" w:ascii="宋体" w:hAnsi="宋体" w:cs="楷体_GB2312"/>
          <w:color w:val="auto"/>
          <w:sz w:val="24"/>
        </w:rPr>
        <w:t>5</w:t>
      </w:r>
      <w:r>
        <w:rPr>
          <w:rFonts w:hint="eastAsia" w:ascii="宋体" w:hAnsi="宋体" w:cs="楷体_GB2312"/>
          <w:color w:val="auto"/>
          <w:sz w:val="24"/>
          <w:lang w:val="zh-CN"/>
        </w:rPr>
        <w:t>验收中发现</w:t>
      </w:r>
      <w:r>
        <w:rPr>
          <w:rFonts w:hint="eastAsia" w:ascii="宋体" w:hAnsi="宋体" w:cs="楷体_GB2312"/>
          <w:color w:val="auto"/>
          <w:sz w:val="24"/>
        </w:rPr>
        <w:t>中标单位</w:t>
      </w:r>
      <w:r>
        <w:rPr>
          <w:rFonts w:hint="eastAsia" w:ascii="宋体" w:hAnsi="宋体" w:cs="楷体_GB2312"/>
          <w:color w:val="auto"/>
          <w:sz w:val="24"/>
          <w:lang w:val="zh-CN"/>
        </w:rPr>
        <w:t>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pPr>
        <w:widowControl w:val="0"/>
        <w:adjustRightInd w:val="0"/>
        <w:snapToGrid w:val="0"/>
        <w:spacing w:beforeLines="50" w:line="300" w:lineRule="auto"/>
        <w:ind w:firstLine="561"/>
        <w:rPr>
          <w:rFonts w:ascii="宋体" w:cs="楷体_GB2312"/>
          <w:color w:val="auto"/>
          <w:sz w:val="24"/>
          <w:lang w:val="zh-CN"/>
        </w:rPr>
      </w:pPr>
    </w:p>
    <w:p>
      <w:pPr>
        <w:widowControl w:val="0"/>
        <w:adjustRightInd w:val="0"/>
        <w:snapToGrid w:val="0"/>
        <w:spacing w:beforeLines="50" w:line="300" w:lineRule="auto"/>
        <w:ind w:firstLine="561"/>
        <w:outlineLvl w:val="1"/>
        <w:rPr>
          <w:rFonts w:ascii="黑体" w:hAnsi="黑体" w:eastAsia="黑体" w:cs="楷体_GB2312"/>
          <w:b/>
          <w:bCs/>
          <w:color w:val="auto"/>
          <w:sz w:val="28"/>
          <w:szCs w:val="28"/>
          <w:lang w:val="zh-CN"/>
        </w:rPr>
      </w:pPr>
      <w:bookmarkStart w:id="36" w:name="_Toc114740096"/>
      <w:r>
        <w:rPr>
          <w:rFonts w:ascii="黑体" w:hAnsi="黑体" w:eastAsia="黑体" w:cs="楷体_GB2312"/>
          <w:b/>
          <w:bCs/>
          <w:color w:val="auto"/>
          <w:sz w:val="28"/>
          <w:szCs w:val="28"/>
          <w:lang w:val="zh-CN"/>
        </w:rPr>
        <w:t xml:space="preserve">10 </w:t>
      </w:r>
      <w:r>
        <w:rPr>
          <w:rFonts w:hint="eastAsia" w:ascii="黑体" w:hAnsi="黑体" w:eastAsia="黑体" w:cs="楷体_GB2312"/>
          <w:b/>
          <w:bCs/>
          <w:color w:val="auto"/>
          <w:sz w:val="28"/>
          <w:szCs w:val="28"/>
          <w:lang w:val="zh-CN"/>
        </w:rPr>
        <w:t>付款</w:t>
      </w:r>
      <w:bookmarkEnd w:id="36"/>
    </w:p>
    <w:p>
      <w:pPr>
        <w:widowControl w:val="0"/>
        <w:adjustRightInd w:val="0"/>
        <w:snapToGrid w:val="0"/>
        <w:spacing w:beforeLines="50" w:line="300" w:lineRule="auto"/>
        <w:ind w:firstLine="561"/>
        <w:rPr>
          <w:rFonts w:ascii="宋体" w:cs="楷体_GB2312"/>
          <w:color w:val="auto"/>
          <w:sz w:val="24"/>
          <w:lang w:val="zh-CN"/>
        </w:rPr>
      </w:pPr>
      <w:r>
        <w:rPr>
          <w:rFonts w:hint="eastAsia" w:ascii="宋体" w:hAnsi="宋体" w:cs="楷体_GB2312"/>
          <w:color w:val="auto"/>
          <w:sz w:val="24"/>
          <w:lang w:val="zh-CN"/>
        </w:rPr>
        <w:t>见投标人须知前附表</w:t>
      </w:r>
    </w:p>
    <w:p>
      <w:pPr>
        <w:widowControl w:val="0"/>
        <w:adjustRightInd w:val="0"/>
        <w:snapToGrid w:val="0"/>
        <w:spacing w:beforeLines="50" w:line="300" w:lineRule="auto"/>
        <w:ind w:firstLine="561"/>
        <w:rPr>
          <w:rFonts w:ascii="黑体" w:hAnsi="黑体" w:eastAsia="黑体" w:cs="楷体_GB2312"/>
          <w:b/>
          <w:bCs/>
          <w:color w:val="auto"/>
          <w:sz w:val="28"/>
          <w:szCs w:val="28"/>
          <w:lang w:val="zh-CN"/>
        </w:rPr>
      </w:pPr>
    </w:p>
    <w:p>
      <w:pPr>
        <w:widowControl w:val="0"/>
        <w:adjustRightInd w:val="0"/>
        <w:snapToGrid w:val="0"/>
        <w:spacing w:beforeLines="50" w:line="300" w:lineRule="auto"/>
        <w:ind w:firstLine="561"/>
        <w:outlineLvl w:val="1"/>
        <w:rPr>
          <w:rFonts w:ascii="黑体" w:hAnsi="黑体" w:eastAsia="黑体" w:cs="楷体_GB2312"/>
          <w:b/>
          <w:bCs/>
          <w:color w:val="auto"/>
          <w:sz w:val="28"/>
          <w:szCs w:val="28"/>
          <w:lang w:val="zh-CN"/>
        </w:rPr>
      </w:pPr>
      <w:bookmarkStart w:id="37" w:name="_Toc114740097"/>
      <w:r>
        <w:rPr>
          <w:rFonts w:ascii="黑体" w:hAnsi="黑体" w:eastAsia="黑体" w:cs="楷体_GB2312"/>
          <w:b/>
          <w:bCs/>
          <w:color w:val="auto"/>
          <w:sz w:val="28"/>
          <w:szCs w:val="28"/>
          <w:lang w:val="zh-CN"/>
        </w:rPr>
        <w:t xml:space="preserve">11 </w:t>
      </w:r>
      <w:r>
        <w:rPr>
          <w:rFonts w:hint="eastAsia" w:ascii="黑体" w:hAnsi="黑体" w:eastAsia="黑体" w:cs="楷体_GB2312"/>
          <w:b/>
          <w:bCs/>
          <w:color w:val="auto"/>
          <w:sz w:val="28"/>
          <w:szCs w:val="28"/>
          <w:lang w:val="zh-CN"/>
        </w:rPr>
        <w:t>其他</w:t>
      </w:r>
      <w:bookmarkEnd w:id="37"/>
    </w:p>
    <w:p>
      <w:pPr>
        <w:widowControl w:val="0"/>
        <w:adjustRightInd w:val="0"/>
        <w:snapToGrid w:val="0"/>
        <w:spacing w:beforeLines="50" w:line="300" w:lineRule="auto"/>
        <w:ind w:firstLine="561"/>
        <w:rPr>
          <w:rFonts w:ascii="宋体" w:cs="楷体_GB2312"/>
          <w:color w:val="auto"/>
          <w:sz w:val="24"/>
          <w:lang w:val="zh-CN"/>
        </w:rPr>
      </w:pPr>
      <w:r>
        <w:rPr>
          <w:rFonts w:ascii="宋体" w:hAnsi="宋体" w:cs="楷体_GB2312"/>
          <w:color w:val="auto"/>
          <w:sz w:val="24"/>
          <w:lang w:val="zh-CN"/>
        </w:rPr>
        <w:t>1</w:t>
      </w:r>
      <w:r>
        <w:rPr>
          <w:rFonts w:ascii="宋体" w:cs="楷体_GB2312"/>
          <w:color w:val="auto"/>
          <w:sz w:val="24"/>
          <w:lang w:val="zh-CN"/>
        </w:rPr>
        <w:t>1</w:t>
      </w:r>
      <w:r>
        <w:rPr>
          <w:rFonts w:ascii="宋体" w:hAnsi="宋体" w:cs="楷体_GB2312"/>
          <w:color w:val="auto"/>
          <w:sz w:val="24"/>
          <w:lang w:val="zh-CN"/>
        </w:rPr>
        <w:t>.1</w:t>
      </w:r>
      <w:r>
        <w:rPr>
          <w:rFonts w:hint="eastAsia" w:ascii="宋体" w:hAnsi="宋体" w:cs="楷体_GB2312"/>
          <w:color w:val="auto"/>
          <w:sz w:val="24"/>
          <w:lang w:val="zh-CN"/>
        </w:rPr>
        <w:t>中标服务费等：见投标人须知前附表</w:t>
      </w:r>
    </w:p>
    <w:p>
      <w:pPr>
        <w:widowControl w:val="0"/>
        <w:adjustRightInd w:val="0"/>
        <w:snapToGrid w:val="0"/>
        <w:spacing w:beforeLines="50" w:line="300" w:lineRule="auto"/>
        <w:ind w:firstLine="561"/>
        <w:rPr>
          <w:rFonts w:ascii="宋体" w:cs="楷体_GB2312"/>
          <w:color w:val="auto"/>
          <w:sz w:val="24"/>
          <w:lang w:val="zh-CN"/>
        </w:rPr>
      </w:pPr>
      <w:r>
        <w:rPr>
          <w:rFonts w:ascii="宋体" w:hAnsi="宋体" w:cs="楷体_GB2312"/>
          <w:color w:val="auto"/>
          <w:sz w:val="24"/>
          <w:lang w:val="zh-CN"/>
        </w:rPr>
        <w:t>1</w:t>
      </w:r>
      <w:r>
        <w:rPr>
          <w:rFonts w:ascii="宋体" w:cs="楷体_GB2312"/>
          <w:color w:val="auto"/>
          <w:sz w:val="24"/>
          <w:lang w:val="zh-CN"/>
        </w:rPr>
        <w:t>1.</w:t>
      </w:r>
      <w:r>
        <w:rPr>
          <w:rFonts w:ascii="宋体" w:hAnsi="宋体" w:cs="楷体_GB2312"/>
          <w:color w:val="auto"/>
          <w:sz w:val="24"/>
          <w:lang w:val="zh-CN"/>
        </w:rPr>
        <w:t xml:space="preserve">2 </w:t>
      </w:r>
      <w:r>
        <w:rPr>
          <w:rFonts w:hint="eastAsia" w:ascii="宋体" w:hAnsi="宋体" w:cs="楷体_GB2312"/>
          <w:color w:val="auto"/>
          <w:sz w:val="24"/>
          <w:lang w:val="zh-CN"/>
        </w:rPr>
        <w:t>投标人资格条件中包含非法人单位的，招标文件中法定代表人一词相应包含表示证照标示的负责人；</w:t>
      </w:r>
      <w:r>
        <w:rPr>
          <w:rFonts w:ascii="宋体" w:hAnsi="宋体" w:cs="楷体_GB2312"/>
          <w:color w:val="auto"/>
          <w:sz w:val="24"/>
          <w:lang w:val="zh-CN"/>
        </w:rPr>
        <w:t xml:space="preserve"> </w:t>
      </w:r>
      <w:r>
        <w:rPr>
          <w:rFonts w:hint="eastAsia" w:ascii="宋体" w:hAnsi="宋体" w:cs="楷体_GB2312"/>
          <w:color w:val="auto"/>
          <w:sz w:val="24"/>
          <w:lang w:val="zh-CN"/>
        </w:rPr>
        <w:t>投标人资格条件中包含自然人的，招标文件中法定代表人一词相应包含表示自然人，自然人应由其本人签署投标文件、参加投标，不应再授权他人。</w:t>
      </w:r>
    </w:p>
    <w:p>
      <w:pPr>
        <w:widowControl w:val="0"/>
        <w:autoSpaceDE w:val="0"/>
        <w:autoSpaceDN w:val="0"/>
        <w:adjustRightInd w:val="0"/>
        <w:spacing w:beforeLines="50" w:line="300" w:lineRule="auto"/>
        <w:ind w:firstLine="480" w:firstLineChars="200"/>
        <w:jc w:val="left"/>
        <w:textAlignment w:val="auto"/>
        <w:rPr>
          <w:rFonts w:ascii="宋体" w:hAnsi="宋体" w:cs="楷体_GB2312"/>
          <w:color w:val="auto"/>
          <w:sz w:val="24"/>
          <w:lang w:val="zh-CN"/>
        </w:rPr>
      </w:pPr>
      <w:r>
        <w:rPr>
          <w:rFonts w:ascii="宋体" w:hAnsi="宋体" w:cs="楷体_GB2312"/>
          <w:color w:val="auto"/>
          <w:sz w:val="24"/>
          <w:lang w:val="zh-CN"/>
        </w:rPr>
        <w:t xml:space="preserve">11.3 </w:t>
      </w:r>
      <w:r>
        <w:rPr>
          <w:rFonts w:hint="eastAsia" w:ascii="宋体" w:hAnsi="宋体" w:cs="楷体_GB2312"/>
          <w:color w:val="auto"/>
          <w:sz w:val="24"/>
          <w:lang w:val="zh-CN"/>
        </w:rPr>
        <w:t>招标文件第一章至第四章各章中，用序号标示条、款、项、目，例如：</w:t>
      </w:r>
      <w:r>
        <w:rPr>
          <w:rFonts w:ascii="宋体" w:hAnsi="宋体" w:cs="楷体_GB2312"/>
          <w:color w:val="auto"/>
          <w:sz w:val="24"/>
          <w:lang w:val="zh-CN"/>
        </w:rPr>
        <w:t>1</w:t>
      </w:r>
      <w:r>
        <w:rPr>
          <w:rFonts w:hint="eastAsia" w:ascii="宋体" w:hAnsi="宋体" w:cs="楷体_GB2312"/>
          <w:color w:val="auto"/>
          <w:sz w:val="24"/>
          <w:lang w:val="zh-CN"/>
        </w:rPr>
        <w:t>为第</w:t>
      </w:r>
      <w:r>
        <w:rPr>
          <w:rFonts w:ascii="宋体" w:hAnsi="宋体" w:cs="楷体_GB2312"/>
          <w:color w:val="auto"/>
          <w:sz w:val="24"/>
          <w:lang w:val="zh-CN"/>
        </w:rPr>
        <w:t xml:space="preserve">1 </w:t>
      </w:r>
      <w:r>
        <w:rPr>
          <w:rFonts w:hint="eastAsia" w:ascii="宋体" w:hAnsi="宋体" w:cs="楷体_GB2312"/>
          <w:color w:val="auto"/>
          <w:sz w:val="24"/>
          <w:lang w:val="zh-CN"/>
        </w:rPr>
        <w:t>条，</w:t>
      </w:r>
      <w:r>
        <w:rPr>
          <w:rFonts w:ascii="宋体" w:hAnsi="宋体" w:cs="楷体_GB2312"/>
          <w:color w:val="auto"/>
          <w:sz w:val="24"/>
          <w:lang w:val="zh-CN"/>
        </w:rPr>
        <w:t>1.1</w:t>
      </w:r>
      <w:r>
        <w:rPr>
          <w:rFonts w:hint="eastAsia" w:ascii="宋体" w:hAnsi="宋体" w:cs="楷体_GB2312"/>
          <w:color w:val="auto"/>
          <w:sz w:val="24"/>
          <w:lang w:val="zh-CN"/>
        </w:rPr>
        <w:t>为第</w:t>
      </w:r>
      <w:r>
        <w:rPr>
          <w:rFonts w:ascii="宋体" w:hAnsi="宋体" w:cs="楷体_GB2312"/>
          <w:color w:val="auto"/>
          <w:sz w:val="24"/>
          <w:lang w:val="zh-CN"/>
        </w:rPr>
        <w:t>1</w:t>
      </w:r>
      <w:r>
        <w:rPr>
          <w:rFonts w:hint="eastAsia" w:ascii="宋体" w:hAnsi="宋体" w:cs="楷体_GB2312"/>
          <w:color w:val="auto"/>
          <w:sz w:val="24"/>
          <w:lang w:val="zh-CN"/>
        </w:rPr>
        <w:t>条第</w:t>
      </w:r>
      <w:r>
        <w:rPr>
          <w:rFonts w:ascii="宋体" w:hAnsi="宋体" w:cs="楷体_GB2312"/>
          <w:color w:val="auto"/>
          <w:sz w:val="24"/>
          <w:lang w:val="zh-CN"/>
        </w:rPr>
        <w:t>1</w:t>
      </w:r>
      <w:r>
        <w:rPr>
          <w:rFonts w:hint="eastAsia" w:ascii="宋体" w:hAnsi="宋体" w:cs="楷体_GB2312"/>
          <w:color w:val="auto"/>
          <w:sz w:val="24"/>
          <w:lang w:val="zh-CN"/>
        </w:rPr>
        <w:t>款（简称</w:t>
      </w:r>
      <w:r>
        <w:rPr>
          <w:rFonts w:ascii="宋体" w:hAnsi="宋体" w:cs="楷体_GB2312"/>
          <w:color w:val="auto"/>
          <w:sz w:val="24"/>
          <w:lang w:val="zh-CN"/>
        </w:rPr>
        <w:t>1.1</w:t>
      </w:r>
      <w:r>
        <w:rPr>
          <w:rFonts w:hint="eastAsia" w:ascii="宋体" w:hAnsi="宋体" w:cs="楷体_GB2312"/>
          <w:color w:val="auto"/>
          <w:sz w:val="24"/>
          <w:lang w:val="zh-CN"/>
        </w:rPr>
        <w:t>款），</w:t>
      </w:r>
      <w:r>
        <w:rPr>
          <w:rFonts w:ascii="宋体" w:hAnsi="宋体" w:cs="楷体_GB2312"/>
          <w:color w:val="auto"/>
          <w:sz w:val="24"/>
          <w:lang w:val="zh-CN"/>
        </w:rPr>
        <w:t>1.1.1</w:t>
      </w:r>
      <w:r>
        <w:rPr>
          <w:rFonts w:hint="eastAsia" w:ascii="宋体" w:hAnsi="宋体" w:cs="楷体_GB2312"/>
          <w:color w:val="auto"/>
          <w:sz w:val="24"/>
          <w:lang w:val="zh-CN"/>
        </w:rPr>
        <w:t>为第</w:t>
      </w:r>
      <w:r>
        <w:rPr>
          <w:rFonts w:ascii="宋体" w:hAnsi="宋体" w:cs="楷体_GB2312"/>
          <w:color w:val="auto"/>
          <w:sz w:val="24"/>
          <w:lang w:val="zh-CN"/>
        </w:rPr>
        <w:t>1</w:t>
      </w:r>
      <w:r>
        <w:rPr>
          <w:rFonts w:hint="eastAsia" w:ascii="宋体" w:hAnsi="宋体" w:cs="楷体_GB2312"/>
          <w:color w:val="auto"/>
          <w:sz w:val="24"/>
          <w:lang w:val="zh-CN"/>
        </w:rPr>
        <w:t>条第</w:t>
      </w:r>
      <w:r>
        <w:rPr>
          <w:rFonts w:ascii="宋体" w:hAnsi="宋体" w:cs="楷体_GB2312"/>
          <w:color w:val="auto"/>
          <w:sz w:val="24"/>
          <w:lang w:val="zh-CN"/>
        </w:rPr>
        <w:t>1</w:t>
      </w:r>
      <w:r>
        <w:rPr>
          <w:rFonts w:hint="eastAsia" w:ascii="宋体" w:hAnsi="宋体" w:cs="楷体_GB2312"/>
          <w:color w:val="auto"/>
          <w:sz w:val="24"/>
          <w:lang w:val="zh-CN"/>
        </w:rPr>
        <w:t>款第</w:t>
      </w:r>
      <w:r>
        <w:rPr>
          <w:rFonts w:ascii="宋体" w:hAnsi="宋体" w:cs="楷体_GB2312"/>
          <w:color w:val="auto"/>
          <w:sz w:val="24"/>
          <w:lang w:val="zh-CN"/>
        </w:rPr>
        <w:t>1</w:t>
      </w:r>
      <w:r>
        <w:rPr>
          <w:rFonts w:hint="eastAsia" w:ascii="宋体" w:hAnsi="宋体" w:cs="楷体_GB2312"/>
          <w:color w:val="auto"/>
          <w:sz w:val="24"/>
          <w:lang w:val="zh-CN"/>
        </w:rPr>
        <w:t>项（简称</w:t>
      </w:r>
      <w:r>
        <w:rPr>
          <w:rFonts w:ascii="宋体" w:hAnsi="宋体" w:cs="楷体_GB2312"/>
          <w:color w:val="auto"/>
          <w:sz w:val="24"/>
          <w:lang w:val="zh-CN"/>
        </w:rPr>
        <w:t>1.1.1</w:t>
      </w:r>
      <w:r>
        <w:rPr>
          <w:rFonts w:hint="eastAsia" w:ascii="宋体" w:hAnsi="宋体" w:cs="楷体_GB2312"/>
          <w:color w:val="auto"/>
          <w:sz w:val="24"/>
          <w:lang w:val="zh-CN"/>
        </w:rPr>
        <w:t>项）。“条”包含款、项、目；“款”包含项、目；“项”包含目。</w:t>
      </w:r>
      <w:bookmarkStart w:id="38" w:name="_Toc58855443"/>
      <w:bookmarkStart w:id="39" w:name="_Toc427683909"/>
      <w:bookmarkStart w:id="40" w:name="_Toc423723402"/>
      <w:bookmarkStart w:id="41" w:name="_Toc427683952"/>
    </w:p>
    <w:p>
      <w:pPr>
        <w:widowControl w:val="0"/>
        <w:autoSpaceDE w:val="0"/>
        <w:autoSpaceDN w:val="0"/>
        <w:adjustRightInd w:val="0"/>
        <w:spacing w:beforeLines="50" w:line="300" w:lineRule="auto"/>
        <w:ind w:firstLine="883" w:firstLineChars="200"/>
        <w:jc w:val="left"/>
        <w:textAlignment w:val="auto"/>
        <w:rPr>
          <w:rFonts w:eastAsia="黑体"/>
          <w:b/>
          <w:color w:val="auto"/>
          <w:sz w:val="44"/>
        </w:rPr>
      </w:pPr>
    </w:p>
    <w:p>
      <w:pPr>
        <w:widowControl w:val="0"/>
        <w:adjustRightInd w:val="0"/>
        <w:snapToGrid w:val="0"/>
        <w:spacing w:beforeLines="50" w:line="300" w:lineRule="auto"/>
        <w:ind w:firstLine="561"/>
        <w:outlineLvl w:val="1"/>
        <w:rPr>
          <w:rFonts w:ascii="黑体" w:hAnsi="黑体" w:eastAsia="黑体" w:cs="楷体_GB2312"/>
          <w:b/>
          <w:bCs/>
          <w:color w:val="auto"/>
          <w:sz w:val="28"/>
          <w:szCs w:val="28"/>
          <w:lang w:val="zh-CN"/>
        </w:rPr>
      </w:pPr>
      <w:bookmarkStart w:id="42" w:name="_Toc114740098"/>
      <w:r>
        <w:rPr>
          <w:rFonts w:ascii="黑体" w:hAnsi="黑体" w:eastAsia="黑体" w:cs="楷体_GB2312"/>
          <w:b/>
          <w:bCs/>
          <w:color w:val="auto"/>
          <w:sz w:val="28"/>
          <w:szCs w:val="28"/>
          <w:lang w:val="zh-CN"/>
        </w:rPr>
        <w:t>1</w:t>
      </w:r>
      <w:r>
        <w:rPr>
          <w:rFonts w:hint="eastAsia" w:ascii="黑体" w:hAnsi="黑体" w:eastAsia="黑体" w:cs="楷体_GB2312"/>
          <w:b/>
          <w:bCs/>
          <w:color w:val="auto"/>
          <w:sz w:val="28"/>
          <w:szCs w:val="28"/>
          <w:lang w:val="zh-CN"/>
        </w:rPr>
        <w:t>2 河南省政府采购合同融资政策告知函</w:t>
      </w:r>
      <w:bookmarkEnd w:id="38"/>
      <w:bookmarkEnd w:id="42"/>
    </w:p>
    <w:p>
      <w:pPr>
        <w:widowControl w:val="0"/>
        <w:adjustRightInd w:val="0"/>
        <w:snapToGrid w:val="0"/>
        <w:spacing w:beforeLines="50" w:line="300" w:lineRule="auto"/>
        <w:ind w:firstLine="555"/>
        <w:rPr>
          <w:rFonts w:ascii="宋体" w:hAnsi="宋体"/>
          <w:color w:val="auto"/>
          <w:sz w:val="24"/>
          <w:szCs w:val="24"/>
        </w:rPr>
      </w:pPr>
      <w:r>
        <w:rPr>
          <w:rFonts w:hint="eastAsia" w:ascii="宋体" w:hAnsi="宋体"/>
          <w:color w:val="auto"/>
          <w:sz w:val="24"/>
          <w:szCs w:val="24"/>
        </w:rPr>
        <w:t>各供应商：</w:t>
      </w:r>
    </w:p>
    <w:p>
      <w:pPr>
        <w:widowControl w:val="0"/>
        <w:adjustRightInd w:val="0"/>
        <w:snapToGrid w:val="0"/>
        <w:spacing w:beforeLines="50" w:line="300" w:lineRule="auto"/>
        <w:ind w:firstLine="555"/>
        <w:rPr>
          <w:rFonts w:ascii="宋体" w:hAnsi="宋体"/>
          <w:color w:val="auto"/>
          <w:sz w:val="24"/>
          <w:szCs w:val="24"/>
        </w:rPr>
      </w:pPr>
      <w:r>
        <w:rPr>
          <w:rFonts w:hint="eastAsia" w:ascii="宋体" w:hAnsi="宋体"/>
          <w:color w:val="auto"/>
          <w:sz w:val="24"/>
          <w:szCs w:val="24"/>
        </w:rPr>
        <w:t>欢迎贵公司参与河南省政府采购活动！</w:t>
      </w:r>
    </w:p>
    <w:p>
      <w:pPr>
        <w:widowControl w:val="0"/>
        <w:adjustRightInd w:val="0"/>
        <w:snapToGrid w:val="0"/>
        <w:spacing w:beforeLines="50" w:line="300" w:lineRule="auto"/>
        <w:ind w:firstLine="555"/>
        <w:rPr>
          <w:rFonts w:ascii="宋体" w:hAnsi="宋体"/>
          <w:color w:val="auto"/>
          <w:sz w:val="24"/>
          <w:szCs w:val="24"/>
        </w:rPr>
      </w:pPr>
      <w:r>
        <w:rPr>
          <w:rFonts w:hint="eastAsia" w:ascii="宋体" w:hAnsi="宋体"/>
          <w:color w:val="auto"/>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widowControl w:val="0"/>
        <w:adjustRightInd w:val="0"/>
        <w:snapToGrid w:val="0"/>
        <w:spacing w:beforeLines="50" w:line="300" w:lineRule="auto"/>
        <w:ind w:firstLine="555"/>
        <w:rPr>
          <w:rFonts w:ascii="宋体" w:hAnsi="宋体"/>
          <w:color w:val="auto"/>
          <w:sz w:val="24"/>
          <w:szCs w:val="24"/>
        </w:rPr>
      </w:pPr>
      <w:r>
        <w:rPr>
          <w:rFonts w:hint="eastAsia" w:ascii="宋体" w:hAnsi="宋体"/>
          <w:color w:val="auto"/>
          <w:sz w:val="24"/>
          <w:szCs w:val="24"/>
        </w:rPr>
        <w:t>贷款渠道和提供贷款的金融机构，可在河南省政府采购网“河南省政府采购合同融资平台”查询联系。</w:t>
      </w:r>
    </w:p>
    <w:p>
      <w:pPr>
        <w:widowControl w:val="0"/>
        <w:autoSpaceDE w:val="0"/>
        <w:autoSpaceDN w:val="0"/>
        <w:adjustRightInd w:val="0"/>
        <w:spacing w:beforeLines="50" w:line="300" w:lineRule="auto"/>
        <w:ind w:firstLine="883" w:firstLineChars="200"/>
        <w:jc w:val="left"/>
        <w:textAlignment w:val="auto"/>
        <w:rPr>
          <w:rFonts w:eastAsia="黑体"/>
          <w:b/>
          <w:color w:val="auto"/>
          <w:sz w:val="44"/>
        </w:rPr>
      </w:pPr>
    </w:p>
    <w:p>
      <w:pPr>
        <w:widowControl w:val="0"/>
        <w:autoSpaceDE w:val="0"/>
        <w:autoSpaceDN w:val="0"/>
        <w:adjustRightInd w:val="0"/>
        <w:spacing w:beforeLines="50" w:line="300" w:lineRule="auto"/>
        <w:ind w:firstLine="883" w:firstLineChars="200"/>
        <w:jc w:val="left"/>
        <w:textAlignment w:val="auto"/>
        <w:rPr>
          <w:rFonts w:eastAsia="黑体"/>
          <w:b/>
          <w:color w:val="auto"/>
          <w:sz w:val="44"/>
        </w:rPr>
      </w:pPr>
      <w:r>
        <w:rPr>
          <w:rFonts w:eastAsia="黑体"/>
          <w:b/>
          <w:color w:val="auto"/>
          <w:sz w:val="44"/>
        </w:rPr>
        <w:br w:type="page"/>
      </w:r>
    </w:p>
    <w:bookmarkEnd w:id="39"/>
    <w:bookmarkEnd w:id="40"/>
    <w:bookmarkEnd w:id="41"/>
    <w:p>
      <w:pPr>
        <w:keepNext/>
        <w:keepLines/>
        <w:widowControl w:val="0"/>
        <w:spacing w:beforeLines="200" w:afterLines="200" w:line="360" w:lineRule="auto"/>
        <w:jc w:val="center"/>
        <w:textAlignment w:val="auto"/>
        <w:outlineLvl w:val="0"/>
        <w:rPr>
          <w:rFonts w:ascii="黑体" w:hAnsi="黑体" w:eastAsia="黑体"/>
          <w:b/>
          <w:bCs/>
          <w:color w:val="auto"/>
          <w:kern w:val="44"/>
          <w:sz w:val="24"/>
          <w:szCs w:val="44"/>
        </w:rPr>
      </w:pPr>
      <w:bookmarkStart w:id="43" w:name="_Toc114740099"/>
      <w:r>
        <w:rPr>
          <w:rFonts w:hint="eastAsia" w:ascii="黑体" w:hAnsi="黑体" w:eastAsia="黑体"/>
          <w:b/>
          <w:bCs/>
          <w:color w:val="auto"/>
          <w:kern w:val="44"/>
          <w:sz w:val="36"/>
          <w:szCs w:val="36"/>
          <w:lang w:val="zh-CN"/>
        </w:rPr>
        <w:t>第四章</w:t>
      </w:r>
      <w:r>
        <w:rPr>
          <w:rFonts w:ascii="黑体" w:hAnsi="黑体" w:eastAsia="黑体"/>
          <w:b/>
          <w:bCs/>
          <w:color w:val="auto"/>
          <w:kern w:val="44"/>
          <w:sz w:val="36"/>
          <w:szCs w:val="36"/>
          <w:lang w:val="zh-CN"/>
        </w:rPr>
        <w:t xml:space="preserve">  </w:t>
      </w:r>
      <w:r>
        <w:rPr>
          <w:rFonts w:hint="eastAsia" w:ascii="黑体" w:hAnsi="黑体" w:eastAsia="黑体"/>
          <w:b/>
          <w:bCs/>
          <w:color w:val="auto"/>
          <w:kern w:val="44"/>
          <w:sz w:val="36"/>
          <w:szCs w:val="36"/>
          <w:lang w:val="zh-CN"/>
        </w:rPr>
        <w:t>评标办法（综合评分法）</w:t>
      </w:r>
      <w:bookmarkEnd w:id="43"/>
    </w:p>
    <w:p>
      <w:pPr>
        <w:spacing w:line="500" w:lineRule="exact"/>
        <w:ind w:firstLine="420"/>
        <w:jc w:val="left"/>
        <w:outlineLvl w:val="1"/>
        <w:rPr>
          <w:rFonts w:ascii="黑体" w:hAnsi="黑体" w:eastAsia="黑体"/>
          <w:b/>
          <w:color w:val="auto"/>
          <w:sz w:val="28"/>
          <w:szCs w:val="28"/>
          <w:lang w:val="zh-CN"/>
        </w:rPr>
      </w:pPr>
      <w:bookmarkStart w:id="44" w:name="_Toc114740100"/>
      <w:r>
        <w:rPr>
          <w:rFonts w:hint="eastAsia" w:ascii="黑体" w:hAnsi="黑体" w:eastAsia="黑体"/>
          <w:b/>
          <w:color w:val="auto"/>
          <w:sz w:val="28"/>
          <w:szCs w:val="28"/>
        </w:rPr>
        <w:t>评标办法前附表</w:t>
      </w:r>
      <w:bookmarkEnd w:id="44"/>
    </w:p>
    <w:tbl>
      <w:tblPr>
        <w:tblStyle w:val="19"/>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67"/>
        <w:gridCol w:w="1134"/>
        <w:gridCol w:w="1701"/>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84" w:type="dxa"/>
            <w:gridSpan w:val="2"/>
            <w:vAlign w:val="center"/>
          </w:tcPr>
          <w:p>
            <w:pPr>
              <w:widowControl w:val="0"/>
              <w:autoSpaceDE w:val="0"/>
              <w:autoSpaceDN w:val="0"/>
              <w:adjustRightInd w:val="0"/>
              <w:spacing w:line="240" w:lineRule="auto"/>
              <w:jc w:val="center"/>
              <w:textAlignment w:val="auto"/>
              <w:rPr>
                <w:rFonts w:ascii="宋体" w:cs="宋体"/>
                <w:b/>
                <w:color w:val="auto"/>
                <w:sz w:val="24"/>
                <w:szCs w:val="24"/>
              </w:rPr>
            </w:pPr>
            <w:r>
              <w:rPr>
                <w:rFonts w:hint="eastAsia" w:ascii="宋体" w:hAnsi="宋体" w:cs="宋体"/>
                <w:b/>
                <w:color w:val="auto"/>
                <w:sz w:val="24"/>
                <w:szCs w:val="24"/>
              </w:rPr>
              <w:t>条款号</w:t>
            </w:r>
          </w:p>
        </w:tc>
        <w:tc>
          <w:tcPr>
            <w:tcW w:w="2835" w:type="dxa"/>
            <w:gridSpan w:val="2"/>
            <w:vAlign w:val="center"/>
          </w:tcPr>
          <w:p>
            <w:pPr>
              <w:widowControl w:val="0"/>
              <w:autoSpaceDE w:val="0"/>
              <w:autoSpaceDN w:val="0"/>
              <w:adjustRightInd w:val="0"/>
              <w:spacing w:line="240" w:lineRule="auto"/>
              <w:jc w:val="center"/>
              <w:textAlignment w:val="auto"/>
              <w:rPr>
                <w:rFonts w:ascii="宋体" w:cs="宋体"/>
                <w:b/>
                <w:color w:val="auto"/>
                <w:sz w:val="24"/>
                <w:szCs w:val="24"/>
              </w:rPr>
            </w:pPr>
            <w:r>
              <w:rPr>
                <w:rFonts w:hint="eastAsia" w:ascii="宋体" w:hAnsi="宋体" w:cs="宋体"/>
                <w:b/>
                <w:color w:val="auto"/>
                <w:sz w:val="24"/>
                <w:szCs w:val="24"/>
              </w:rPr>
              <w:t>评标因素</w:t>
            </w:r>
          </w:p>
        </w:tc>
        <w:tc>
          <w:tcPr>
            <w:tcW w:w="5670" w:type="dxa"/>
            <w:vAlign w:val="center"/>
          </w:tcPr>
          <w:p>
            <w:pPr>
              <w:widowControl w:val="0"/>
              <w:autoSpaceDE w:val="0"/>
              <w:autoSpaceDN w:val="0"/>
              <w:adjustRightInd w:val="0"/>
              <w:spacing w:line="240" w:lineRule="auto"/>
              <w:jc w:val="center"/>
              <w:textAlignment w:val="auto"/>
              <w:rPr>
                <w:rFonts w:ascii="宋体" w:cs="宋体"/>
                <w:b/>
                <w:color w:val="auto"/>
                <w:sz w:val="24"/>
                <w:szCs w:val="24"/>
              </w:rPr>
            </w:pPr>
            <w:r>
              <w:rPr>
                <w:rFonts w:hint="eastAsia" w:ascii="宋体" w:hAnsi="宋体" w:cs="宋体"/>
                <w:b/>
                <w:color w:val="auto"/>
                <w:sz w:val="24"/>
                <w:szCs w:val="24"/>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17" w:type="dxa"/>
            <w:vMerge w:val="restart"/>
            <w:vAlign w:val="center"/>
          </w:tcPr>
          <w:p>
            <w:pPr>
              <w:widowControl w:val="0"/>
              <w:autoSpaceDE w:val="0"/>
              <w:autoSpaceDN w:val="0"/>
              <w:adjustRightInd w:val="0"/>
              <w:spacing w:line="360" w:lineRule="auto"/>
              <w:ind w:right="-147" w:rightChars="-70"/>
              <w:rPr>
                <w:rFonts w:ascii="微软雅黑" w:hAnsi="微软雅黑" w:eastAsia="微软雅黑" w:cs="楷体_GB2312"/>
                <w:b/>
                <w:bCs/>
                <w:color w:val="auto"/>
                <w:szCs w:val="21"/>
                <w:lang w:val="zh-CN"/>
              </w:rPr>
            </w:pPr>
            <w:r>
              <w:rPr>
                <w:rFonts w:ascii="微软雅黑" w:hAnsi="微软雅黑" w:eastAsia="微软雅黑" w:cs="楷体_GB2312"/>
                <w:b/>
                <w:bCs/>
                <w:color w:val="auto"/>
                <w:szCs w:val="21"/>
                <w:lang w:val="zh-CN"/>
              </w:rPr>
              <w:t>2.1</w:t>
            </w:r>
          </w:p>
        </w:tc>
        <w:tc>
          <w:tcPr>
            <w:tcW w:w="567" w:type="dxa"/>
            <w:vMerge w:val="restart"/>
            <w:vAlign w:val="center"/>
          </w:tcPr>
          <w:p>
            <w:pPr>
              <w:widowControl w:val="0"/>
              <w:autoSpaceDE w:val="0"/>
              <w:autoSpaceDN w:val="0"/>
              <w:adjustRightInd w:val="0"/>
              <w:spacing w:line="360" w:lineRule="auto"/>
              <w:textAlignment w:val="auto"/>
              <w:rPr>
                <w:rFonts w:ascii="宋体" w:cs="宋体"/>
                <w:color w:val="auto"/>
                <w:sz w:val="24"/>
                <w:szCs w:val="24"/>
              </w:rPr>
            </w:pPr>
            <w:r>
              <w:rPr>
                <w:rFonts w:hint="eastAsia" w:ascii="宋体" w:hAnsi="宋体" w:cs="宋体"/>
                <w:color w:val="auto"/>
                <w:sz w:val="24"/>
                <w:szCs w:val="24"/>
              </w:rPr>
              <w:t>符</w:t>
            </w:r>
          </w:p>
          <w:p>
            <w:pPr>
              <w:widowControl w:val="0"/>
              <w:autoSpaceDE w:val="0"/>
              <w:autoSpaceDN w:val="0"/>
              <w:adjustRightInd w:val="0"/>
              <w:spacing w:line="360" w:lineRule="auto"/>
              <w:textAlignment w:val="auto"/>
              <w:rPr>
                <w:rFonts w:ascii="宋体" w:cs="宋体"/>
                <w:color w:val="auto"/>
                <w:sz w:val="24"/>
                <w:szCs w:val="24"/>
              </w:rPr>
            </w:pPr>
            <w:r>
              <w:rPr>
                <w:rFonts w:hint="eastAsia" w:ascii="宋体" w:hAnsi="宋体" w:cs="宋体"/>
                <w:color w:val="auto"/>
                <w:sz w:val="24"/>
                <w:szCs w:val="24"/>
              </w:rPr>
              <w:t>合</w:t>
            </w:r>
          </w:p>
          <w:p>
            <w:pPr>
              <w:widowControl w:val="0"/>
              <w:autoSpaceDE w:val="0"/>
              <w:autoSpaceDN w:val="0"/>
              <w:adjustRightInd w:val="0"/>
              <w:spacing w:line="360" w:lineRule="auto"/>
              <w:textAlignment w:val="auto"/>
              <w:rPr>
                <w:rFonts w:ascii="宋体" w:cs="宋体"/>
                <w:color w:val="auto"/>
                <w:sz w:val="24"/>
                <w:szCs w:val="24"/>
              </w:rPr>
            </w:pPr>
            <w:r>
              <w:rPr>
                <w:rFonts w:hint="eastAsia" w:ascii="宋体" w:hAnsi="宋体" w:cs="宋体"/>
                <w:color w:val="auto"/>
                <w:sz w:val="24"/>
                <w:szCs w:val="24"/>
              </w:rPr>
              <w:t>性</w:t>
            </w:r>
          </w:p>
          <w:p>
            <w:pPr>
              <w:widowControl w:val="0"/>
              <w:autoSpaceDE w:val="0"/>
              <w:autoSpaceDN w:val="0"/>
              <w:adjustRightInd w:val="0"/>
              <w:spacing w:line="360" w:lineRule="auto"/>
              <w:textAlignment w:val="auto"/>
              <w:rPr>
                <w:rFonts w:ascii="宋体" w:cs="宋体"/>
                <w:color w:val="auto"/>
                <w:sz w:val="24"/>
                <w:szCs w:val="24"/>
              </w:rPr>
            </w:pPr>
            <w:r>
              <w:rPr>
                <w:rFonts w:hint="eastAsia" w:ascii="宋体" w:hAnsi="宋体" w:cs="宋体"/>
                <w:color w:val="auto"/>
                <w:sz w:val="24"/>
                <w:szCs w:val="24"/>
              </w:rPr>
              <w:t>审</w:t>
            </w:r>
          </w:p>
          <w:p>
            <w:pPr>
              <w:widowControl w:val="0"/>
              <w:autoSpaceDE w:val="0"/>
              <w:autoSpaceDN w:val="0"/>
              <w:adjustRightInd w:val="0"/>
              <w:spacing w:line="360" w:lineRule="auto"/>
              <w:rPr>
                <w:rFonts w:ascii="黑体" w:hAnsi="黑体" w:eastAsia="黑体" w:cs="楷体_GB2312"/>
                <w:bCs/>
                <w:color w:val="auto"/>
                <w:sz w:val="24"/>
                <w:szCs w:val="24"/>
                <w:lang w:val="zh-CN"/>
              </w:rPr>
            </w:pPr>
            <w:r>
              <w:rPr>
                <w:rFonts w:hint="eastAsia" w:hAnsi="宋体"/>
                <w:color w:val="auto"/>
                <w:sz w:val="24"/>
                <w:szCs w:val="24"/>
              </w:rPr>
              <w:t>查</w:t>
            </w:r>
          </w:p>
        </w:tc>
        <w:tc>
          <w:tcPr>
            <w:tcW w:w="1134" w:type="dxa"/>
            <w:vMerge w:val="restart"/>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r>
              <w:rPr>
                <w:rFonts w:hint="eastAsia" w:hAnsi="宋体"/>
                <w:color w:val="auto"/>
                <w:sz w:val="24"/>
                <w:szCs w:val="24"/>
              </w:rPr>
              <w:t>有效性</w:t>
            </w:r>
          </w:p>
        </w:tc>
        <w:tc>
          <w:tcPr>
            <w:tcW w:w="1701" w:type="dxa"/>
            <w:vAlign w:val="center"/>
          </w:tcPr>
          <w:p>
            <w:pPr>
              <w:widowControl w:val="0"/>
              <w:autoSpaceDE w:val="0"/>
              <w:autoSpaceDN w:val="0"/>
              <w:snapToGrid w:val="0"/>
              <w:spacing w:line="240" w:lineRule="auto"/>
              <w:textAlignment w:val="auto"/>
              <w:rPr>
                <w:rFonts w:ascii="宋体" w:cs="宋体"/>
                <w:color w:val="auto"/>
                <w:sz w:val="24"/>
                <w:szCs w:val="24"/>
              </w:rPr>
            </w:pPr>
            <w:r>
              <w:rPr>
                <w:rFonts w:hint="eastAsia" w:ascii="宋体" w:hAnsi="宋体" w:cs="宋体"/>
                <w:color w:val="auto"/>
                <w:sz w:val="24"/>
                <w:szCs w:val="24"/>
              </w:rPr>
              <w:t>投标人名称</w:t>
            </w:r>
          </w:p>
        </w:tc>
        <w:tc>
          <w:tcPr>
            <w:tcW w:w="5670" w:type="dxa"/>
            <w:vAlign w:val="center"/>
          </w:tcPr>
          <w:p>
            <w:pPr>
              <w:widowControl w:val="0"/>
              <w:autoSpaceDE w:val="0"/>
              <w:autoSpaceDN w:val="0"/>
              <w:snapToGrid w:val="0"/>
              <w:spacing w:line="240" w:lineRule="auto"/>
              <w:jc w:val="left"/>
              <w:textAlignment w:val="auto"/>
              <w:rPr>
                <w:rFonts w:ascii="宋体" w:cs="宋体"/>
                <w:color w:val="auto"/>
                <w:sz w:val="24"/>
                <w:szCs w:val="24"/>
              </w:rPr>
            </w:pPr>
            <w:r>
              <w:rPr>
                <w:rFonts w:hint="eastAsia" w:ascii="宋体" w:hAnsi="宋体" w:cs="宋体"/>
                <w:color w:val="auto"/>
                <w:sz w:val="24"/>
                <w:szCs w:val="24"/>
              </w:rPr>
              <w:t>与营业执照证等证照及签章一致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1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56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1134"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1701" w:type="dxa"/>
            <w:vAlign w:val="center"/>
          </w:tcPr>
          <w:p>
            <w:pPr>
              <w:widowControl w:val="0"/>
              <w:autoSpaceDE w:val="0"/>
              <w:autoSpaceDN w:val="0"/>
              <w:snapToGrid w:val="0"/>
              <w:spacing w:line="240" w:lineRule="auto"/>
              <w:textAlignment w:val="auto"/>
              <w:rPr>
                <w:rFonts w:ascii="宋体" w:cs="宋体"/>
                <w:color w:val="auto"/>
                <w:sz w:val="24"/>
                <w:szCs w:val="24"/>
              </w:rPr>
            </w:pPr>
            <w:r>
              <w:rPr>
                <w:rFonts w:hint="eastAsia" w:ascii="宋体" w:hAnsi="宋体" w:cs="宋体"/>
                <w:color w:val="auto"/>
                <w:sz w:val="24"/>
                <w:szCs w:val="24"/>
              </w:rPr>
              <w:t>签字或盖章</w:t>
            </w:r>
          </w:p>
        </w:tc>
        <w:tc>
          <w:tcPr>
            <w:tcW w:w="5670" w:type="dxa"/>
            <w:vAlign w:val="center"/>
          </w:tcPr>
          <w:p>
            <w:pPr>
              <w:widowControl w:val="0"/>
              <w:autoSpaceDE w:val="0"/>
              <w:autoSpaceDN w:val="0"/>
              <w:snapToGrid w:val="0"/>
              <w:spacing w:line="240" w:lineRule="auto"/>
              <w:jc w:val="left"/>
              <w:textAlignment w:val="auto"/>
              <w:rPr>
                <w:rFonts w:ascii="宋体" w:cs="宋体"/>
                <w:color w:val="auto"/>
                <w:sz w:val="24"/>
                <w:szCs w:val="24"/>
              </w:rPr>
            </w:pPr>
            <w:r>
              <w:rPr>
                <w:rFonts w:hint="eastAsia" w:ascii="宋体" w:hAnsi="宋体" w:cs="宋体"/>
                <w:color w:val="auto"/>
                <w:sz w:val="24"/>
                <w:szCs w:val="24"/>
              </w:rPr>
              <w:t>符合第三章“投标人须知”</w:t>
            </w:r>
            <w:r>
              <w:rPr>
                <w:rFonts w:ascii="宋体" w:hAnsi="宋体" w:cs="宋体"/>
                <w:color w:val="auto"/>
                <w:sz w:val="24"/>
                <w:szCs w:val="24"/>
              </w:rPr>
              <w:t>3.7.</w:t>
            </w:r>
            <w:r>
              <w:rPr>
                <w:rFonts w:hint="eastAsia" w:ascii="宋体" w:hAnsi="宋体" w:cs="宋体"/>
                <w:color w:val="auto"/>
                <w:sz w:val="24"/>
                <w:szCs w:val="24"/>
              </w:rPr>
              <w:t>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1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56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1134" w:type="dxa"/>
            <w:vAlign w:val="center"/>
          </w:tcPr>
          <w:p>
            <w:pPr>
              <w:widowControl w:val="0"/>
              <w:autoSpaceDE w:val="0"/>
              <w:autoSpaceDN w:val="0"/>
              <w:snapToGrid w:val="0"/>
              <w:spacing w:line="240" w:lineRule="auto"/>
              <w:textAlignment w:val="auto"/>
              <w:rPr>
                <w:rFonts w:ascii="宋体" w:cs="宋体"/>
                <w:color w:val="auto"/>
                <w:sz w:val="24"/>
                <w:szCs w:val="24"/>
              </w:rPr>
            </w:pPr>
            <w:r>
              <w:rPr>
                <w:rFonts w:hint="eastAsia" w:ascii="宋体" w:hAnsi="宋体" w:cs="宋体"/>
                <w:color w:val="auto"/>
                <w:sz w:val="24"/>
                <w:szCs w:val="24"/>
              </w:rPr>
              <w:t>完整性</w:t>
            </w:r>
          </w:p>
        </w:tc>
        <w:tc>
          <w:tcPr>
            <w:tcW w:w="1701" w:type="dxa"/>
            <w:vAlign w:val="center"/>
          </w:tcPr>
          <w:p>
            <w:pPr>
              <w:widowControl w:val="0"/>
              <w:autoSpaceDE w:val="0"/>
              <w:autoSpaceDN w:val="0"/>
              <w:snapToGrid w:val="0"/>
              <w:spacing w:line="240" w:lineRule="auto"/>
              <w:textAlignment w:val="auto"/>
              <w:rPr>
                <w:rFonts w:ascii="宋体" w:cs="宋体"/>
                <w:color w:val="auto"/>
                <w:sz w:val="24"/>
                <w:szCs w:val="24"/>
              </w:rPr>
            </w:pPr>
            <w:r>
              <w:rPr>
                <w:rFonts w:hint="eastAsia" w:ascii="宋体" w:hAnsi="宋体" w:cs="宋体"/>
                <w:color w:val="auto"/>
                <w:sz w:val="24"/>
                <w:szCs w:val="24"/>
              </w:rPr>
              <w:t>投标文件组成</w:t>
            </w:r>
          </w:p>
        </w:tc>
        <w:tc>
          <w:tcPr>
            <w:tcW w:w="5670" w:type="dxa"/>
            <w:vAlign w:val="center"/>
          </w:tcPr>
          <w:p>
            <w:pPr>
              <w:widowControl w:val="0"/>
              <w:autoSpaceDE w:val="0"/>
              <w:autoSpaceDN w:val="0"/>
              <w:snapToGrid w:val="0"/>
              <w:spacing w:line="240" w:lineRule="auto"/>
              <w:jc w:val="left"/>
              <w:textAlignment w:val="auto"/>
              <w:rPr>
                <w:rFonts w:ascii="宋体" w:cs="宋体"/>
                <w:color w:val="auto"/>
                <w:sz w:val="24"/>
                <w:szCs w:val="24"/>
              </w:rPr>
            </w:pPr>
            <w:r>
              <w:rPr>
                <w:rFonts w:hint="eastAsia" w:ascii="宋体" w:hAnsi="宋体" w:cs="宋体"/>
                <w:color w:val="auto"/>
                <w:sz w:val="24"/>
                <w:szCs w:val="24"/>
              </w:rPr>
              <w:t>符合第三章“投标人须知”</w:t>
            </w:r>
            <w:r>
              <w:rPr>
                <w:rFonts w:ascii="宋体" w:hAnsi="宋体" w:cs="宋体"/>
                <w:color w:val="auto"/>
                <w:sz w:val="24"/>
                <w:szCs w:val="24"/>
              </w:rPr>
              <w:t>3.2</w:t>
            </w:r>
            <w:r>
              <w:rPr>
                <w:rFonts w:hint="eastAsia" w:ascii="宋体" w:hAnsi="宋体" w:cs="宋体"/>
                <w:color w:val="auto"/>
                <w:sz w:val="24"/>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1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56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1134" w:type="dxa"/>
            <w:vMerge w:val="restart"/>
            <w:vAlign w:val="center"/>
          </w:tcPr>
          <w:p>
            <w:pPr>
              <w:widowControl w:val="0"/>
              <w:autoSpaceDE w:val="0"/>
              <w:autoSpaceDN w:val="0"/>
              <w:adjustRightInd w:val="0"/>
              <w:spacing w:line="360" w:lineRule="auto"/>
              <w:rPr>
                <w:rFonts w:hAnsi="宋体"/>
                <w:color w:val="auto"/>
                <w:sz w:val="24"/>
                <w:szCs w:val="24"/>
              </w:rPr>
            </w:pPr>
            <w:r>
              <w:rPr>
                <w:rFonts w:hint="eastAsia" w:hAnsi="宋体"/>
                <w:color w:val="auto"/>
                <w:sz w:val="24"/>
                <w:szCs w:val="24"/>
              </w:rPr>
              <w:t>响应</w:t>
            </w:r>
          </w:p>
          <w:p>
            <w:pPr>
              <w:widowControl w:val="0"/>
              <w:autoSpaceDE w:val="0"/>
              <w:autoSpaceDN w:val="0"/>
              <w:adjustRightInd w:val="0"/>
              <w:spacing w:line="360" w:lineRule="auto"/>
              <w:rPr>
                <w:rFonts w:ascii="黑体" w:hAnsi="黑体" w:eastAsia="黑体" w:cs="楷体_GB2312"/>
                <w:bCs/>
                <w:color w:val="auto"/>
                <w:sz w:val="24"/>
                <w:szCs w:val="24"/>
                <w:lang w:val="zh-CN"/>
              </w:rPr>
            </w:pPr>
            <w:r>
              <w:rPr>
                <w:rFonts w:hint="eastAsia" w:hAnsi="宋体"/>
                <w:color w:val="auto"/>
                <w:sz w:val="24"/>
                <w:szCs w:val="24"/>
              </w:rPr>
              <w:t>程度</w:t>
            </w:r>
          </w:p>
        </w:tc>
        <w:tc>
          <w:tcPr>
            <w:tcW w:w="1701" w:type="dxa"/>
            <w:vAlign w:val="center"/>
          </w:tcPr>
          <w:p>
            <w:pPr>
              <w:widowControl w:val="0"/>
              <w:autoSpaceDE w:val="0"/>
              <w:autoSpaceDN w:val="0"/>
              <w:snapToGrid w:val="0"/>
              <w:spacing w:line="240" w:lineRule="auto"/>
              <w:textAlignment w:val="auto"/>
              <w:rPr>
                <w:rFonts w:ascii="宋体" w:cs="宋体"/>
                <w:color w:val="auto"/>
                <w:sz w:val="24"/>
                <w:szCs w:val="24"/>
              </w:rPr>
            </w:pPr>
            <w:r>
              <w:rPr>
                <w:rFonts w:hint="eastAsia" w:ascii="宋体" w:hAnsi="宋体" w:cs="宋体"/>
                <w:color w:val="auto"/>
                <w:sz w:val="24"/>
                <w:szCs w:val="24"/>
              </w:rPr>
              <w:t>投标报价</w:t>
            </w:r>
          </w:p>
        </w:tc>
        <w:tc>
          <w:tcPr>
            <w:tcW w:w="5670" w:type="dxa"/>
            <w:vAlign w:val="center"/>
          </w:tcPr>
          <w:p>
            <w:pPr>
              <w:widowControl w:val="0"/>
              <w:autoSpaceDE w:val="0"/>
              <w:autoSpaceDN w:val="0"/>
              <w:snapToGrid w:val="0"/>
              <w:spacing w:line="240" w:lineRule="auto"/>
              <w:jc w:val="left"/>
              <w:textAlignment w:val="auto"/>
              <w:rPr>
                <w:rFonts w:ascii="宋体" w:cs="宋体"/>
                <w:color w:val="auto"/>
                <w:sz w:val="24"/>
                <w:szCs w:val="24"/>
              </w:rPr>
            </w:pPr>
            <w:r>
              <w:rPr>
                <w:rFonts w:hint="eastAsia" w:ascii="宋体" w:hAnsi="宋体" w:cs="宋体"/>
                <w:color w:val="auto"/>
                <w:sz w:val="24"/>
                <w:szCs w:val="24"/>
              </w:rPr>
              <w:t>符合第二章“招标项目要求及采购需求”</w:t>
            </w:r>
            <w:r>
              <w:rPr>
                <w:rFonts w:ascii="宋体" w:hAnsi="宋体" w:cs="宋体"/>
                <w:color w:val="auto"/>
                <w:sz w:val="24"/>
                <w:szCs w:val="24"/>
              </w:rPr>
              <w:t>1.3</w:t>
            </w:r>
            <w:r>
              <w:rPr>
                <w:rFonts w:hint="eastAsia" w:ascii="宋体" w:hAnsi="宋体" w:cs="宋体"/>
                <w:color w:val="auto"/>
                <w:sz w:val="24"/>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1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56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1134"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1701" w:type="dxa"/>
            <w:vAlign w:val="center"/>
          </w:tcPr>
          <w:p>
            <w:pPr>
              <w:widowControl w:val="0"/>
              <w:autoSpaceDE w:val="0"/>
              <w:autoSpaceDN w:val="0"/>
              <w:snapToGrid w:val="0"/>
              <w:spacing w:line="240" w:lineRule="auto"/>
              <w:textAlignment w:val="auto"/>
              <w:rPr>
                <w:rFonts w:ascii="宋体" w:cs="宋体"/>
                <w:color w:val="auto"/>
                <w:sz w:val="24"/>
                <w:szCs w:val="24"/>
              </w:rPr>
            </w:pPr>
            <w:r>
              <w:rPr>
                <w:rFonts w:hint="eastAsia" w:ascii="宋体" w:hAnsi="宋体" w:cs="宋体"/>
                <w:color w:val="auto"/>
                <w:sz w:val="24"/>
                <w:szCs w:val="24"/>
              </w:rPr>
              <w:t>投标内容</w:t>
            </w:r>
          </w:p>
        </w:tc>
        <w:tc>
          <w:tcPr>
            <w:tcW w:w="5670" w:type="dxa"/>
            <w:vAlign w:val="center"/>
          </w:tcPr>
          <w:p>
            <w:pPr>
              <w:widowControl w:val="0"/>
              <w:autoSpaceDE w:val="0"/>
              <w:autoSpaceDN w:val="0"/>
              <w:snapToGrid w:val="0"/>
              <w:spacing w:line="240" w:lineRule="auto"/>
              <w:jc w:val="left"/>
              <w:textAlignment w:val="auto"/>
              <w:rPr>
                <w:rFonts w:ascii="宋体" w:cs="宋体"/>
                <w:color w:val="auto"/>
                <w:sz w:val="24"/>
                <w:szCs w:val="24"/>
              </w:rPr>
            </w:pPr>
            <w:r>
              <w:rPr>
                <w:rFonts w:hint="eastAsia" w:ascii="宋体" w:hAnsi="宋体" w:cs="宋体"/>
                <w:color w:val="auto"/>
                <w:sz w:val="24"/>
                <w:szCs w:val="24"/>
              </w:rPr>
              <w:t>符合第二章“招标项目要求及采购需求”第</w:t>
            </w:r>
            <w:r>
              <w:rPr>
                <w:rFonts w:ascii="宋体" w:hAnsi="宋体" w:cs="宋体"/>
                <w:color w:val="auto"/>
                <w:sz w:val="24"/>
                <w:szCs w:val="24"/>
              </w:rPr>
              <w:t>2</w:t>
            </w:r>
            <w:r>
              <w:rPr>
                <w:rFonts w:hint="eastAsia" w:ascii="宋体" w:hAnsi="宋体" w:cs="宋体"/>
                <w:color w:val="auto"/>
                <w:sz w:val="24"/>
                <w:szCs w:val="24"/>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1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56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1134"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1701" w:type="dxa"/>
            <w:vAlign w:val="center"/>
          </w:tcPr>
          <w:p>
            <w:pPr>
              <w:widowControl w:val="0"/>
              <w:autoSpaceDE w:val="0"/>
              <w:autoSpaceDN w:val="0"/>
              <w:snapToGrid w:val="0"/>
              <w:spacing w:line="240" w:lineRule="auto"/>
              <w:textAlignment w:val="auto"/>
              <w:rPr>
                <w:rFonts w:ascii="宋体" w:cs="宋体"/>
                <w:color w:val="auto"/>
                <w:sz w:val="24"/>
                <w:szCs w:val="24"/>
              </w:rPr>
            </w:pPr>
            <w:r>
              <w:rPr>
                <w:rFonts w:hint="eastAsia" w:ascii="宋体" w:hAnsi="宋体" w:cs="宋体"/>
                <w:color w:val="auto"/>
                <w:sz w:val="24"/>
                <w:szCs w:val="24"/>
              </w:rPr>
              <w:t>交付（实施）期</w:t>
            </w:r>
          </w:p>
        </w:tc>
        <w:tc>
          <w:tcPr>
            <w:tcW w:w="5670" w:type="dxa"/>
            <w:vAlign w:val="center"/>
          </w:tcPr>
          <w:p>
            <w:pPr>
              <w:widowControl w:val="0"/>
              <w:autoSpaceDE w:val="0"/>
              <w:autoSpaceDN w:val="0"/>
              <w:snapToGrid w:val="0"/>
              <w:spacing w:line="240" w:lineRule="auto"/>
              <w:jc w:val="left"/>
              <w:textAlignment w:val="auto"/>
              <w:rPr>
                <w:rFonts w:ascii="宋体" w:cs="宋体"/>
                <w:color w:val="auto"/>
                <w:sz w:val="24"/>
                <w:szCs w:val="24"/>
              </w:rPr>
            </w:pPr>
            <w:r>
              <w:rPr>
                <w:rFonts w:hint="eastAsia" w:ascii="宋体" w:hAnsi="宋体" w:cs="宋体"/>
                <w:color w:val="auto"/>
                <w:sz w:val="24"/>
                <w:szCs w:val="24"/>
              </w:rPr>
              <w:t>符合第二章“招标项目要求及采购需求”</w:t>
            </w:r>
            <w:r>
              <w:rPr>
                <w:rFonts w:ascii="宋体" w:hAnsi="宋体" w:cs="宋体"/>
                <w:color w:val="auto"/>
                <w:sz w:val="24"/>
                <w:szCs w:val="24"/>
              </w:rPr>
              <w:t>1.2</w:t>
            </w:r>
            <w:r>
              <w:rPr>
                <w:rFonts w:hint="eastAsia" w:ascii="宋体" w:hAnsi="宋体" w:cs="宋体"/>
                <w:color w:val="auto"/>
                <w:sz w:val="24"/>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56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1134"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1701" w:type="dxa"/>
            <w:vAlign w:val="center"/>
          </w:tcPr>
          <w:p>
            <w:pPr>
              <w:widowControl w:val="0"/>
              <w:autoSpaceDE w:val="0"/>
              <w:autoSpaceDN w:val="0"/>
              <w:snapToGrid w:val="0"/>
              <w:spacing w:line="240" w:lineRule="auto"/>
              <w:textAlignment w:val="auto"/>
              <w:rPr>
                <w:rFonts w:ascii="宋体" w:cs="宋体"/>
                <w:color w:val="auto"/>
                <w:sz w:val="24"/>
                <w:szCs w:val="24"/>
              </w:rPr>
            </w:pPr>
            <w:r>
              <w:rPr>
                <w:rFonts w:hint="eastAsia" w:ascii="宋体" w:hAnsi="宋体" w:cs="宋体"/>
                <w:color w:val="auto"/>
                <w:sz w:val="24"/>
                <w:szCs w:val="24"/>
              </w:rPr>
              <w:t>技术要求</w:t>
            </w:r>
          </w:p>
        </w:tc>
        <w:tc>
          <w:tcPr>
            <w:tcW w:w="5670" w:type="dxa"/>
            <w:vAlign w:val="center"/>
          </w:tcPr>
          <w:p>
            <w:pPr>
              <w:widowControl w:val="0"/>
              <w:autoSpaceDE w:val="0"/>
              <w:autoSpaceDN w:val="0"/>
              <w:snapToGrid w:val="0"/>
              <w:spacing w:line="240" w:lineRule="auto"/>
              <w:jc w:val="left"/>
              <w:textAlignment w:val="auto"/>
              <w:rPr>
                <w:rFonts w:ascii="宋体" w:cs="宋体"/>
                <w:color w:val="auto"/>
                <w:sz w:val="24"/>
                <w:szCs w:val="24"/>
              </w:rPr>
            </w:pPr>
            <w:r>
              <w:rPr>
                <w:rFonts w:hint="eastAsia" w:ascii="宋体" w:hAnsi="宋体" w:cs="宋体"/>
                <w:color w:val="auto"/>
                <w:sz w:val="24"/>
                <w:szCs w:val="24"/>
              </w:rPr>
              <w:t>符合第二章“招标项目要求及采购需求”第</w:t>
            </w:r>
            <w:r>
              <w:rPr>
                <w:rFonts w:ascii="宋体" w:hAnsi="宋体" w:cs="宋体"/>
                <w:color w:val="auto"/>
                <w:sz w:val="24"/>
                <w:szCs w:val="24"/>
              </w:rPr>
              <w:t>2</w:t>
            </w:r>
            <w:r>
              <w:rPr>
                <w:rFonts w:hint="eastAsia" w:ascii="宋体" w:hAnsi="宋体" w:cs="宋体"/>
                <w:color w:val="auto"/>
                <w:sz w:val="24"/>
                <w:szCs w:val="24"/>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1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56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1134"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1701" w:type="dxa"/>
            <w:vAlign w:val="center"/>
          </w:tcPr>
          <w:p>
            <w:pPr>
              <w:widowControl w:val="0"/>
              <w:autoSpaceDE w:val="0"/>
              <w:autoSpaceDN w:val="0"/>
              <w:snapToGrid w:val="0"/>
              <w:spacing w:line="240" w:lineRule="auto"/>
              <w:textAlignment w:val="auto"/>
              <w:rPr>
                <w:rFonts w:ascii="宋体" w:cs="宋体"/>
                <w:color w:val="auto"/>
                <w:sz w:val="24"/>
                <w:szCs w:val="24"/>
              </w:rPr>
            </w:pPr>
            <w:r>
              <w:rPr>
                <w:rFonts w:hint="eastAsia" w:ascii="宋体" w:hAnsi="宋体" w:cs="宋体"/>
                <w:color w:val="auto"/>
                <w:sz w:val="24"/>
                <w:szCs w:val="24"/>
              </w:rPr>
              <w:t>售后服务</w:t>
            </w:r>
          </w:p>
        </w:tc>
        <w:tc>
          <w:tcPr>
            <w:tcW w:w="5670" w:type="dxa"/>
            <w:vAlign w:val="center"/>
          </w:tcPr>
          <w:p>
            <w:pPr>
              <w:widowControl w:val="0"/>
              <w:autoSpaceDE w:val="0"/>
              <w:autoSpaceDN w:val="0"/>
              <w:snapToGrid w:val="0"/>
              <w:spacing w:line="240" w:lineRule="auto"/>
              <w:jc w:val="left"/>
              <w:textAlignment w:val="auto"/>
              <w:rPr>
                <w:rFonts w:ascii="宋体" w:cs="宋体"/>
                <w:color w:val="auto"/>
                <w:sz w:val="24"/>
                <w:szCs w:val="24"/>
              </w:rPr>
            </w:pPr>
            <w:r>
              <w:rPr>
                <w:rFonts w:hint="eastAsia" w:ascii="宋体" w:hAnsi="宋体" w:cs="宋体"/>
                <w:color w:val="auto"/>
                <w:sz w:val="24"/>
                <w:szCs w:val="24"/>
              </w:rPr>
              <w:t>符合第二章“招标项目要求及采购需求”</w:t>
            </w:r>
            <w:r>
              <w:rPr>
                <w:rFonts w:ascii="宋体" w:hAnsi="宋体" w:cs="宋体"/>
                <w:color w:val="auto"/>
                <w:sz w:val="24"/>
                <w:szCs w:val="24"/>
              </w:rPr>
              <w:t xml:space="preserve"> 2.</w:t>
            </w:r>
            <w:r>
              <w:rPr>
                <w:rFonts w:hint="eastAsia" w:ascii="宋体" w:hAnsi="宋体" w:cs="宋体"/>
                <w:color w:val="auto"/>
                <w:sz w:val="24"/>
                <w:szCs w:val="24"/>
              </w:rPr>
              <w:t>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1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56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1134"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1701" w:type="dxa"/>
            <w:vAlign w:val="center"/>
          </w:tcPr>
          <w:p>
            <w:pPr>
              <w:widowControl w:val="0"/>
              <w:autoSpaceDE w:val="0"/>
              <w:autoSpaceDN w:val="0"/>
              <w:snapToGrid w:val="0"/>
              <w:spacing w:line="240" w:lineRule="auto"/>
              <w:textAlignment w:val="auto"/>
              <w:rPr>
                <w:rFonts w:ascii="宋体" w:cs="宋体"/>
                <w:color w:val="auto"/>
                <w:sz w:val="24"/>
                <w:szCs w:val="24"/>
              </w:rPr>
            </w:pPr>
            <w:r>
              <w:rPr>
                <w:rFonts w:hint="eastAsia" w:ascii="宋体" w:hAnsi="宋体" w:cs="宋体"/>
                <w:color w:val="auto"/>
                <w:sz w:val="24"/>
                <w:szCs w:val="24"/>
              </w:rPr>
              <w:t>投标有效期</w:t>
            </w:r>
          </w:p>
        </w:tc>
        <w:tc>
          <w:tcPr>
            <w:tcW w:w="5670" w:type="dxa"/>
            <w:vAlign w:val="center"/>
          </w:tcPr>
          <w:p>
            <w:pPr>
              <w:widowControl w:val="0"/>
              <w:snapToGrid w:val="0"/>
              <w:spacing w:line="240" w:lineRule="auto"/>
              <w:jc w:val="left"/>
              <w:rPr>
                <w:rFonts w:ascii="宋体"/>
                <w:color w:val="auto"/>
                <w:sz w:val="24"/>
                <w:szCs w:val="24"/>
              </w:rPr>
            </w:pPr>
            <w:r>
              <w:rPr>
                <w:rFonts w:hint="eastAsia" w:ascii="宋体" w:hAnsi="宋体"/>
                <w:color w:val="auto"/>
                <w:sz w:val="24"/>
                <w:szCs w:val="24"/>
              </w:rPr>
              <w:t>符合第</w:t>
            </w:r>
            <w:r>
              <w:rPr>
                <w:rFonts w:hint="eastAsia" w:ascii="宋体" w:hAnsi="宋体"/>
                <w:color w:val="auto"/>
                <w:sz w:val="24"/>
              </w:rPr>
              <w:t>三</w:t>
            </w:r>
            <w:r>
              <w:rPr>
                <w:rFonts w:hint="eastAsia" w:ascii="宋体" w:hAnsi="宋体"/>
                <w:color w:val="auto"/>
                <w:sz w:val="24"/>
                <w:szCs w:val="24"/>
              </w:rPr>
              <w:t>章“投标人须知”</w:t>
            </w:r>
            <w:r>
              <w:rPr>
                <w:rFonts w:ascii="宋体" w:hAnsi="宋体"/>
                <w:color w:val="auto"/>
                <w:sz w:val="24"/>
                <w:szCs w:val="24"/>
              </w:rPr>
              <w:t>3.4</w:t>
            </w:r>
            <w:r>
              <w:rPr>
                <w:rFonts w:hint="eastAsia" w:ascii="宋体" w:hAnsi="宋体"/>
                <w:color w:val="auto"/>
                <w:sz w:val="24"/>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1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56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1134"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1701" w:type="dxa"/>
            <w:vAlign w:val="center"/>
          </w:tcPr>
          <w:p>
            <w:pPr>
              <w:widowControl w:val="0"/>
              <w:autoSpaceDE w:val="0"/>
              <w:autoSpaceDN w:val="0"/>
              <w:snapToGrid w:val="0"/>
              <w:spacing w:line="240" w:lineRule="auto"/>
              <w:textAlignment w:val="auto"/>
              <w:rPr>
                <w:rFonts w:ascii="宋体" w:cs="宋体"/>
                <w:color w:val="auto"/>
                <w:sz w:val="24"/>
                <w:szCs w:val="24"/>
              </w:rPr>
            </w:pPr>
            <w:r>
              <w:rPr>
                <w:rFonts w:hint="eastAsia" w:ascii="宋体" w:hAnsi="宋体" w:cs="宋体"/>
                <w:color w:val="auto"/>
                <w:sz w:val="24"/>
                <w:szCs w:val="24"/>
              </w:rPr>
              <w:t>投标文件格式</w:t>
            </w:r>
          </w:p>
        </w:tc>
        <w:tc>
          <w:tcPr>
            <w:tcW w:w="5670" w:type="dxa"/>
            <w:vAlign w:val="center"/>
          </w:tcPr>
          <w:p>
            <w:pPr>
              <w:widowControl w:val="0"/>
              <w:autoSpaceDE w:val="0"/>
              <w:autoSpaceDN w:val="0"/>
              <w:snapToGrid w:val="0"/>
              <w:spacing w:line="240" w:lineRule="auto"/>
              <w:jc w:val="left"/>
              <w:textAlignment w:val="auto"/>
              <w:rPr>
                <w:rFonts w:ascii="宋体" w:cs="宋体"/>
                <w:color w:val="auto"/>
                <w:sz w:val="24"/>
                <w:szCs w:val="24"/>
              </w:rPr>
            </w:pPr>
            <w:r>
              <w:rPr>
                <w:rFonts w:hint="eastAsia" w:ascii="宋体" w:hAnsi="宋体" w:cs="宋体"/>
                <w:color w:val="auto"/>
                <w:sz w:val="24"/>
                <w:szCs w:val="24"/>
              </w:rPr>
              <w:t>符合第六章“投标文件格式”规定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1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56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1134"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1701" w:type="dxa"/>
            <w:vAlign w:val="center"/>
          </w:tcPr>
          <w:p>
            <w:pPr>
              <w:widowControl w:val="0"/>
              <w:autoSpaceDE w:val="0"/>
              <w:autoSpaceDN w:val="0"/>
              <w:snapToGrid w:val="0"/>
              <w:spacing w:line="240" w:lineRule="auto"/>
              <w:textAlignment w:val="auto"/>
              <w:rPr>
                <w:rFonts w:ascii="宋体" w:cs="宋体"/>
                <w:color w:val="auto"/>
                <w:sz w:val="24"/>
                <w:szCs w:val="24"/>
              </w:rPr>
            </w:pPr>
            <w:r>
              <w:rPr>
                <w:rFonts w:hint="eastAsia" w:ascii="宋体" w:hAnsi="宋体" w:cs="宋体"/>
                <w:color w:val="auto"/>
                <w:sz w:val="24"/>
                <w:szCs w:val="24"/>
              </w:rPr>
              <w:t>付款</w:t>
            </w:r>
          </w:p>
        </w:tc>
        <w:tc>
          <w:tcPr>
            <w:tcW w:w="5670" w:type="dxa"/>
            <w:vAlign w:val="center"/>
          </w:tcPr>
          <w:p>
            <w:pPr>
              <w:widowControl w:val="0"/>
              <w:snapToGrid w:val="0"/>
              <w:spacing w:line="240" w:lineRule="auto"/>
              <w:jc w:val="left"/>
              <w:rPr>
                <w:rFonts w:ascii="宋体"/>
                <w:color w:val="auto"/>
                <w:sz w:val="24"/>
                <w:szCs w:val="24"/>
              </w:rPr>
            </w:pPr>
            <w:r>
              <w:rPr>
                <w:rFonts w:hint="eastAsia" w:ascii="宋体" w:hAnsi="宋体"/>
                <w:color w:val="auto"/>
                <w:sz w:val="24"/>
                <w:szCs w:val="24"/>
              </w:rPr>
              <w:t>符合第三章“投标人须知”第</w:t>
            </w:r>
            <w:r>
              <w:rPr>
                <w:rFonts w:ascii="宋体" w:hAnsi="宋体"/>
                <w:color w:val="auto"/>
                <w:sz w:val="24"/>
                <w:szCs w:val="24"/>
              </w:rPr>
              <w:t>10</w:t>
            </w:r>
            <w:r>
              <w:rPr>
                <w:rFonts w:hint="eastAsia" w:ascii="宋体" w:hAnsi="宋体"/>
                <w:color w:val="auto"/>
                <w:sz w:val="24"/>
                <w:szCs w:val="24"/>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1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56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1134"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1701" w:type="dxa"/>
            <w:vAlign w:val="center"/>
          </w:tcPr>
          <w:p>
            <w:pPr>
              <w:widowControl w:val="0"/>
              <w:autoSpaceDE w:val="0"/>
              <w:autoSpaceDN w:val="0"/>
              <w:snapToGrid w:val="0"/>
              <w:spacing w:line="240" w:lineRule="auto"/>
              <w:textAlignment w:val="auto"/>
              <w:rPr>
                <w:rFonts w:ascii="宋体" w:cs="宋体"/>
                <w:color w:val="auto"/>
                <w:sz w:val="24"/>
                <w:szCs w:val="24"/>
              </w:rPr>
            </w:pPr>
            <w:r>
              <w:rPr>
                <w:rFonts w:hint="eastAsia" w:ascii="宋体" w:hAnsi="宋体" w:cs="宋体"/>
                <w:color w:val="auto"/>
                <w:sz w:val="24"/>
                <w:szCs w:val="24"/>
              </w:rPr>
              <w:t>偏差描述</w:t>
            </w:r>
          </w:p>
        </w:tc>
        <w:tc>
          <w:tcPr>
            <w:tcW w:w="5670" w:type="dxa"/>
            <w:vAlign w:val="center"/>
          </w:tcPr>
          <w:p>
            <w:pPr>
              <w:widowControl w:val="0"/>
              <w:snapToGrid w:val="0"/>
              <w:spacing w:line="240" w:lineRule="auto"/>
              <w:jc w:val="left"/>
              <w:rPr>
                <w:rFonts w:ascii="宋体"/>
                <w:color w:val="auto"/>
                <w:sz w:val="24"/>
                <w:szCs w:val="24"/>
              </w:rPr>
            </w:pPr>
            <w:r>
              <w:rPr>
                <w:rFonts w:hint="eastAsia" w:ascii="宋体" w:hAnsi="宋体"/>
                <w:color w:val="auto"/>
                <w:sz w:val="24"/>
                <w:szCs w:val="24"/>
              </w:rPr>
              <w:t>符合第三章“投标人须知”</w:t>
            </w:r>
            <w:r>
              <w:rPr>
                <w:rFonts w:ascii="宋体" w:hAnsi="宋体"/>
                <w:color w:val="auto"/>
                <w:sz w:val="24"/>
                <w:szCs w:val="24"/>
              </w:rPr>
              <w:t>3.7.3</w:t>
            </w:r>
            <w:r>
              <w:rPr>
                <w:rFonts w:hint="eastAsia" w:ascii="宋体" w:hAnsi="宋体"/>
                <w:color w:val="auto"/>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56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1134"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1701" w:type="dxa"/>
            <w:vAlign w:val="center"/>
          </w:tcPr>
          <w:p>
            <w:pPr>
              <w:widowControl w:val="0"/>
              <w:snapToGrid w:val="0"/>
              <w:spacing w:line="240" w:lineRule="auto"/>
              <w:rPr>
                <w:rFonts w:ascii="宋体"/>
                <w:color w:val="auto"/>
                <w:sz w:val="24"/>
                <w:szCs w:val="24"/>
              </w:rPr>
            </w:pPr>
            <w:r>
              <w:rPr>
                <w:rFonts w:hint="eastAsia"/>
                <w:color w:val="auto"/>
                <w:sz w:val="24"/>
                <w:szCs w:val="24"/>
              </w:rPr>
              <w:t>招标</w:t>
            </w:r>
            <w:r>
              <w:rPr>
                <w:rFonts w:hint="eastAsia" w:ascii="宋体" w:hAnsi="宋体"/>
                <w:color w:val="auto"/>
                <w:sz w:val="24"/>
                <w:szCs w:val="24"/>
              </w:rPr>
              <w:t>文件总体响应</w:t>
            </w:r>
          </w:p>
        </w:tc>
        <w:tc>
          <w:tcPr>
            <w:tcW w:w="5670" w:type="dxa"/>
            <w:vAlign w:val="center"/>
          </w:tcPr>
          <w:p>
            <w:pPr>
              <w:widowControl w:val="0"/>
              <w:autoSpaceDE w:val="0"/>
              <w:autoSpaceDN w:val="0"/>
              <w:snapToGrid w:val="0"/>
              <w:spacing w:line="240" w:lineRule="auto"/>
              <w:jc w:val="left"/>
              <w:rPr>
                <w:rFonts w:ascii="宋体"/>
                <w:color w:val="auto"/>
                <w:sz w:val="24"/>
                <w:szCs w:val="24"/>
              </w:rPr>
            </w:pPr>
            <w:r>
              <w:rPr>
                <w:rFonts w:hint="eastAsia" w:ascii="宋体" w:hAnsi="宋体"/>
                <w:color w:val="auto"/>
                <w:sz w:val="24"/>
                <w:szCs w:val="24"/>
              </w:rPr>
              <w:t>符合第三章“投标人须知”</w:t>
            </w:r>
            <w:r>
              <w:rPr>
                <w:rFonts w:ascii="宋体" w:hAnsi="宋体"/>
                <w:color w:val="auto"/>
                <w:sz w:val="24"/>
                <w:szCs w:val="24"/>
              </w:rPr>
              <w:t>1.3</w:t>
            </w:r>
            <w:r>
              <w:rPr>
                <w:rFonts w:hint="eastAsia" w:ascii="宋体" w:hAnsi="宋体"/>
                <w:color w:val="auto"/>
                <w:sz w:val="24"/>
                <w:szCs w:val="24"/>
              </w:rPr>
              <w:t>项规定</w:t>
            </w:r>
          </w:p>
        </w:tc>
      </w:tr>
    </w:tbl>
    <w:p>
      <w:pPr>
        <w:autoSpaceDE w:val="0"/>
        <w:autoSpaceDN w:val="0"/>
        <w:adjustRightInd w:val="0"/>
        <w:snapToGrid w:val="0"/>
        <w:spacing w:beforeLines="50" w:line="300" w:lineRule="auto"/>
        <w:ind w:firstLine="539"/>
        <w:rPr>
          <w:rFonts w:ascii="宋体" w:hAnsi="宋体" w:cs="楷体_GB2312"/>
          <w:b/>
          <w:color w:val="auto"/>
          <w:sz w:val="24"/>
          <w:lang w:val="zh-CN"/>
        </w:rPr>
      </w:pPr>
    </w:p>
    <w:p>
      <w:pPr>
        <w:autoSpaceDE w:val="0"/>
        <w:autoSpaceDN w:val="0"/>
        <w:adjustRightInd w:val="0"/>
        <w:snapToGrid w:val="0"/>
        <w:spacing w:beforeLines="50" w:line="300" w:lineRule="auto"/>
        <w:ind w:firstLine="539"/>
        <w:rPr>
          <w:rFonts w:ascii="宋体" w:hAnsi="宋体" w:cs="楷体_GB2312"/>
          <w:b/>
          <w:color w:val="auto"/>
          <w:sz w:val="24"/>
          <w:lang w:val="zh-CN"/>
        </w:rPr>
      </w:pPr>
    </w:p>
    <w:p>
      <w:pPr>
        <w:autoSpaceDE w:val="0"/>
        <w:autoSpaceDN w:val="0"/>
        <w:adjustRightInd w:val="0"/>
        <w:snapToGrid w:val="0"/>
        <w:spacing w:beforeLines="50" w:line="300" w:lineRule="auto"/>
        <w:ind w:firstLine="539"/>
        <w:rPr>
          <w:rFonts w:ascii="宋体" w:hAnsi="宋体" w:cs="楷体_GB2312"/>
          <w:b/>
          <w:color w:val="auto"/>
          <w:sz w:val="24"/>
          <w:lang w:val="zh-CN"/>
        </w:rPr>
      </w:pPr>
    </w:p>
    <w:p>
      <w:pPr>
        <w:autoSpaceDE w:val="0"/>
        <w:autoSpaceDN w:val="0"/>
        <w:adjustRightInd w:val="0"/>
        <w:snapToGrid w:val="0"/>
        <w:spacing w:beforeLines="50" w:line="300" w:lineRule="auto"/>
        <w:ind w:firstLine="539"/>
        <w:rPr>
          <w:rFonts w:ascii="宋体" w:hAnsi="宋体" w:cs="楷体_GB2312"/>
          <w:b/>
          <w:color w:val="auto"/>
          <w:sz w:val="24"/>
          <w:lang w:val="zh-CN"/>
        </w:rPr>
      </w:pP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br w:type="page"/>
      </w:r>
    </w:p>
    <w:p>
      <w:pPr>
        <w:spacing w:line="500" w:lineRule="exact"/>
        <w:jc w:val="left"/>
        <w:rPr>
          <w:rFonts w:ascii="黑体" w:hAnsi="黑体" w:eastAsia="黑体"/>
          <w:b/>
          <w:color w:val="auto"/>
          <w:sz w:val="28"/>
          <w:szCs w:val="28"/>
        </w:rPr>
      </w:pPr>
      <w:r>
        <w:rPr>
          <w:rFonts w:hint="eastAsia" w:ascii="黑体" w:hAnsi="黑体" w:eastAsia="黑体"/>
          <w:b/>
          <w:color w:val="auto"/>
          <w:sz w:val="28"/>
          <w:szCs w:val="28"/>
        </w:rPr>
        <w:t>评标办法前附表</w:t>
      </w:r>
      <w:r>
        <w:rPr>
          <w:rFonts w:ascii="黑体" w:hAnsi="黑体" w:eastAsia="黑体"/>
          <w:b/>
          <w:color w:val="auto"/>
          <w:sz w:val="28"/>
          <w:szCs w:val="28"/>
        </w:rPr>
        <w:t>------</w:t>
      </w:r>
      <w:r>
        <w:rPr>
          <w:rFonts w:hint="eastAsia" w:ascii="黑体" w:hAnsi="黑体" w:eastAsia="黑体"/>
          <w:b/>
          <w:color w:val="auto"/>
          <w:sz w:val="28"/>
          <w:szCs w:val="28"/>
        </w:rPr>
        <w:t>标段（包）</w:t>
      </w:r>
      <w:r>
        <w:rPr>
          <w:rFonts w:ascii="黑体" w:hAnsi="黑体" w:eastAsia="黑体"/>
          <w:b/>
          <w:color w:val="auto"/>
          <w:sz w:val="28"/>
          <w:szCs w:val="28"/>
        </w:rPr>
        <w:t>1</w:t>
      </w:r>
      <w:r>
        <w:rPr>
          <w:rFonts w:hint="eastAsia" w:ascii="黑体" w:hAnsi="黑体" w:eastAsia="黑体"/>
          <w:b/>
          <w:color w:val="auto"/>
          <w:sz w:val="28"/>
          <w:szCs w:val="28"/>
        </w:rPr>
        <w:t>、2、3分值构成与评分标准</w:t>
      </w:r>
      <w:r>
        <w:rPr>
          <w:rFonts w:ascii="黑体" w:hAnsi="黑体" w:eastAsia="黑体"/>
          <w:b/>
          <w:color w:val="auto"/>
          <w:sz w:val="28"/>
          <w:szCs w:val="28"/>
        </w:rPr>
        <w:t xml:space="preserve"> </w:t>
      </w:r>
    </w:p>
    <w:tbl>
      <w:tblPr>
        <w:tblStyle w:val="19"/>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310"/>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41" w:type="dxa"/>
            <w:vAlign w:val="center"/>
          </w:tcPr>
          <w:p>
            <w:pPr>
              <w:widowControl w:val="0"/>
              <w:autoSpaceDE w:val="0"/>
              <w:autoSpaceDN w:val="0"/>
              <w:adjustRightInd w:val="0"/>
              <w:spacing w:line="276" w:lineRule="auto"/>
              <w:jc w:val="center"/>
              <w:textAlignment w:val="auto"/>
              <w:rPr>
                <w:rFonts w:ascii="宋体" w:hAnsi="宋体" w:cs="宋体"/>
                <w:b/>
                <w:color w:val="auto"/>
                <w:sz w:val="24"/>
                <w:szCs w:val="24"/>
              </w:rPr>
            </w:pPr>
            <w:r>
              <w:rPr>
                <w:rFonts w:hint="eastAsia" w:ascii="宋体" w:hAnsi="宋体" w:cs="宋体"/>
                <w:b/>
                <w:color w:val="auto"/>
                <w:sz w:val="24"/>
                <w:szCs w:val="24"/>
              </w:rPr>
              <w:t>条款号</w:t>
            </w:r>
          </w:p>
        </w:tc>
        <w:tc>
          <w:tcPr>
            <w:tcW w:w="1310" w:type="dxa"/>
            <w:vAlign w:val="center"/>
          </w:tcPr>
          <w:p>
            <w:pPr>
              <w:spacing w:line="276" w:lineRule="auto"/>
              <w:jc w:val="center"/>
              <w:rPr>
                <w:rFonts w:ascii="宋体" w:hAnsi="宋体" w:cs="宋体"/>
                <w:b/>
                <w:color w:val="auto"/>
                <w:sz w:val="24"/>
                <w:szCs w:val="24"/>
              </w:rPr>
            </w:pPr>
            <w:r>
              <w:rPr>
                <w:rFonts w:hint="eastAsia" w:ascii="宋体" w:hAnsi="宋体" w:cs="宋体"/>
                <w:b/>
                <w:color w:val="auto"/>
                <w:sz w:val="24"/>
                <w:szCs w:val="24"/>
              </w:rPr>
              <w:t>条款内容</w:t>
            </w:r>
          </w:p>
        </w:tc>
        <w:tc>
          <w:tcPr>
            <w:tcW w:w="7879" w:type="dxa"/>
            <w:vAlign w:val="center"/>
          </w:tcPr>
          <w:p>
            <w:pPr>
              <w:spacing w:line="276" w:lineRule="auto"/>
              <w:jc w:val="center"/>
              <w:rPr>
                <w:rFonts w:ascii="宋体" w:hAnsi="宋体" w:cs="宋体"/>
                <w:b/>
                <w:color w:val="auto"/>
                <w:sz w:val="24"/>
                <w:szCs w:val="24"/>
              </w:rPr>
            </w:pPr>
            <w:r>
              <w:rPr>
                <w:rFonts w:hint="eastAsia" w:ascii="宋体" w:hAnsi="宋体" w:cs="宋体"/>
                <w:b/>
                <w:color w:val="auto"/>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841" w:type="dxa"/>
            <w:vAlign w:val="center"/>
          </w:tcPr>
          <w:p>
            <w:pPr>
              <w:widowControl w:val="0"/>
              <w:autoSpaceDE w:val="0"/>
              <w:autoSpaceDN w:val="0"/>
              <w:adjustRightInd w:val="0"/>
              <w:spacing w:line="276" w:lineRule="auto"/>
              <w:jc w:val="center"/>
              <w:textAlignment w:val="auto"/>
              <w:rPr>
                <w:rFonts w:ascii="宋体" w:hAnsi="宋体" w:cs="宋体"/>
                <w:color w:val="auto"/>
                <w:sz w:val="24"/>
                <w:szCs w:val="24"/>
              </w:rPr>
            </w:pPr>
            <w:r>
              <w:rPr>
                <w:rFonts w:ascii="宋体" w:hAnsi="宋体" w:cs="宋体"/>
                <w:color w:val="auto"/>
                <w:sz w:val="24"/>
                <w:szCs w:val="24"/>
              </w:rPr>
              <w:t>2.2.1</w:t>
            </w:r>
          </w:p>
        </w:tc>
        <w:tc>
          <w:tcPr>
            <w:tcW w:w="1310" w:type="dxa"/>
            <w:vAlign w:val="center"/>
          </w:tcPr>
          <w:p>
            <w:pPr>
              <w:widowControl w:val="0"/>
              <w:autoSpaceDE w:val="0"/>
              <w:autoSpaceDN w:val="0"/>
              <w:adjustRightInd w:val="0"/>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分值构成</w:t>
            </w:r>
          </w:p>
          <w:p>
            <w:pPr>
              <w:widowControl w:val="0"/>
              <w:autoSpaceDE w:val="0"/>
              <w:autoSpaceDN w:val="0"/>
              <w:adjustRightInd w:val="0"/>
              <w:spacing w:line="276" w:lineRule="auto"/>
              <w:jc w:val="center"/>
              <w:textAlignment w:val="auto"/>
              <w:rPr>
                <w:rFonts w:ascii="宋体" w:hAnsi="宋体" w:cs="宋体"/>
                <w:color w:val="auto"/>
                <w:sz w:val="24"/>
                <w:szCs w:val="24"/>
              </w:rPr>
            </w:pPr>
          </w:p>
          <w:p>
            <w:pPr>
              <w:widowControl w:val="0"/>
              <w:snapToGrid w:val="0"/>
              <w:spacing w:line="276" w:lineRule="auto"/>
              <w:jc w:val="center"/>
              <w:rPr>
                <w:rFonts w:ascii="宋体" w:hAnsi="宋体"/>
                <w:color w:val="auto"/>
                <w:sz w:val="24"/>
                <w:szCs w:val="24"/>
              </w:rPr>
            </w:pPr>
            <w:r>
              <w:rPr>
                <w:rFonts w:hint="eastAsia" w:ascii="宋体" w:hAnsi="宋体" w:cs="TimesNewRomanPSMT"/>
                <w:color w:val="auto"/>
                <w:sz w:val="24"/>
                <w:szCs w:val="24"/>
              </w:rPr>
              <w:t>（</w:t>
            </w:r>
            <w:r>
              <w:rPr>
                <w:rFonts w:hint="eastAsia" w:ascii="宋体" w:hAnsi="宋体" w:cs="宋体"/>
                <w:color w:val="auto"/>
                <w:sz w:val="24"/>
                <w:szCs w:val="24"/>
              </w:rPr>
              <w:t>总分</w:t>
            </w:r>
            <w:r>
              <w:rPr>
                <w:rFonts w:ascii="宋体" w:hAnsi="宋体" w:cs="TimesNewRomanPSMT"/>
                <w:color w:val="auto"/>
                <w:sz w:val="24"/>
                <w:szCs w:val="24"/>
              </w:rPr>
              <w:t xml:space="preserve">100 </w:t>
            </w:r>
            <w:r>
              <w:rPr>
                <w:rFonts w:hint="eastAsia" w:ascii="宋体" w:hAnsi="宋体" w:cs="宋体"/>
                <w:color w:val="auto"/>
                <w:sz w:val="24"/>
                <w:szCs w:val="24"/>
              </w:rPr>
              <w:t>分）</w:t>
            </w:r>
          </w:p>
        </w:tc>
        <w:tc>
          <w:tcPr>
            <w:tcW w:w="7879" w:type="dxa"/>
            <w:vAlign w:val="center"/>
          </w:tcPr>
          <w:p>
            <w:pPr>
              <w:widowControl w:val="0"/>
              <w:snapToGrid w:val="0"/>
              <w:spacing w:line="276" w:lineRule="auto"/>
              <w:rPr>
                <w:rFonts w:ascii="宋体" w:hAnsi="宋体" w:cs="宋体"/>
                <w:color w:val="auto"/>
                <w:sz w:val="24"/>
                <w:szCs w:val="24"/>
                <w:u w:val="single"/>
              </w:rPr>
            </w:pPr>
            <w:r>
              <w:rPr>
                <w:rFonts w:hint="eastAsia" w:ascii="宋体" w:hAnsi="宋体" w:cs="宋体"/>
                <w:color w:val="auto"/>
                <w:sz w:val="24"/>
                <w:szCs w:val="24"/>
              </w:rPr>
              <w:t>价格：</w:t>
            </w:r>
            <w:r>
              <w:rPr>
                <w:rFonts w:ascii="宋体" w:hAnsi="宋体" w:cs="宋体"/>
                <w:color w:val="auto"/>
                <w:sz w:val="24"/>
                <w:szCs w:val="24"/>
                <w:u w:val="single"/>
              </w:rPr>
              <w:t xml:space="preserve">  </w:t>
            </w:r>
            <w:r>
              <w:rPr>
                <w:rFonts w:hint="eastAsia" w:ascii="宋体" w:hAnsi="宋体" w:cs="宋体"/>
                <w:color w:val="auto"/>
                <w:sz w:val="24"/>
                <w:szCs w:val="24"/>
                <w:u w:val="single"/>
              </w:rPr>
              <w:t>40</w:t>
            </w:r>
            <w:r>
              <w:rPr>
                <w:rFonts w:ascii="宋体" w:hAnsi="宋体" w:cs="宋体"/>
                <w:color w:val="auto"/>
                <w:sz w:val="24"/>
                <w:szCs w:val="24"/>
                <w:u w:val="single"/>
              </w:rPr>
              <w:t xml:space="preserve">  </w:t>
            </w:r>
            <w:r>
              <w:rPr>
                <w:rFonts w:hint="eastAsia" w:ascii="宋体" w:hAnsi="宋体" w:cs="宋体"/>
                <w:color w:val="auto"/>
                <w:sz w:val="24"/>
                <w:szCs w:val="24"/>
              </w:rPr>
              <w:t>分</w:t>
            </w:r>
          </w:p>
          <w:p>
            <w:pPr>
              <w:widowControl w:val="0"/>
              <w:snapToGrid w:val="0"/>
              <w:spacing w:line="276" w:lineRule="auto"/>
              <w:rPr>
                <w:rFonts w:ascii="宋体" w:hAnsi="宋体" w:cs="宋体"/>
                <w:color w:val="auto"/>
                <w:sz w:val="24"/>
                <w:szCs w:val="24"/>
              </w:rPr>
            </w:pPr>
            <w:r>
              <w:rPr>
                <w:rFonts w:hint="eastAsia" w:ascii="宋体" w:hAnsi="宋体" w:cs="宋体"/>
                <w:color w:val="auto"/>
                <w:sz w:val="24"/>
                <w:szCs w:val="24"/>
              </w:rPr>
              <w:t>技术：</w:t>
            </w:r>
            <w:r>
              <w:rPr>
                <w:rFonts w:ascii="宋体" w:hAnsi="宋体" w:cs="宋体"/>
                <w:color w:val="auto"/>
                <w:sz w:val="24"/>
                <w:szCs w:val="24"/>
                <w:u w:val="single"/>
              </w:rPr>
              <w:t xml:space="preserve"> </w:t>
            </w:r>
            <w:r>
              <w:rPr>
                <w:rFonts w:hint="eastAsia" w:ascii="宋体" w:hAnsi="宋体" w:cs="宋体"/>
                <w:color w:val="auto"/>
                <w:sz w:val="24"/>
                <w:szCs w:val="24"/>
                <w:u w:val="single"/>
              </w:rPr>
              <w:t>39</w:t>
            </w:r>
            <w:r>
              <w:rPr>
                <w:rFonts w:ascii="宋体" w:hAnsi="宋体" w:cs="宋体"/>
                <w:color w:val="auto"/>
                <w:sz w:val="24"/>
                <w:szCs w:val="24"/>
                <w:u w:val="single"/>
              </w:rPr>
              <w:t xml:space="preserve"> </w:t>
            </w:r>
            <w:r>
              <w:rPr>
                <w:rFonts w:hint="eastAsia" w:ascii="宋体" w:hAnsi="宋体" w:cs="宋体"/>
                <w:color w:val="auto"/>
                <w:sz w:val="24"/>
                <w:szCs w:val="24"/>
              </w:rPr>
              <w:t>分</w:t>
            </w:r>
          </w:p>
          <w:p>
            <w:pPr>
              <w:widowControl w:val="0"/>
              <w:snapToGrid w:val="0"/>
              <w:spacing w:line="276" w:lineRule="auto"/>
              <w:rPr>
                <w:rFonts w:ascii="宋体" w:hAnsi="宋体" w:cs="宋体"/>
                <w:color w:val="auto"/>
                <w:sz w:val="24"/>
                <w:szCs w:val="24"/>
              </w:rPr>
            </w:pPr>
            <w:r>
              <w:rPr>
                <w:rFonts w:hint="eastAsia" w:ascii="宋体" w:hAnsi="宋体" w:cs="宋体"/>
                <w:color w:val="auto"/>
                <w:sz w:val="24"/>
                <w:szCs w:val="24"/>
              </w:rPr>
              <w:t>履约能力：</w:t>
            </w:r>
            <w:r>
              <w:rPr>
                <w:rFonts w:ascii="宋体" w:hAnsi="宋体" w:cs="宋体"/>
                <w:color w:val="auto"/>
                <w:sz w:val="24"/>
                <w:szCs w:val="24"/>
                <w:u w:val="single"/>
              </w:rPr>
              <w:t xml:space="preserve"> </w:t>
            </w:r>
            <w:r>
              <w:rPr>
                <w:rFonts w:hint="eastAsia" w:ascii="宋体" w:hAnsi="宋体" w:cs="宋体"/>
                <w:color w:val="auto"/>
                <w:sz w:val="24"/>
                <w:szCs w:val="24"/>
                <w:u w:val="single"/>
              </w:rPr>
              <w:t>12</w:t>
            </w:r>
            <w:r>
              <w:rPr>
                <w:rFonts w:ascii="宋体" w:hAnsi="宋体" w:cs="宋体"/>
                <w:color w:val="auto"/>
                <w:sz w:val="24"/>
                <w:szCs w:val="24"/>
                <w:u w:val="single"/>
              </w:rPr>
              <w:t xml:space="preserve"> </w:t>
            </w:r>
            <w:r>
              <w:rPr>
                <w:rFonts w:hint="eastAsia" w:ascii="宋体" w:hAnsi="宋体" w:cs="宋体"/>
                <w:color w:val="auto"/>
                <w:sz w:val="24"/>
                <w:szCs w:val="24"/>
              </w:rPr>
              <w:t>分</w:t>
            </w:r>
          </w:p>
          <w:p>
            <w:pPr>
              <w:widowControl w:val="0"/>
              <w:snapToGrid w:val="0"/>
              <w:spacing w:line="276" w:lineRule="auto"/>
              <w:rPr>
                <w:rFonts w:ascii="宋体" w:hAnsi="宋体" w:cs="宋体"/>
                <w:color w:val="auto"/>
                <w:sz w:val="24"/>
                <w:szCs w:val="24"/>
              </w:rPr>
            </w:pPr>
            <w:r>
              <w:rPr>
                <w:rFonts w:hint="eastAsia" w:ascii="宋体" w:hAnsi="宋体" w:cs="宋体"/>
                <w:color w:val="auto"/>
                <w:sz w:val="24"/>
                <w:szCs w:val="24"/>
              </w:rPr>
              <w:t>售后服务：</w:t>
            </w:r>
            <w:r>
              <w:rPr>
                <w:rFonts w:ascii="宋体" w:hAnsi="宋体" w:cs="宋体"/>
                <w:color w:val="auto"/>
                <w:sz w:val="24"/>
                <w:szCs w:val="24"/>
                <w:u w:val="single"/>
              </w:rPr>
              <w:t xml:space="preserve"> </w:t>
            </w:r>
            <w:r>
              <w:rPr>
                <w:rFonts w:hint="eastAsia" w:ascii="宋体" w:hAnsi="宋体" w:cs="宋体"/>
                <w:color w:val="auto"/>
                <w:sz w:val="24"/>
                <w:szCs w:val="24"/>
                <w:u w:val="single"/>
              </w:rPr>
              <w:t>9</w:t>
            </w:r>
            <w:r>
              <w:rPr>
                <w:rFonts w:ascii="宋体" w:hAnsi="宋体" w:cs="宋体"/>
                <w:color w:val="auto"/>
                <w:sz w:val="24"/>
                <w:szCs w:val="24"/>
                <w:u w:val="single"/>
              </w:rPr>
              <w:t xml:space="preserve">  </w:t>
            </w:r>
            <w:r>
              <w:rPr>
                <w:rFonts w:hint="eastAsia" w:ascii="宋体" w:hAnsi="宋体" w:cs="宋体"/>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41" w:type="dxa"/>
            <w:vAlign w:val="center"/>
          </w:tcPr>
          <w:p>
            <w:pPr>
              <w:widowControl w:val="0"/>
              <w:autoSpaceDE w:val="0"/>
              <w:autoSpaceDN w:val="0"/>
              <w:adjustRightInd w:val="0"/>
              <w:spacing w:line="276" w:lineRule="auto"/>
              <w:jc w:val="center"/>
              <w:textAlignment w:val="auto"/>
              <w:rPr>
                <w:rFonts w:ascii="宋体" w:hAnsi="宋体" w:cs="宋体"/>
                <w:b/>
                <w:color w:val="auto"/>
                <w:sz w:val="24"/>
                <w:szCs w:val="24"/>
              </w:rPr>
            </w:pPr>
            <w:r>
              <w:rPr>
                <w:rFonts w:hint="eastAsia" w:ascii="宋体" w:hAnsi="宋体" w:cs="宋体"/>
                <w:b/>
                <w:color w:val="auto"/>
                <w:sz w:val="24"/>
                <w:szCs w:val="24"/>
              </w:rPr>
              <w:t>条款号</w:t>
            </w:r>
          </w:p>
        </w:tc>
        <w:tc>
          <w:tcPr>
            <w:tcW w:w="1310" w:type="dxa"/>
            <w:vAlign w:val="center"/>
          </w:tcPr>
          <w:p>
            <w:pPr>
              <w:widowControl w:val="0"/>
              <w:snapToGrid w:val="0"/>
              <w:spacing w:line="276" w:lineRule="auto"/>
              <w:ind w:hanging="13"/>
              <w:jc w:val="center"/>
              <w:rPr>
                <w:rFonts w:ascii="宋体" w:hAnsi="宋体" w:cs="宋体"/>
                <w:b/>
                <w:color w:val="auto"/>
                <w:sz w:val="24"/>
                <w:szCs w:val="24"/>
              </w:rPr>
            </w:pPr>
            <w:r>
              <w:rPr>
                <w:rFonts w:hint="eastAsia" w:ascii="宋体" w:hAnsi="宋体" w:cs="宋体"/>
                <w:b/>
                <w:color w:val="auto"/>
                <w:sz w:val="24"/>
                <w:szCs w:val="24"/>
              </w:rPr>
              <w:t>评分因素</w:t>
            </w:r>
          </w:p>
        </w:tc>
        <w:tc>
          <w:tcPr>
            <w:tcW w:w="7879" w:type="dxa"/>
            <w:vAlign w:val="center"/>
          </w:tcPr>
          <w:p>
            <w:pPr>
              <w:widowControl w:val="0"/>
              <w:snapToGrid w:val="0"/>
              <w:spacing w:line="276" w:lineRule="auto"/>
              <w:jc w:val="center"/>
              <w:rPr>
                <w:rFonts w:ascii="宋体" w:hAnsi="宋体" w:cs="宋体"/>
                <w:b/>
                <w:color w:val="auto"/>
                <w:sz w:val="24"/>
                <w:szCs w:val="24"/>
              </w:rPr>
            </w:pPr>
            <w:r>
              <w:rPr>
                <w:rFonts w:hint="eastAsia" w:ascii="宋体" w:hAnsi="宋体" w:cs="宋体"/>
                <w:b/>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41" w:type="dxa"/>
            <w:vAlign w:val="center"/>
          </w:tcPr>
          <w:p>
            <w:pPr>
              <w:widowControl w:val="0"/>
              <w:autoSpaceDE w:val="0"/>
              <w:autoSpaceDN w:val="0"/>
              <w:adjustRightInd w:val="0"/>
              <w:spacing w:line="276" w:lineRule="auto"/>
              <w:jc w:val="center"/>
              <w:textAlignment w:val="auto"/>
              <w:rPr>
                <w:rFonts w:ascii="宋体" w:hAnsi="宋体" w:cs="宋体"/>
                <w:color w:val="auto"/>
                <w:sz w:val="24"/>
                <w:szCs w:val="24"/>
              </w:rPr>
            </w:pPr>
            <w:r>
              <w:rPr>
                <w:rFonts w:ascii="宋体" w:hAnsi="宋体" w:cs="宋体"/>
                <w:color w:val="auto"/>
                <w:sz w:val="24"/>
                <w:szCs w:val="24"/>
              </w:rPr>
              <w:t>2.2.2.1</w:t>
            </w:r>
          </w:p>
        </w:tc>
        <w:tc>
          <w:tcPr>
            <w:tcW w:w="1310" w:type="dxa"/>
            <w:vAlign w:val="center"/>
          </w:tcPr>
          <w:p>
            <w:pPr>
              <w:widowControl w:val="0"/>
              <w:autoSpaceDE w:val="0"/>
              <w:autoSpaceDN w:val="0"/>
              <w:adjustRightInd w:val="0"/>
              <w:snapToGrid w:val="0"/>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价格</w:t>
            </w:r>
          </w:p>
        </w:tc>
        <w:tc>
          <w:tcPr>
            <w:tcW w:w="7879" w:type="dxa"/>
            <w:vAlign w:val="center"/>
          </w:tcPr>
          <w:p>
            <w:pPr>
              <w:widowControl w:val="0"/>
              <w:snapToGrid w:val="0"/>
              <w:spacing w:line="276" w:lineRule="auto"/>
              <w:ind w:firstLine="555"/>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）按第四章“评标办法”第</w:t>
            </w:r>
            <w:r>
              <w:rPr>
                <w:rFonts w:ascii="宋体" w:hAnsi="宋体"/>
                <w:color w:val="auto"/>
                <w:sz w:val="24"/>
                <w:szCs w:val="24"/>
              </w:rPr>
              <w:t>4</w:t>
            </w:r>
            <w:r>
              <w:rPr>
                <w:rFonts w:hint="eastAsia" w:ascii="宋体" w:hAnsi="宋体"/>
                <w:color w:val="auto"/>
                <w:sz w:val="24"/>
                <w:szCs w:val="24"/>
              </w:rPr>
              <w:t>条规定，评审小微企业价格扣除</w:t>
            </w:r>
          </w:p>
          <w:p>
            <w:pPr>
              <w:widowControl w:val="0"/>
              <w:snapToGrid w:val="0"/>
              <w:spacing w:line="276" w:lineRule="auto"/>
              <w:ind w:firstLine="555"/>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）价格因素评分</w:t>
            </w:r>
          </w:p>
          <w:p>
            <w:pPr>
              <w:widowControl w:val="0"/>
              <w:snapToGrid w:val="0"/>
              <w:spacing w:line="276" w:lineRule="auto"/>
              <w:ind w:firstLine="555"/>
              <w:rPr>
                <w:rFonts w:ascii="宋体" w:hAnsi="宋体"/>
                <w:color w:val="auto"/>
                <w:sz w:val="24"/>
                <w:szCs w:val="24"/>
              </w:rPr>
            </w:pPr>
            <w:r>
              <w:rPr>
                <w:rFonts w:hint="eastAsia" w:ascii="宋体" w:hAnsi="宋体"/>
                <w:color w:val="auto"/>
                <w:sz w:val="24"/>
                <w:szCs w:val="24"/>
              </w:rPr>
              <w:t>所有有效投标人的投标报价（扣除经评审合格的“价格扣除”）中，价格最低的投标报价（扣除经评审合格的“价格扣除”）为评标基准值。</w:t>
            </w:r>
          </w:p>
          <w:p>
            <w:pPr>
              <w:widowControl w:val="0"/>
              <w:snapToGrid w:val="0"/>
              <w:spacing w:line="276" w:lineRule="auto"/>
              <w:ind w:firstLine="555"/>
              <w:rPr>
                <w:rFonts w:ascii="宋体" w:hAnsi="宋体"/>
                <w:color w:val="auto"/>
                <w:sz w:val="24"/>
                <w:szCs w:val="24"/>
              </w:rPr>
            </w:pPr>
            <w:r>
              <w:rPr>
                <w:rFonts w:hint="eastAsia" w:ascii="宋体" w:hAnsi="宋体"/>
                <w:color w:val="auto"/>
                <w:sz w:val="24"/>
                <w:szCs w:val="24"/>
              </w:rPr>
              <w:t>有效投标报价（扣除经评审合格的“价格扣除”）等于评标基准值得:4</w:t>
            </w:r>
            <w:r>
              <w:rPr>
                <w:rFonts w:ascii="宋体" w:hAnsi="宋体"/>
                <w:color w:val="auto"/>
                <w:sz w:val="24"/>
                <w:szCs w:val="24"/>
              </w:rPr>
              <w:t>0</w:t>
            </w:r>
            <w:r>
              <w:rPr>
                <w:rFonts w:hint="eastAsia" w:ascii="宋体" w:hAnsi="宋体"/>
                <w:color w:val="auto"/>
                <w:sz w:val="24"/>
                <w:szCs w:val="24"/>
              </w:rPr>
              <w:t>分。</w:t>
            </w:r>
          </w:p>
          <w:p>
            <w:pPr>
              <w:widowControl w:val="0"/>
              <w:snapToGrid w:val="0"/>
              <w:spacing w:line="276" w:lineRule="auto"/>
              <w:ind w:firstLine="555"/>
              <w:rPr>
                <w:rFonts w:ascii="宋体" w:hAnsi="宋体"/>
                <w:color w:val="auto"/>
                <w:sz w:val="24"/>
                <w:szCs w:val="24"/>
              </w:rPr>
            </w:pPr>
            <w:r>
              <w:rPr>
                <w:rFonts w:hint="eastAsia" w:ascii="宋体" w:hAnsi="宋体"/>
                <w:color w:val="auto"/>
                <w:sz w:val="24"/>
                <w:szCs w:val="24"/>
              </w:rPr>
              <w:t>其他投标人投标报价（扣除经评审合格的“价格扣除”）得分</w:t>
            </w:r>
            <w:r>
              <w:rPr>
                <w:rFonts w:ascii="宋体" w:hAnsi="宋体"/>
                <w:color w:val="auto"/>
                <w:sz w:val="24"/>
                <w:szCs w:val="24"/>
              </w:rPr>
              <w:t>=</w:t>
            </w:r>
            <w:r>
              <w:rPr>
                <w:rFonts w:hint="eastAsia" w:ascii="宋体" w:hAnsi="宋体"/>
                <w:color w:val="auto"/>
                <w:sz w:val="24"/>
                <w:szCs w:val="24"/>
              </w:rPr>
              <w:t>（评标基准价</w:t>
            </w:r>
            <w:r>
              <w:rPr>
                <w:rFonts w:ascii="宋体" w:hAnsi="宋体"/>
                <w:color w:val="auto"/>
                <w:sz w:val="24"/>
                <w:szCs w:val="24"/>
              </w:rPr>
              <w:t>/</w:t>
            </w:r>
            <w:r>
              <w:rPr>
                <w:rFonts w:hint="eastAsia" w:ascii="宋体" w:hAnsi="宋体"/>
                <w:color w:val="auto"/>
                <w:sz w:val="24"/>
                <w:szCs w:val="24"/>
              </w:rPr>
              <w:t>投标报价</w:t>
            </w:r>
            <w:r>
              <w:rPr>
                <w:rFonts w:ascii="宋体" w:hAnsi="宋体"/>
                <w:color w:val="auto"/>
                <w:sz w:val="24"/>
                <w:szCs w:val="24"/>
              </w:rPr>
              <w:t>&lt;</w:t>
            </w:r>
            <w:r>
              <w:rPr>
                <w:rFonts w:hint="eastAsia" w:ascii="宋体" w:hAnsi="宋体"/>
                <w:color w:val="auto"/>
                <w:sz w:val="24"/>
                <w:szCs w:val="24"/>
              </w:rPr>
              <w:t>扣除经评审合格的“价格扣除”</w:t>
            </w:r>
            <w:r>
              <w:rPr>
                <w:rFonts w:ascii="宋体" w:hAnsi="宋体"/>
                <w:color w:val="auto"/>
                <w:sz w:val="24"/>
                <w:szCs w:val="24"/>
              </w:rPr>
              <w:t>&gt;</w:t>
            </w:r>
            <w:r>
              <w:rPr>
                <w:rFonts w:hint="eastAsia" w:ascii="宋体" w:hAnsi="宋体"/>
                <w:color w:val="auto"/>
                <w:sz w:val="24"/>
                <w:szCs w:val="24"/>
              </w:rPr>
              <w:t>）×</w:t>
            </w:r>
            <w:r>
              <w:rPr>
                <w:rFonts w:ascii="宋体" w:hAnsi="宋体"/>
                <w:color w:val="auto"/>
                <w:sz w:val="24"/>
                <w:szCs w:val="24"/>
              </w:rPr>
              <w:t>0.</w:t>
            </w:r>
            <w:r>
              <w:rPr>
                <w:rFonts w:hint="eastAsia" w:ascii="宋体" w:hAnsi="宋体"/>
                <w:color w:val="auto"/>
                <w:sz w:val="24"/>
                <w:szCs w:val="24"/>
              </w:rPr>
              <w:t>4×</w:t>
            </w:r>
            <w:r>
              <w:rPr>
                <w:rFonts w:ascii="宋体" w:hAnsi="宋体"/>
                <w:color w:val="auto"/>
                <w:sz w:val="24"/>
                <w:szCs w:val="24"/>
              </w:rPr>
              <w:t>100</w:t>
            </w:r>
            <w:r>
              <w:rPr>
                <w:rFonts w:hint="eastAsia" w:ascii="宋体" w:hAnsi="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pPr>
              <w:widowControl w:val="0"/>
              <w:autoSpaceDE w:val="0"/>
              <w:autoSpaceDN w:val="0"/>
              <w:adjustRightInd w:val="0"/>
              <w:spacing w:line="276" w:lineRule="auto"/>
              <w:jc w:val="center"/>
              <w:textAlignment w:val="auto"/>
              <w:rPr>
                <w:rFonts w:ascii="宋体" w:hAnsi="宋体" w:cs="宋体"/>
                <w:color w:val="auto"/>
                <w:sz w:val="24"/>
                <w:szCs w:val="24"/>
              </w:rPr>
            </w:pPr>
            <w:r>
              <w:rPr>
                <w:rFonts w:ascii="宋体" w:hAnsi="宋体" w:cs="宋体"/>
                <w:color w:val="auto"/>
                <w:sz w:val="24"/>
                <w:szCs w:val="24"/>
              </w:rPr>
              <w:t>2.2.2.2</w:t>
            </w:r>
          </w:p>
        </w:tc>
        <w:tc>
          <w:tcPr>
            <w:tcW w:w="1310" w:type="dxa"/>
            <w:vMerge w:val="restart"/>
            <w:vAlign w:val="center"/>
          </w:tcPr>
          <w:p>
            <w:pPr>
              <w:widowControl w:val="0"/>
              <w:autoSpaceDE w:val="0"/>
              <w:autoSpaceDN w:val="0"/>
              <w:adjustRightInd w:val="0"/>
              <w:snapToGrid w:val="0"/>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技术</w:t>
            </w:r>
          </w:p>
        </w:tc>
        <w:tc>
          <w:tcPr>
            <w:tcW w:w="7879" w:type="dxa"/>
            <w:vAlign w:val="center"/>
          </w:tcPr>
          <w:p>
            <w:pPr>
              <w:spacing w:line="276" w:lineRule="auto"/>
              <w:rPr>
                <w:rFonts w:ascii="宋体" w:hAnsi="宋体" w:cs="宋体"/>
                <w:snapToGrid w:val="0"/>
                <w:color w:val="auto"/>
                <w:sz w:val="24"/>
                <w:szCs w:val="24"/>
              </w:rPr>
            </w:pPr>
            <w:r>
              <w:rPr>
                <w:rFonts w:hint="eastAsia" w:ascii="宋体" w:hAnsi="宋体" w:cs="宋体"/>
                <w:snapToGrid w:val="0"/>
                <w:color w:val="auto"/>
                <w:sz w:val="24"/>
                <w:szCs w:val="24"/>
              </w:rPr>
              <w:t>技术指标响应（24分）：</w:t>
            </w:r>
          </w:p>
          <w:p>
            <w:pPr>
              <w:spacing w:line="276" w:lineRule="auto"/>
              <w:rPr>
                <w:rFonts w:ascii="宋体" w:hAnsi="宋体" w:cs="宋体"/>
                <w:snapToGrid w:val="0"/>
                <w:color w:val="auto"/>
                <w:sz w:val="24"/>
                <w:szCs w:val="24"/>
              </w:rPr>
            </w:pPr>
            <w:r>
              <w:rPr>
                <w:rFonts w:hint="eastAsia" w:ascii="宋体" w:hAnsi="宋体" w:cs="宋体"/>
                <w:snapToGrid w:val="0"/>
                <w:color w:val="auto"/>
                <w:sz w:val="24"/>
                <w:szCs w:val="24"/>
              </w:rPr>
              <w:t>评委将根据投标人提供的产品技术参数偏离表及相关证明材料，与招标文件中的技术参数要求进行综合打分：</w:t>
            </w:r>
          </w:p>
          <w:p>
            <w:pPr>
              <w:spacing w:line="276" w:lineRule="auto"/>
              <w:ind w:firstLine="120" w:firstLineChars="50"/>
              <w:rPr>
                <w:rFonts w:ascii="宋体" w:hAnsi="宋体" w:cs="宋体"/>
                <w:snapToGrid w:val="0"/>
                <w:color w:val="auto"/>
                <w:sz w:val="24"/>
                <w:szCs w:val="24"/>
              </w:rPr>
            </w:pPr>
            <w:r>
              <w:rPr>
                <w:rFonts w:hint="eastAsia" w:ascii="宋体" w:hAnsi="宋体" w:cs="宋体"/>
                <w:snapToGrid w:val="0"/>
                <w:color w:val="auto"/>
                <w:sz w:val="24"/>
                <w:szCs w:val="24"/>
              </w:rPr>
              <w:t>a、技术指标全部满足</w:t>
            </w:r>
            <w:r>
              <w:rPr>
                <w:rFonts w:hint="eastAsia" w:ascii="宋体" w:hAnsi="宋体"/>
                <w:color w:val="auto"/>
                <w:sz w:val="24"/>
                <w:szCs w:val="24"/>
              </w:rPr>
              <w:t>“2.4标段（包）内容（具体范围、数量），具体技术要求”</w:t>
            </w:r>
            <w:r>
              <w:rPr>
                <w:rFonts w:hint="eastAsia" w:ascii="宋体" w:hAnsi="宋体" w:cs="宋体"/>
                <w:snapToGrid w:val="0"/>
                <w:color w:val="auto"/>
                <w:sz w:val="24"/>
                <w:szCs w:val="24"/>
              </w:rPr>
              <w:t>的得 24 分；</w:t>
            </w:r>
          </w:p>
          <w:p>
            <w:pPr>
              <w:spacing w:line="276" w:lineRule="auto"/>
              <w:ind w:firstLine="120" w:firstLineChars="50"/>
              <w:rPr>
                <w:rFonts w:ascii="宋体" w:hAnsi="宋体" w:cs="宋体"/>
                <w:snapToGrid w:val="0"/>
                <w:color w:val="auto"/>
                <w:sz w:val="24"/>
                <w:szCs w:val="24"/>
              </w:rPr>
            </w:pPr>
            <w:r>
              <w:rPr>
                <w:rFonts w:hint="eastAsia" w:ascii="宋体" w:hAnsi="宋体" w:cs="宋体"/>
                <w:snapToGrid w:val="0"/>
                <w:color w:val="auto"/>
                <w:sz w:val="24"/>
                <w:szCs w:val="24"/>
              </w:rPr>
              <w:t>b、</w:t>
            </w:r>
            <w:r>
              <w:rPr>
                <w:rFonts w:hint="eastAsia" w:ascii="宋体" w:hAnsi="宋体"/>
                <w:color w:val="auto"/>
                <w:sz w:val="24"/>
                <w:szCs w:val="24"/>
              </w:rPr>
              <w:t>带星号（★）的为重要性的技术参数指标</w:t>
            </w:r>
            <w:r>
              <w:rPr>
                <w:rFonts w:hint="eastAsia" w:ascii="宋体" w:hAnsi="宋体" w:cs="宋体"/>
                <w:snapToGrid w:val="0"/>
                <w:color w:val="auto"/>
                <w:sz w:val="24"/>
                <w:szCs w:val="24"/>
              </w:rPr>
              <w:t>，如有一处不满足扣1.5分；</w:t>
            </w:r>
          </w:p>
          <w:p>
            <w:pPr>
              <w:spacing w:line="276" w:lineRule="auto"/>
              <w:ind w:left="105" w:leftChars="50"/>
              <w:rPr>
                <w:rFonts w:ascii="宋体" w:hAnsi="宋体" w:cs="宋体"/>
                <w:snapToGrid w:val="0"/>
                <w:color w:val="auto"/>
                <w:sz w:val="24"/>
                <w:szCs w:val="24"/>
              </w:rPr>
            </w:pPr>
            <w:r>
              <w:rPr>
                <w:rFonts w:hint="eastAsia" w:ascii="宋体" w:hAnsi="宋体" w:cs="宋体"/>
                <w:snapToGrid w:val="0"/>
                <w:color w:val="auto"/>
                <w:sz w:val="24"/>
                <w:szCs w:val="24"/>
              </w:rPr>
              <w:t>c、未标注符号的为一般性要求，如有一处不满足扣0.1 分，扣完为止；d、如有技术参数遗漏，视为不满足项（负偏离），</w:t>
            </w:r>
            <w:r>
              <w:rPr>
                <w:rFonts w:hint="eastAsia" w:ascii="宋体" w:hAnsi="宋体" w:cs="宋体"/>
                <w:snapToGrid w:val="0"/>
                <w:color w:val="auto"/>
                <w:sz w:val="24"/>
                <w:szCs w:val="24"/>
                <w:lang w:val="zh-CN"/>
              </w:rPr>
              <w:t>不得分</w:t>
            </w:r>
            <w:r>
              <w:rPr>
                <w:rFonts w:hint="eastAsia" w:ascii="宋体" w:hAnsi="宋体" w:cs="宋体"/>
                <w:snapToGrid w:val="0"/>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841" w:type="dxa"/>
            <w:vMerge w:val="continue"/>
            <w:vAlign w:val="center"/>
          </w:tcPr>
          <w:p>
            <w:pPr>
              <w:widowControl w:val="0"/>
              <w:autoSpaceDE w:val="0"/>
              <w:autoSpaceDN w:val="0"/>
              <w:adjustRightInd w:val="0"/>
              <w:spacing w:line="276" w:lineRule="auto"/>
              <w:jc w:val="center"/>
              <w:textAlignment w:val="auto"/>
              <w:rPr>
                <w:rFonts w:ascii="宋体" w:hAnsi="宋体" w:cs="宋体"/>
                <w:color w:val="auto"/>
                <w:sz w:val="24"/>
                <w:szCs w:val="24"/>
              </w:rPr>
            </w:pPr>
          </w:p>
        </w:tc>
        <w:tc>
          <w:tcPr>
            <w:tcW w:w="1310" w:type="dxa"/>
            <w:vMerge w:val="continue"/>
            <w:vAlign w:val="center"/>
          </w:tcPr>
          <w:p>
            <w:pPr>
              <w:widowControl w:val="0"/>
              <w:autoSpaceDE w:val="0"/>
              <w:autoSpaceDN w:val="0"/>
              <w:adjustRightInd w:val="0"/>
              <w:snapToGrid w:val="0"/>
              <w:spacing w:line="276" w:lineRule="auto"/>
              <w:jc w:val="center"/>
              <w:textAlignment w:val="auto"/>
              <w:rPr>
                <w:rFonts w:ascii="宋体" w:hAnsi="宋体" w:cs="宋体"/>
                <w:color w:val="auto"/>
                <w:sz w:val="24"/>
                <w:szCs w:val="24"/>
              </w:rPr>
            </w:pPr>
          </w:p>
        </w:tc>
        <w:tc>
          <w:tcPr>
            <w:tcW w:w="7879" w:type="dxa"/>
            <w:vAlign w:val="center"/>
          </w:tcPr>
          <w:p>
            <w:pPr>
              <w:spacing w:line="276" w:lineRule="auto"/>
              <w:rPr>
                <w:rFonts w:ascii="宋体" w:hAnsi="宋体" w:cs="宋体"/>
                <w:snapToGrid w:val="0"/>
                <w:color w:val="auto"/>
                <w:sz w:val="24"/>
                <w:szCs w:val="24"/>
              </w:rPr>
            </w:pPr>
            <w:r>
              <w:rPr>
                <w:rFonts w:hint="eastAsia" w:ascii="宋体" w:hAnsi="宋体" w:cs="宋体"/>
                <w:snapToGrid w:val="0"/>
                <w:color w:val="auto"/>
                <w:sz w:val="24"/>
                <w:szCs w:val="24"/>
              </w:rPr>
              <w:t>项目实施方案（3分）：</w:t>
            </w:r>
          </w:p>
          <w:p>
            <w:pPr>
              <w:spacing w:line="276" w:lineRule="auto"/>
              <w:rPr>
                <w:rFonts w:ascii="宋体" w:hAnsi="宋体" w:cs="宋体"/>
                <w:snapToGrid w:val="0"/>
                <w:color w:val="auto"/>
                <w:sz w:val="24"/>
                <w:szCs w:val="24"/>
                <w:lang w:val="zh-CN"/>
              </w:rPr>
            </w:pPr>
            <w:r>
              <w:rPr>
                <w:rFonts w:hint="eastAsia" w:ascii="宋体" w:hAnsi="宋体" w:cs="宋体"/>
                <w:snapToGrid w:val="0"/>
                <w:color w:val="auto"/>
                <w:sz w:val="24"/>
                <w:szCs w:val="24"/>
              </w:rPr>
              <w:t>投标人</w:t>
            </w:r>
            <w:r>
              <w:rPr>
                <w:rFonts w:hint="eastAsia" w:ascii="宋体" w:hAnsi="宋体" w:cs="宋体"/>
                <w:snapToGrid w:val="0"/>
                <w:color w:val="auto"/>
                <w:sz w:val="24"/>
                <w:szCs w:val="24"/>
                <w:lang w:val="zh-CN"/>
              </w:rPr>
              <w:t>提供完整的实施方案，详细说明各个环节内容及解决方案，按照方案的完善程度进行综合打分：</w:t>
            </w:r>
          </w:p>
          <w:p>
            <w:pPr>
              <w:spacing w:line="276" w:lineRule="auto"/>
              <w:ind w:firstLine="240" w:firstLineChars="100"/>
              <w:rPr>
                <w:rFonts w:ascii="宋体" w:hAnsi="宋体" w:cs="宋体"/>
                <w:snapToGrid w:val="0"/>
                <w:color w:val="auto"/>
                <w:sz w:val="24"/>
                <w:szCs w:val="24"/>
                <w:lang w:val="zh-CN"/>
              </w:rPr>
            </w:pPr>
            <w:r>
              <w:rPr>
                <w:rFonts w:hint="eastAsia" w:ascii="宋体" w:hAnsi="宋体" w:cs="宋体"/>
                <w:snapToGrid w:val="0"/>
                <w:color w:val="auto"/>
                <w:sz w:val="24"/>
                <w:szCs w:val="24"/>
                <w:lang w:val="zh-CN"/>
              </w:rPr>
              <w:t>a、内容详尽细致、清晰缜密、阐述完整、有便于采购人使用、管理的合理的建议，得</w:t>
            </w:r>
            <w:r>
              <w:rPr>
                <w:rFonts w:hint="eastAsia" w:ascii="宋体" w:hAnsi="宋体" w:cs="宋体"/>
                <w:snapToGrid w:val="0"/>
                <w:color w:val="auto"/>
                <w:sz w:val="24"/>
                <w:szCs w:val="24"/>
              </w:rPr>
              <w:t>3</w:t>
            </w:r>
            <w:r>
              <w:rPr>
                <w:rFonts w:hint="eastAsia" w:ascii="宋体" w:hAnsi="宋体" w:cs="宋体"/>
                <w:snapToGrid w:val="0"/>
                <w:color w:val="auto"/>
                <w:sz w:val="24"/>
                <w:szCs w:val="24"/>
                <w:lang w:val="zh-CN"/>
              </w:rPr>
              <w:t>分；</w:t>
            </w:r>
          </w:p>
          <w:p>
            <w:pPr>
              <w:spacing w:line="276" w:lineRule="auto"/>
              <w:ind w:firstLine="240" w:firstLineChars="100"/>
              <w:rPr>
                <w:rFonts w:ascii="宋体" w:hAnsi="宋体" w:cs="宋体"/>
                <w:snapToGrid w:val="0"/>
                <w:color w:val="auto"/>
                <w:sz w:val="24"/>
                <w:szCs w:val="24"/>
                <w:lang w:val="zh-CN"/>
              </w:rPr>
            </w:pPr>
            <w:r>
              <w:rPr>
                <w:rFonts w:hint="eastAsia" w:ascii="宋体" w:hAnsi="宋体" w:cs="宋体"/>
                <w:snapToGrid w:val="0"/>
                <w:color w:val="auto"/>
                <w:sz w:val="24"/>
                <w:szCs w:val="24"/>
                <w:lang w:val="zh-CN"/>
              </w:rPr>
              <w:t>b、内容完整、基本可行，得</w:t>
            </w:r>
            <w:r>
              <w:rPr>
                <w:rFonts w:hint="eastAsia" w:ascii="宋体" w:hAnsi="宋体" w:cs="宋体"/>
                <w:snapToGrid w:val="0"/>
                <w:color w:val="auto"/>
                <w:sz w:val="24"/>
                <w:szCs w:val="24"/>
              </w:rPr>
              <w:t>1</w:t>
            </w:r>
            <w:r>
              <w:rPr>
                <w:rFonts w:hint="eastAsia" w:ascii="宋体" w:hAnsi="宋体" w:cs="宋体"/>
                <w:snapToGrid w:val="0"/>
                <w:color w:val="auto"/>
                <w:sz w:val="24"/>
                <w:szCs w:val="24"/>
                <w:lang w:val="zh-CN"/>
              </w:rPr>
              <w:t>分；</w:t>
            </w:r>
          </w:p>
          <w:p>
            <w:pPr>
              <w:spacing w:line="276" w:lineRule="auto"/>
              <w:ind w:firstLine="240" w:firstLineChars="100"/>
              <w:rPr>
                <w:rFonts w:ascii="宋体" w:hAnsi="宋体" w:cs="宋体"/>
                <w:snapToGrid w:val="0"/>
                <w:color w:val="auto"/>
                <w:sz w:val="24"/>
                <w:szCs w:val="24"/>
              </w:rPr>
            </w:pPr>
            <w:r>
              <w:rPr>
                <w:rFonts w:hint="eastAsia" w:ascii="宋体" w:hAnsi="宋体" w:cs="宋体"/>
                <w:snapToGrid w:val="0"/>
                <w:color w:val="auto"/>
                <w:sz w:val="24"/>
                <w:szCs w:val="24"/>
                <w:lang w:val="zh-CN"/>
              </w:rPr>
              <w:t>c、内容不完整、不可行或未提供的不得分。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841" w:type="dxa"/>
            <w:vMerge w:val="continue"/>
            <w:vAlign w:val="center"/>
          </w:tcPr>
          <w:p>
            <w:pPr>
              <w:widowControl w:val="0"/>
              <w:autoSpaceDE w:val="0"/>
              <w:autoSpaceDN w:val="0"/>
              <w:adjustRightInd w:val="0"/>
              <w:spacing w:line="276" w:lineRule="auto"/>
              <w:jc w:val="center"/>
              <w:textAlignment w:val="auto"/>
              <w:rPr>
                <w:rFonts w:ascii="宋体" w:hAnsi="宋体" w:cs="宋体"/>
                <w:color w:val="auto"/>
                <w:sz w:val="24"/>
                <w:szCs w:val="24"/>
              </w:rPr>
            </w:pPr>
          </w:p>
        </w:tc>
        <w:tc>
          <w:tcPr>
            <w:tcW w:w="1310" w:type="dxa"/>
            <w:vMerge w:val="continue"/>
            <w:vAlign w:val="center"/>
          </w:tcPr>
          <w:p>
            <w:pPr>
              <w:widowControl w:val="0"/>
              <w:autoSpaceDE w:val="0"/>
              <w:autoSpaceDN w:val="0"/>
              <w:adjustRightInd w:val="0"/>
              <w:snapToGrid w:val="0"/>
              <w:spacing w:line="276" w:lineRule="auto"/>
              <w:jc w:val="center"/>
              <w:textAlignment w:val="auto"/>
              <w:rPr>
                <w:rFonts w:ascii="宋体" w:hAnsi="宋体" w:cs="宋体"/>
                <w:color w:val="auto"/>
                <w:sz w:val="24"/>
                <w:szCs w:val="24"/>
              </w:rPr>
            </w:pPr>
          </w:p>
        </w:tc>
        <w:tc>
          <w:tcPr>
            <w:tcW w:w="7879" w:type="dxa"/>
            <w:vAlign w:val="center"/>
          </w:tcPr>
          <w:p>
            <w:pPr>
              <w:spacing w:line="276" w:lineRule="auto"/>
              <w:rPr>
                <w:rFonts w:ascii="宋体" w:hAnsi="宋体" w:cs="宋体"/>
                <w:snapToGrid w:val="0"/>
                <w:color w:val="auto"/>
                <w:sz w:val="24"/>
                <w:szCs w:val="24"/>
              </w:rPr>
            </w:pPr>
            <w:r>
              <w:rPr>
                <w:rFonts w:hint="eastAsia" w:ascii="宋体" w:hAnsi="宋体" w:cs="宋体"/>
                <w:color w:val="auto"/>
                <w:sz w:val="24"/>
                <w:szCs w:val="24"/>
              </w:rPr>
              <w:t>运维方案（5分）：</w:t>
            </w:r>
          </w:p>
          <w:p>
            <w:pPr>
              <w:spacing w:line="276" w:lineRule="auto"/>
              <w:rPr>
                <w:rFonts w:ascii="宋体" w:hAnsi="宋体" w:cs="宋体"/>
                <w:snapToGrid w:val="0"/>
                <w:color w:val="auto"/>
                <w:sz w:val="24"/>
                <w:szCs w:val="24"/>
              </w:rPr>
            </w:pPr>
            <w:r>
              <w:rPr>
                <w:rFonts w:hint="eastAsia" w:ascii="宋体" w:hAnsi="宋体" w:cs="宋体"/>
                <w:snapToGrid w:val="0"/>
                <w:color w:val="auto"/>
                <w:sz w:val="24"/>
                <w:szCs w:val="24"/>
              </w:rPr>
              <w:t>运维措施应系统全面反映本项目运维工作，包括制定规章制度、具体日常维护、定期巡检和故障维修等措施的情况。投标人投标文件所提供运维措施，应充分考虑所投包的运维城市自然环境、交通状况、空气质量现状等因素。评标委员会根据投标人提供的运维措施、按下述标准进行综合评议并打分。</w:t>
            </w:r>
          </w:p>
          <w:p>
            <w:pPr>
              <w:spacing w:line="276" w:lineRule="auto"/>
              <w:ind w:firstLine="240" w:firstLineChars="100"/>
              <w:rPr>
                <w:rFonts w:ascii="宋体" w:hAnsi="宋体" w:cs="宋体"/>
                <w:snapToGrid w:val="0"/>
                <w:color w:val="auto"/>
                <w:sz w:val="24"/>
                <w:szCs w:val="24"/>
              </w:rPr>
            </w:pPr>
            <w:r>
              <w:rPr>
                <w:rFonts w:hint="eastAsia" w:ascii="宋体" w:hAnsi="宋体" w:cs="宋体"/>
                <w:snapToGrid w:val="0"/>
                <w:color w:val="auto"/>
                <w:sz w:val="24"/>
                <w:szCs w:val="24"/>
                <w:lang w:val="zh-CN"/>
              </w:rPr>
              <w:t>a</w:t>
            </w:r>
            <w:r>
              <w:rPr>
                <w:rFonts w:hint="eastAsia" w:ascii="宋体" w:hAnsi="宋体" w:cs="宋体"/>
                <w:snapToGrid w:val="0"/>
                <w:color w:val="auto"/>
                <w:sz w:val="24"/>
                <w:szCs w:val="24"/>
              </w:rPr>
              <w:t>、运维方案要素针对性强，科学合理，得5分，</w:t>
            </w:r>
          </w:p>
          <w:p>
            <w:pPr>
              <w:spacing w:line="276" w:lineRule="auto"/>
              <w:ind w:firstLine="240" w:firstLineChars="100"/>
              <w:rPr>
                <w:rFonts w:ascii="宋体" w:hAnsi="宋体" w:cs="宋体"/>
                <w:snapToGrid w:val="0"/>
                <w:color w:val="auto"/>
                <w:sz w:val="24"/>
                <w:szCs w:val="24"/>
              </w:rPr>
            </w:pPr>
            <w:r>
              <w:rPr>
                <w:rFonts w:hint="eastAsia" w:ascii="宋体" w:hAnsi="宋体" w:cs="宋体"/>
                <w:snapToGrid w:val="0"/>
                <w:color w:val="auto"/>
                <w:sz w:val="24"/>
                <w:szCs w:val="24"/>
                <w:lang w:val="zh-CN"/>
              </w:rPr>
              <w:t>b</w:t>
            </w:r>
            <w:r>
              <w:rPr>
                <w:rFonts w:hint="eastAsia" w:ascii="宋体" w:hAnsi="宋体" w:cs="宋体"/>
                <w:snapToGrid w:val="0"/>
                <w:color w:val="auto"/>
                <w:sz w:val="24"/>
                <w:szCs w:val="24"/>
              </w:rPr>
              <w:t>、运维方案要素针对性较强，比较合理，得3分，</w:t>
            </w:r>
          </w:p>
          <w:p>
            <w:pPr>
              <w:spacing w:line="276" w:lineRule="auto"/>
              <w:ind w:firstLine="240" w:firstLineChars="100"/>
              <w:rPr>
                <w:rFonts w:ascii="宋体" w:hAnsi="宋体" w:cs="宋体"/>
                <w:snapToGrid w:val="0"/>
                <w:color w:val="auto"/>
                <w:sz w:val="24"/>
                <w:szCs w:val="24"/>
              </w:rPr>
            </w:pPr>
            <w:r>
              <w:rPr>
                <w:rFonts w:hint="eastAsia" w:ascii="宋体" w:hAnsi="宋体" w:cs="宋体"/>
                <w:snapToGrid w:val="0"/>
                <w:color w:val="auto"/>
                <w:sz w:val="24"/>
                <w:szCs w:val="24"/>
                <w:lang w:val="zh-CN"/>
              </w:rPr>
              <w:t>c</w:t>
            </w:r>
            <w:r>
              <w:rPr>
                <w:rFonts w:hint="eastAsia" w:ascii="宋体" w:hAnsi="宋体" w:cs="宋体"/>
                <w:snapToGrid w:val="0"/>
                <w:color w:val="auto"/>
                <w:sz w:val="24"/>
                <w:szCs w:val="24"/>
              </w:rPr>
              <w:t>、运维方案要素针对性一般，得1分，</w:t>
            </w:r>
          </w:p>
          <w:p>
            <w:pPr>
              <w:spacing w:line="276" w:lineRule="auto"/>
              <w:ind w:firstLine="240" w:firstLineChars="100"/>
              <w:rPr>
                <w:rFonts w:ascii="宋体" w:hAnsi="宋体" w:cs="宋体"/>
                <w:b/>
                <w:bCs/>
                <w:color w:val="auto"/>
                <w:sz w:val="24"/>
                <w:szCs w:val="24"/>
              </w:rPr>
            </w:pPr>
            <w:r>
              <w:rPr>
                <w:rFonts w:hint="eastAsia" w:ascii="宋体" w:hAnsi="宋体" w:cs="宋体"/>
                <w:snapToGrid w:val="0"/>
                <w:color w:val="auto"/>
                <w:sz w:val="24"/>
                <w:szCs w:val="24"/>
              </w:rPr>
              <w:t>d、未提供方案</w:t>
            </w:r>
            <w:r>
              <w:rPr>
                <w:rFonts w:hint="eastAsia" w:ascii="宋体" w:hAnsi="宋体" w:cs="宋体"/>
                <w:snapToGrid w:val="0"/>
                <w:color w:val="auto"/>
                <w:sz w:val="24"/>
                <w:szCs w:val="24"/>
                <w:lang w:val="zh-CN"/>
              </w:rPr>
              <w:t>的不得分</w:t>
            </w:r>
            <w:r>
              <w:rPr>
                <w:rFonts w:hint="eastAsia" w:ascii="宋体" w:hAnsi="宋体" w:cs="宋体"/>
                <w:snapToGrid w:val="0"/>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841" w:type="dxa"/>
            <w:vMerge w:val="continue"/>
            <w:vAlign w:val="center"/>
          </w:tcPr>
          <w:p>
            <w:pPr>
              <w:widowControl w:val="0"/>
              <w:autoSpaceDE w:val="0"/>
              <w:autoSpaceDN w:val="0"/>
              <w:adjustRightInd w:val="0"/>
              <w:spacing w:line="276" w:lineRule="auto"/>
              <w:jc w:val="center"/>
              <w:textAlignment w:val="auto"/>
              <w:rPr>
                <w:rFonts w:ascii="宋体" w:hAnsi="宋体" w:cs="宋体"/>
                <w:color w:val="auto"/>
                <w:sz w:val="24"/>
                <w:szCs w:val="24"/>
              </w:rPr>
            </w:pPr>
          </w:p>
        </w:tc>
        <w:tc>
          <w:tcPr>
            <w:tcW w:w="1310" w:type="dxa"/>
            <w:vMerge w:val="continue"/>
            <w:vAlign w:val="center"/>
          </w:tcPr>
          <w:p>
            <w:pPr>
              <w:widowControl w:val="0"/>
              <w:autoSpaceDE w:val="0"/>
              <w:autoSpaceDN w:val="0"/>
              <w:adjustRightInd w:val="0"/>
              <w:snapToGrid w:val="0"/>
              <w:spacing w:line="276" w:lineRule="auto"/>
              <w:jc w:val="center"/>
              <w:textAlignment w:val="auto"/>
              <w:rPr>
                <w:rFonts w:ascii="宋体" w:hAnsi="宋体" w:cs="宋体"/>
                <w:color w:val="auto"/>
                <w:sz w:val="24"/>
                <w:szCs w:val="24"/>
              </w:rPr>
            </w:pPr>
          </w:p>
        </w:tc>
        <w:tc>
          <w:tcPr>
            <w:tcW w:w="7879" w:type="dxa"/>
            <w:vAlign w:val="center"/>
          </w:tcPr>
          <w:p>
            <w:pPr>
              <w:spacing w:line="276" w:lineRule="auto"/>
              <w:rPr>
                <w:rFonts w:ascii="宋体" w:hAnsi="宋体" w:cs="宋体"/>
                <w:color w:val="auto"/>
                <w:sz w:val="24"/>
                <w:szCs w:val="24"/>
              </w:rPr>
            </w:pPr>
            <w:r>
              <w:rPr>
                <w:rFonts w:hint="eastAsia" w:ascii="宋体" w:hAnsi="宋体" w:cs="宋体"/>
                <w:color w:val="auto"/>
                <w:sz w:val="24"/>
                <w:szCs w:val="24"/>
              </w:rPr>
              <w:t>质控措施（4分）:</w:t>
            </w:r>
          </w:p>
          <w:p>
            <w:pPr>
              <w:spacing w:line="276" w:lineRule="auto"/>
              <w:rPr>
                <w:rFonts w:ascii="宋体" w:hAnsi="宋体" w:cs="宋体"/>
                <w:color w:val="auto"/>
                <w:sz w:val="24"/>
                <w:szCs w:val="24"/>
              </w:rPr>
            </w:pPr>
            <w:r>
              <w:rPr>
                <w:rFonts w:hint="eastAsia" w:ascii="宋体" w:hAnsi="宋体" w:cs="宋体"/>
                <w:color w:val="auto"/>
                <w:sz w:val="24"/>
                <w:szCs w:val="24"/>
              </w:rPr>
              <w:t>投标人应建立完善的质量保证和质量控制体系，制定相应质控措施。评标委员会根据投标人提供的质量控制、质控措施、标准物质或样品的管理、验收和期间核查按下列标准进行综合评议并打分。</w:t>
            </w:r>
          </w:p>
          <w:p>
            <w:pPr>
              <w:spacing w:line="276" w:lineRule="auto"/>
              <w:ind w:firstLine="240" w:firstLineChars="100"/>
              <w:rPr>
                <w:rFonts w:ascii="宋体" w:hAnsi="宋体" w:cs="宋体"/>
                <w:color w:val="auto"/>
                <w:sz w:val="24"/>
                <w:szCs w:val="24"/>
              </w:rPr>
            </w:pPr>
            <w:r>
              <w:rPr>
                <w:rFonts w:hint="eastAsia" w:ascii="宋体" w:hAnsi="宋体" w:cs="宋体"/>
                <w:color w:val="auto"/>
                <w:sz w:val="24"/>
                <w:szCs w:val="24"/>
              </w:rPr>
              <w:t>a、质控措施科学合理，得4分，</w:t>
            </w:r>
          </w:p>
          <w:p>
            <w:pPr>
              <w:spacing w:line="276" w:lineRule="auto"/>
              <w:ind w:firstLine="240" w:firstLineChars="100"/>
              <w:rPr>
                <w:rFonts w:ascii="宋体" w:hAnsi="宋体" w:cs="宋体"/>
                <w:color w:val="auto"/>
                <w:sz w:val="24"/>
                <w:szCs w:val="24"/>
              </w:rPr>
            </w:pPr>
            <w:r>
              <w:rPr>
                <w:rFonts w:hint="eastAsia" w:ascii="宋体" w:hAnsi="宋体" w:cs="宋体"/>
                <w:color w:val="auto"/>
                <w:sz w:val="24"/>
                <w:szCs w:val="24"/>
              </w:rPr>
              <w:t>b、质控措施比较合理，</w:t>
            </w:r>
            <w:r>
              <w:rPr>
                <w:rFonts w:hint="eastAsia" w:ascii="宋体" w:hAnsi="宋体" w:cs="宋体"/>
                <w:snapToGrid w:val="0"/>
                <w:color w:val="auto"/>
                <w:sz w:val="24"/>
                <w:szCs w:val="24"/>
              </w:rPr>
              <w:t>得</w:t>
            </w:r>
            <w:r>
              <w:rPr>
                <w:rFonts w:hint="eastAsia" w:ascii="宋体" w:hAnsi="宋体" w:cs="宋体"/>
                <w:color w:val="auto"/>
                <w:sz w:val="24"/>
                <w:szCs w:val="24"/>
              </w:rPr>
              <w:t>2分，</w:t>
            </w:r>
          </w:p>
          <w:p>
            <w:pPr>
              <w:spacing w:line="276" w:lineRule="auto"/>
              <w:ind w:firstLine="240" w:firstLineChars="100"/>
              <w:rPr>
                <w:rFonts w:ascii="宋体" w:hAnsi="宋体" w:cs="宋体"/>
                <w:color w:val="auto"/>
                <w:sz w:val="24"/>
                <w:szCs w:val="24"/>
              </w:rPr>
            </w:pPr>
            <w:r>
              <w:rPr>
                <w:rFonts w:hint="eastAsia" w:ascii="宋体" w:hAnsi="宋体" w:cs="宋体"/>
                <w:color w:val="auto"/>
                <w:sz w:val="24"/>
                <w:szCs w:val="24"/>
              </w:rPr>
              <w:t>c、质控措施内容一般，</w:t>
            </w:r>
            <w:r>
              <w:rPr>
                <w:rFonts w:hint="eastAsia" w:ascii="宋体" w:hAnsi="宋体" w:cs="宋体"/>
                <w:snapToGrid w:val="0"/>
                <w:color w:val="auto"/>
                <w:sz w:val="24"/>
                <w:szCs w:val="24"/>
              </w:rPr>
              <w:t>得</w:t>
            </w:r>
            <w:r>
              <w:rPr>
                <w:rFonts w:hint="eastAsia" w:ascii="宋体" w:hAnsi="宋体" w:cs="宋体"/>
                <w:color w:val="auto"/>
                <w:sz w:val="24"/>
                <w:szCs w:val="24"/>
              </w:rPr>
              <w:t>1分。</w:t>
            </w:r>
          </w:p>
          <w:p>
            <w:pPr>
              <w:spacing w:line="276" w:lineRule="auto"/>
              <w:ind w:firstLine="240" w:firstLineChars="100"/>
              <w:rPr>
                <w:rFonts w:ascii="宋体" w:hAnsi="宋体" w:cs="宋体"/>
                <w:color w:val="auto"/>
                <w:sz w:val="24"/>
                <w:szCs w:val="24"/>
              </w:rPr>
            </w:pPr>
            <w:r>
              <w:rPr>
                <w:rFonts w:hint="eastAsia" w:ascii="宋体" w:hAnsi="宋体" w:cs="宋体"/>
                <w:color w:val="auto"/>
                <w:sz w:val="24"/>
                <w:szCs w:val="24"/>
              </w:rPr>
              <w:t>d、</w:t>
            </w:r>
            <w:r>
              <w:rPr>
                <w:rFonts w:hint="eastAsia" w:ascii="宋体" w:hAnsi="宋体" w:cs="宋体"/>
                <w:snapToGrid w:val="0"/>
                <w:color w:val="auto"/>
                <w:sz w:val="24"/>
                <w:szCs w:val="24"/>
              </w:rPr>
              <w:t>未提供质控方案的，</w:t>
            </w:r>
            <w:r>
              <w:rPr>
                <w:rFonts w:hint="eastAsia" w:ascii="宋体" w:hAnsi="宋体" w:cs="宋体"/>
                <w:snapToGrid w:val="0"/>
                <w:color w:val="auto"/>
                <w:sz w:val="24"/>
                <w:szCs w:val="24"/>
                <w:lang w:val="zh-CN"/>
              </w:rPr>
              <w:t>不得分</w:t>
            </w:r>
            <w:r>
              <w:rPr>
                <w:rFonts w:hint="eastAsia" w:ascii="宋体" w:hAnsi="宋体" w:cs="宋体"/>
                <w:snapToGrid w:val="0"/>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841" w:type="dxa"/>
            <w:vMerge w:val="continue"/>
            <w:vAlign w:val="center"/>
          </w:tcPr>
          <w:p>
            <w:pPr>
              <w:widowControl w:val="0"/>
              <w:autoSpaceDE w:val="0"/>
              <w:autoSpaceDN w:val="0"/>
              <w:adjustRightInd w:val="0"/>
              <w:spacing w:line="276" w:lineRule="auto"/>
              <w:jc w:val="center"/>
              <w:textAlignment w:val="auto"/>
              <w:rPr>
                <w:rFonts w:ascii="宋体" w:hAnsi="宋体" w:cs="宋体"/>
                <w:color w:val="auto"/>
                <w:sz w:val="24"/>
                <w:szCs w:val="24"/>
              </w:rPr>
            </w:pPr>
          </w:p>
        </w:tc>
        <w:tc>
          <w:tcPr>
            <w:tcW w:w="1310" w:type="dxa"/>
            <w:vMerge w:val="continue"/>
            <w:vAlign w:val="center"/>
          </w:tcPr>
          <w:p>
            <w:pPr>
              <w:widowControl w:val="0"/>
              <w:autoSpaceDE w:val="0"/>
              <w:autoSpaceDN w:val="0"/>
              <w:adjustRightInd w:val="0"/>
              <w:snapToGrid w:val="0"/>
              <w:spacing w:line="276" w:lineRule="auto"/>
              <w:jc w:val="center"/>
              <w:textAlignment w:val="auto"/>
              <w:rPr>
                <w:rFonts w:ascii="宋体" w:hAnsi="宋体" w:cs="宋体"/>
                <w:color w:val="auto"/>
                <w:sz w:val="24"/>
                <w:szCs w:val="24"/>
              </w:rPr>
            </w:pPr>
          </w:p>
        </w:tc>
        <w:tc>
          <w:tcPr>
            <w:tcW w:w="7879" w:type="dxa"/>
            <w:vAlign w:val="center"/>
          </w:tcPr>
          <w:p>
            <w:pPr>
              <w:spacing w:line="276" w:lineRule="auto"/>
              <w:rPr>
                <w:rFonts w:ascii="宋体" w:hAnsi="宋体" w:cs="宋体"/>
                <w:color w:val="auto"/>
                <w:sz w:val="24"/>
                <w:szCs w:val="24"/>
              </w:rPr>
            </w:pPr>
            <w:r>
              <w:rPr>
                <w:rFonts w:hint="eastAsia" w:ascii="宋体" w:hAnsi="宋体" w:cs="宋体"/>
                <w:color w:val="auto"/>
                <w:sz w:val="24"/>
                <w:szCs w:val="24"/>
              </w:rPr>
              <w:t>应急预案</w:t>
            </w:r>
            <w:r>
              <w:rPr>
                <w:rFonts w:hint="eastAsia" w:ascii="宋体" w:hAnsi="宋体" w:cs="宋体"/>
                <w:snapToGrid w:val="0"/>
                <w:color w:val="auto"/>
                <w:sz w:val="24"/>
                <w:szCs w:val="24"/>
              </w:rPr>
              <w:t>（3分）：</w:t>
            </w:r>
          </w:p>
          <w:p>
            <w:pPr>
              <w:spacing w:line="276" w:lineRule="auto"/>
              <w:rPr>
                <w:rFonts w:ascii="宋体" w:hAnsi="宋体" w:cs="宋体"/>
                <w:color w:val="auto"/>
                <w:sz w:val="24"/>
                <w:szCs w:val="24"/>
              </w:rPr>
            </w:pPr>
            <w:r>
              <w:rPr>
                <w:rFonts w:hint="eastAsia" w:ascii="宋体" w:hAnsi="宋体" w:cs="宋体"/>
                <w:color w:val="auto"/>
                <w:sz w:val="24"/>
                <w:szCs w:val="24"/>
              </w:rPr>
              <w:t>充分考虑所投包城市点位的自然环境、气象条件、空气质</w:t>
            </w:r>
          </w:p>
          <w:p>
            <w:pPr>
              <w:spacing w:line="276" w:lineRule="auto"/>
              <w:rPr>
                <w:rFonts w:ascii="宋体" w:hAnsi="宋体" w:cs="宋体"/>
                <w:color w:val="auto"/>
                <w:sz w:val="24"/>
                <w:szCs w:val="24"/>
              </w:rPr>
            </w:pPr>
            <w:r>
              <w:rPr>
                <w:rFonts w:hint="eastAsia" w:ascii="宋体" w:hAnsi="宋体" w:cs="宋体"/>
                <w:color w:val="auto"/>
                <w:sz w:val="24"/>
                <w:szCs w:val="24"/>
              </w:rPr>
              <w:t>量、交通便利性等因素的影响，运维期间出现的严重影响系统运行和数据质量的重大问题，是否具备有效的预防和应急措施。评标委员会根据投标文件中提供的预防措施、应急方案。</w:t>
            </w:r>
          </w:p>
          <w:p>
            <w:pPr>
              <w:spacing w:line="276" w:lineRule="auto"/>
              <w:ind w:firstLine="240" w:firstLineChars="100"/>
              <w:rPr>
                <w:rFonts w:ascii="宋体" w:hAnsi="宋体" w:cs="宋体"/>
                <w:color w:val="auto"/>
                <w:sz w:val="24"/>
                <w:szCs w:val="24"/>
              </w:rPr>
            </w:pPr>
            <w:r>
              <w:rPr>
                <w:rFonts w:hint="eastAsia" w:ascii="宋体" w:hAnsi="宋体" w:cs="宋体"/>
                <w:color w:val="auto"/>
                <w:sz w:val="24"/>
                <w:szCs w:val="24"/>
              </w:rPr>
              <w:t>a、应急预案科学合理，得3分，</w:t>
            </w:r>
          </w:p>
          <w:p>
            <w:pPr>
              <w:spacing w:line="276" w:lineRule="auto"/>
              <w:ind w:firstLine="240" w:firstLineChars="100"/>
              <w:rPr>
                <w:rFonts w:ascii="宋体" w:hAnsi="宋体" w:cs="宋体"/>
                <w:color w:val="auto"/>
                <w:sz w:val="24"/>
                <w:szCs w:val="24"/>
              </w:rPr>
            </w:pPr>
            <w:r>
              <w:rPr>
                <w:rFonts w:hint="eastAsia" w:ascii="宋体" w:hAnsi="宋体" w:cs="宋体"/>
                <w:color w:val="auto"/>
                <w:sz w:val="24"/>
                <w:szCs w:val="24"/>
              </w:rPr>
              <w:t>b、应急预案比较合理，</w:t>
            </w:r>
            <w:r>
              <w:rPr>
                <w:rFonts w:hint="eastAsia" w:ascii="宋体" w:hAnsi="宋体" w:cs="宋体"/>
                <w:snapToGrid w:val="0"/>
                <w:color w:val="auto"/>
                <w:sz w:val="24"/>
                <w:szCs w:val="24"/>
              </w:rPr>
              <w:t>得</w:t>
            </w:r>
            <w:r>
              <w:rPr>
                <w:rFonts w:hint="eastAsia" w:ascii="宋体" w:hAnsi="宋体" w:cs="宋体"/>
                <w:color w:val="auto"/>
                <w:sz w:val="24"/>
                <w:szCs w:val="24"/>
              </w:rPr>
              <w:t>2分，</w:t>
            </w:r>
          </w:p>
          <w:p>
            <w:pPr>
              <w:spacing w:line="276" w:lineRule="auto"/>
              <w:ind w:firstLine="240" w:firstLineChars="100"/>
              <w:rPr>
                <w:rFonts w:ascii="宋体" w:hAnsi="宋体" w:cs="宋体"/>
                <w:color w:val="auto"/>
                <w:sz w:val="24"/>
                <w:szCs w:val="24"/>
              </w:rPr>
            </w:pPr>
            <w:r>
              <w:rPr>
                <w:rFonts w:hint="eastAsia" w:ascii="宋体" w:hAnsi="宋体" w:cs="宋体"/>
                <w:color w:val="auto"/>
                <w:sz w:val="24"/>
                <w:szCs w:val="24"/>
              </w:rPr>
              <w:t>c、应急预案内容一般，</w:t>
            </w:r>
            <w:r>
              <w:rPr>
                <w:rFonts w:hint="eastAsia" w:ascii="宋体" w:hAnsi="宋体" w:cs="宋体"/>
                <w:snapToGrid w:val="0"/>
                <w:color w:val="auto"/>
                <w:sz w:val="24"/>
                <w:szCs w:val="24"/>
              </w:rPr>
              <w:t>得</w:t>
            </w:r>
            <w:r>
              <w:rPr>
                <w:rFonts w:hint="eastAsia" w:ascii="宋体" w:hAnsi="宋体" w:cs="宋体"/>
                <w:color w:val="auto"/>
                <w:sz w:val="24"/>
                <w:szCs w:val="24"/>
              </w:rPr>
              <w:t>1分。</w:t>
            </w:r>
          </w:p>
          <w:p>
            <w:pPr>
              <w:spacing w:line="276" w:lineRule="auto"/>
              <w:ind w:firstLine="240" w:firstLineChars="100"/>
              <w:rPr>
                <w:rFonts w:ascii="宋体" w:hAnsi="宋体" w:cs="宋体"/>
                <w:color w:val="auto"/>
                <w:sz w:val="24"/>
                <w:szCs w:val="24"/>
              </w:rPr>
            </w:pPr>
            <w:r>
              <w:rPr>
                <w:rFonts w:hint="eastAsia" w:ascii="宋体" w:hAnsi="宋体" w:cs="宋体"/>
                <w:color w:val="auto"/>
                <w:sz w:val="24"/>
                <w:szCs w:val="24"/>
              </w:rPr>
              <w:t>d、</w:t>
            </w:r>
            <w:r>
              <w:rPr>
                <w:rFonts w:hint="eastAsia" w:ascii="宋体" w:hAnsi="宋体" w:cs="宋体"/>
                <w:snapToGrid w:val="0"/>
                <w:color w:val="auto"/>
                <w:sz w:val="24"/>
                <w:szCs w:val="24"/>
              </w:rPr>
              <w:t>未提供应急方案的，不得分。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841" w:type="dxa"/>
            <w:vMerge w:val="restart"/>
            <w:vAlign w:val="center"/>
          </w:tcPr>
          <w:p>
            <w:pPr>
              <w:widowControl w:val="0"/>
              <w:autoSpaceDE w:val="0"/>
              <w:autoSpaceDN w:val="0"/>
              <w:adjustRightInd w:val="0"/>
              <w:spacing w:line="276" w:lineRule="auto"/>
              <w:jc w:val="center"/>
              <w:textAlignment w:val="auto"/>
              <w:rPr>
                <w:rFonts w:ascii="宋体" w:hAnsi="宋体" w:cs="宋体"/>
                <w:color w:val="auto"/>
                <w:sz w:val="24"/>
                <w:szCs w:val="24"/>
              </w:rPr>
            </w:pPr>
            <w:r>
              <w:rPr>
                <w:rFonts w:ascii="宋体" w:hAnsi="宋体" w:cs="宋体"/>
                <w:color w:val="auto"/>
                <w:sz w:val="24"/>
                <w:szCs w:val="24"/>
              </w:rPr>
              <w:t>2.2.2.3</w:t>
            </w:r>
          </w:p>
        </w:tc>
        <w:tc>
          <w:tcPr>
            <w:tcW w:w="1310" w:type="dxa"/>
            <w:vMerge w:val="restart"/>
            <w:vAlign w:val="center"/>
          </w:tcPr>
          <w:p>
            <w:pPr>
              <w:widowControl w:val="0"/>
              <w:autoSpaceDE w:val="0"/>
              <w:autoSpaceDN w:val="0"/>
              <w:snapToGrid w:val="0"/>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履约能力</w:t>
            </w:r>
          </w:p>
        </w:tc>
        <w:tc>
          <w:tcPr>
            <w:tcW w:w="7879" w:type="dxa"/>
            <w:vAlign w:val="center"/>
          </w:tcPr>
          <w:p>
            <w:pPr>
              <w:spacing w:line="276" w:lineRule="auto"/>
              <w:rPr>
                <w:rFonts w:ascii="宋体" w:hAnsi="宋体" w:cs="宋体"/>
                <w:snapToGrid w:val="0"/>
                <w:color w:val="auto"/>
                <w:sz w:val="24"/>
                <w:szCs w:val="24"/>
                <w:lang w:val="zh-CN"/>
              </w:rPr>
            </w:pPr>
            <w:r>
              <w:rPr>
                <w:rFonts w:hint="eastAsia" w:ascii="宋体" w:hAnsi="宋体" w:cs="宋体"/>
                <w:snapToGrid w:val="0"/>
                <w:color w:val="auto"/>
                <w:sz w:val="24"/>
                <w:szCs w:val="24"/>
                <w:lang w:val="zh-CN"/>
              </w:rPr>
              <w:t>201</w:t>
            </w:r>
            <w:r>
              <w:rPr>
                <w:rFonts w:hint="eastAsia" w:ascii="宋体" w:hAnsi="宋体" w:cs="宋体"/>
                <w:snapToGrid w:val="0"/>
                <w:color w:val="auto"/>
                <w:sz w:val="24"/>
                <w:szCs w:val="24"/>
              </w:rPr>
              <w:t>9</w:t>
            </w:r>
            <w:r>
              <w:rPr>
                <w:rFonts w:hint="eastAsia" w:ascii="宋体" w:hAnsi="宋体" w:cs="宋体"/>
                <w:snapToGrid w:val="0"/>
                <w:color w:val="auto"/>
                <w:sz w:val="24"/>
                <w:szCs w:val="24"/>
                <w:lang w:val="zh-CN"/>
              </w:rPr>
              <w:t>年1月1日以来投标人或所投产品制造商具有同类产品业绩，每提供</w:t>
            </w:r>
            <w:r>
              <w:rPr>
                <w:rFonts w:hint="eastAsia" w:ascii="宋体" w:hAnsi="宋体" w:cs="宋体"/>
                <w:snapToGrid w:val="0"/>
                <w:color w:val="auto"/>
                <w:sz w:val="24"/>
                <w:szCs w:val="24"/>
              </w:rPr>
              <w:t>1份得1分，该项最高得4分。</w:t>
            </w:r>
          </w:p>
          <w:p>
            <w:pPr>
              <w:spacing w:line="276" w:lineRule="auto"/>
              <w:rPr>
                <w:rFonts w:ascii="宋体" w:hAnsi="宋体" w:cs="宋体"/>
                <w:snapToGrid w:val="0"/>
                <w:color w:val="auto"/>
                <w:sz w:val="24"/>
                <w:szCs w:val="24"/>
              </w:rPr>
            </w:pPr>
            <w:r>
              <w:rPr>
                <w:rFonts w:hint="eastAsia" w:ascii="宋体" w:hAnsi="宋体" w:cs="宋体"/>
                <w:snapToGrid w:val="0"/>
                <w:color w:val="auto"/>
                <w:sz w:val="24"/>
                <w:szCs w:val="24"/>
                <w:lang w:val="zh-CN"/>
              </w:rPr>
              <w:t>注：投标文件中提供合同。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841" w:type="dxa"/>
            <w:vMerge w:val="continue"/>
            <w:vAlign w:val="center"/>
          </w:tcPr>
          <w:p>
            <w:pPr>
              <w:widowControl w:val="0"/>
              <w:autoSpaceDE w:val="0"/>
              <w:autoSpaceDN w:val="0"/>
              <w:adjustRightInd w:val="0"/>
              <w:spacing w:line="276" w:lineRule="auto"/>
              <w:jc w:val="center"/>
              <w:textAlignment w:val="auto"/>
              <w:rPr>
                <w:rFonts w:ascii="宋体" w:hAnsi="宋体" w:cs="宋体"/>
                <w:color w:val="auto"/>
                <w:sz w:val="24"/>
                <w:szCs w:val="24"/>
              </w:rPr>
            </w:pPr>
          </w:p>
        </w:tc>
        <w:tc>
          <w:tcPr>
            <w:tcW w:w="1310" w:type="dxa"/>
            <w:vMerge w:val="continue"/>
            <w:vAlign w:val="center"/>
          </w:tcPr>
          <w:p>
            <w:pPr>
              <w:widowControl w:val="0"/>
              <w:autoSpaceDE w:val="0"/>
              <w:autoSpaceDN w:val="0"/>
              <w:snapToGrid w:val="0"/>
              <w:spacing w:line="276" w:lineRule="auto"/>
              <w:jc w:val="center"/>
              <w:textAlignment w:val="auto"/>
              <w:rPr>
                <w:rFonts w:ascii="宋体" w:hAnsi="宋体" w:cs="宋体"/>
                <w:color w:val="auto"/>
                <w:sz w:val="24"/>
                <w:szCs w:val="24"/>
              </w:rPr>
            </w:pPr>
          </w:p>
        </w:tc>
        <w:tc>
          <w:tcPr>
            <w:tcW w:w="7879" w:type="dxa"/>
            <w:vAlign w:val="center"/>
          </w:tcPr>
          <w:p>
            <w:pPr>
              <w:spacing w:line="276" w:lineRule="auto"/>
              <w:rPr>
                <w:rFonts w:ascii="宋体" w:hAnsi="宋体" w:cs="宋体"/>
                <w:snapToGrid w:val="0"/>
                <w:color w:val="auto"/>
                <w:sz w:val="24"/>
                <w:szCs w:val="24"/>
              </w:rPr>
            </w:pPr>
            <w:r>
              <w:rPr>
                <w:rFonts w:hint="eastAsia" w:ascii="宋体" w:hAnsi="宋体" w:cs="宋体"/>
                <w:snapToGrid w:val="0"/>
                <w:color w:val="auto"/>
                <w:sz w:val="24"/>
                <w:szCs w:val="24"/>
              </w:rPr>
              <w:t>投标人或所投产品生产厂家从 2019 年 1 月 1 日至今承担的省级及以上相关部门委托的环境空气质量自动监测站运维服务（运维范围至少包括 SO</w:t>
            </w:r>
            <w:r>
              <w:rPr>
                <w:rFonts w:hint="eastAsia" w:ascii="宋体" w:hAnsi="宋体" w:cs="宋体"/>
                <w:snapToGrid w:val="0"/>
                <w:color w:val="auto"/>
                <w:sz w:val="24"/>
                <w:szCs w:val="24"/>
                <w:vertAlign w:val="subscript"/>
              </w:rPr>
              <w:t>2</w:t>
            </w:r>
            <w:r>
              <w:rPr>
                <w:rFonts w:hint="eastAsia" w:ascii="宋体" w:hAnsi="宋体" w:cs="宋体"/>
                <w:snapToGrid w:val="0"/>
                <w:color w:val="auto"/>
                <w:sz w:val="24"/>
                <w:szCs w:val="24"/>
              </w:rPr>
              <w:t>、NO</w:t>
            </w:r>
            <w:r>
              <w:rPr>
                <w:rFonts w:hint="eastAsia" w:ascii="宋体" w:hAnsi="宋体" w:cs="宋体"/>
                <w:snapToGrid w:val="0"/>
                <w:color w:val="auto"/>
                <w:sz w:val="24"/>
                <w:szCs w:val="24"/>
                <w:vertAlign w:val="subscript"/>
              </w:rPr>
              <w:t>2</w:t>
            </w:r>
            <w:r>
              <w:rPr>
                <w:rFonts w:hint="eastAsia" w:ascii="宋体" w:hAnsi="宋体" w:cs="宋体"/>
                <w:snapToGrid w:val="0"/>
                <w:color w:val="auto"/>
                <w:sz w:val="24"/>
                <w:szCs w:val="24"/>
              </w:rPr>
              <w:t>（NOX、NO）、CO、O</w:t>
            </w:r>
            <w:r>
              <w:rPr>
                <w:rFonts w:hint="eastAsia" w:ascii="宋体" w:hAnsi="宋体" w:cs="宋体"/>
                <w:snapToGrid w:val="0"/>
                <w:color w:val="auto"/>
                <w:sz w:val="24"/>
                <w:szCs w:val="24"/>
                <w:vertAlign w:val="subscript"/>
              </w:rPr>
              <w:t>3</w:t>
            </w:r>
            <w:r>
              <w:rPr>
                <w:rFonts w:hint="eastAsia" w:ascii="宋体" w:hAnsi="宋体" w:cs="宋体"/>
                <w:snapToGrid w:val="0"/>
                <w:color w:val="auto"/>
                <w:sz w:val="24"/>
                <w:szCs w:val="24"/>
              </w:rPr>
              <w:t>、PM</w:t>
            </w:r>
            <w:r>
              <w:rPr>
                <w:rFonts w:hint="eastAsia" w:ascii="宋体" w:hAnsi="宋体" w:cs="宋体"/>
                <w:snapToGrid w:val="0"/>
                <w:color w:val="auto"/>
                <w:sz w:val="24"/>
                <w:szCs w:val="24"/>
                <w:vertAlign w:val="subscript"/>
              </w:rPr>
              <w:t>10</w:t>
            </w:r>
            <w:r>
              <w:rPr>
                <w:rFonts w:hint="eastAsia" w:ascii="宋体" w:hAnsi="宋体" w:cs="宋体"/>
                <w:snapToGrid w:val="0"/>
                <w:color w:val="auto"/>
                <w:sz w:val="24"/>
                <w:szCs w:val="24"/>
              </w:rPr>
              <w:t>、PM</w:t>
            </w:r>
            <w:r>
              <w:rPr>
                <w:rFonts w:hint="eastAsia" w:ascii="宋体" w:hAnsi="宋体" w:cs="宋体"/>
                <w:snapToGrid w:val="0"/>
                <w:color w:val="auto"/>
                <w:sz w:val="24"/>
                <w:szCs w:val="24"/>
                <w:vertAlign w:val="subscript"/>
              </w:rPr>
              <w:t>2.5</w:t>
            </w:r>
            <w:r>
              <w:rPr>
                <w:rFonts w:hint="eastAsia" w:ascii="宋体" w:hAnsi="宋体" w:cs="宋体"/>
                <w:snapToGrid w:val="0"/>
                <w:color w:val="auto"/>
                <w:sz w:val="24"/>
                <w:szCs w:val="24"/>
              </w:rPr>
              <w:t>指标分析仪），每运维 1 个站点得 0.3分，最高不超过 6分。</w:t>
            </w:r>
          </w:p>
          <w:p>
            <w:pPr>
              <w:spacing w:line="276" w:lineRule="auto"/>
              <w:rPr>
                <w:rFonts w:ascii="宋体" w:hAnsi="宋体" w:cs="宋体"/>
                <w:color w:val="auto"/>
                <w:sz w:val="24"/>
                <w:szCs w:val="24"/>
              </w:rPr>
            </w:pPr>
            <w:r>
              <w:rPr>
                <w:rFonts w:hint="eastAsia" w:ascii="宋体" w:hAnsi="宋体" w:cs="宋体"/>
                <w:color w:val="auto"/>
                <w:sz w:val="24"/>
                <w:szCs w:val="24"/>
              </w:rPr>
              <w:t>注：1、投标人在同一个站点多次承担运维服务的，按一个站点计算。</w:t>
            </w:r>
          </w:p>
          <w:p>
            <w:pPr>
              <w:spacing w:line="276" w:lineRule="auto"/>
              <w:rPr>
                <w:rFonts w:ascii="宋体" w:hAnsi="宋体" w:cs="宋体"/>
                <w:color w:val="auto"/>
                <w:sz w:val="24"/>
                <w:szCs w:val="24"/>
              </w:rPr>
            </w:pPr>
            <w:r>
              <w:rPr>
                <w:rFonts w:hint="eastAsia" w:ascii="宋体" w:hAnsi="宋体" w:cs="宋体"/>
                <w:color w:val="auto"/>
                <w:sz w:val="24"/>
                <w:szCs w:val="24"/>
              </w:rPr>
              <w:t>2、须提供业绩清单、运维合同及合同甲方出具的服务证明等材料，否则不予认可。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841" w:type="dxa"/>
            <w:vMerge w:val="continue"/>
            <w:vAlign w:val="center"/>
          </w:tcPr>
          <w:p>
            <w:pPr>
              <w:widowControl w:val="0"/>
              <w:autoSpaceDE w:val="0"/>
              <w:autoSpaceDN w:val="0"/>
              <w:adjustRightInd w:val="0"/>
              <w:spacing w:line="276" w:lineRule="auto"/>
              <w:jc w:val="center"/>
              <w:textAlignment w:val="auto"/>
              <w:rPr>
                <w:rFonts w:ascii="宋体" w:hAnsi="宋体" w:cs="宋体"/>
                <w:color w:val="auto"/>
                <w:sz w:val="24"/>
                <w:szCs w:val="24"/>
              </w:rPr>
            </w:pPr>
          </w:p>
        </w:tc>
        <w:tc>
          <w:tcPr>
            <w:tcW w:w="1310" w:type="dxa"/>
            <w:vMerge w:val="continue"/>
            <w:vAlign w:val="center"/>
          </w:tcPr>
          <w:p>
            <w:pPr>
              <w:widowControl w:val="0"/>
              <w:autoSpaceDE w:val="0"/>
              <w:autoSpaceDN w:val="0"/>
              <w:snapToGrid w:val="0"/>
              <w:spacing w:line="276" w:lineRule="auto"/>
              <w:jc w:val="center"/>
              <w:textAlignment w:val="auto"/>
              <w:rPr>
                <w:rFonts w:ascii="宋体" w:hAnsi="宋体" w:cs="宋体"/>
                <w:color w:val="auto"/>
                <w:sz w:val="24"/>
                <w:szCs w:val="24"/>
              </w:rPr>
            </w:pPr>
          </w:p>
        </w:tc>
        <w:tc>
          <w:tcPr>
            <w:tcW w:w="7879" w:type="dxa"/>
            <w:vAlign w:val="center"/>
          </w:tcPr>
          <w:p>
            <w:pPr>
              <w:spacing w:line="276" w:lineRule="auto"/>
              <w:rPr>
                <w:rFonts w:ascii="宋体" w:hAnsi="宋体" w:cs="宋体"/>
                <w:snapToGrid w:val="0"/>
                <w:color w:val="auto"/>
                <w:sz w:val="24"/>
                <w:szCs w:val="24"/>
              </w:rPr>
            </w:pPr>
            <w:r>
              <w:rPr>
                <w:rFonts w:hint="eastAsia" w:ascii="宋体" w:hAnsi="宋体" w:cs="宋体"/>
                <w:snapToGrid w:val="0"/>
                <w:color w:val="auto"/>
                <w:sz w:val="24"/>
                <w:szCs w:val="24"/>
              </w:rPr>
              <w:t>投标人或所投产品生产厂家通过质量管理体系认证、环境管理体系认证、职业健康安全管理体系认证，三个体系证书齐全的得2分，缺一项即不得分。提供认证证书。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841" w:type="dxa"/>
            <w:vMerge w:val="restart"/>
            <w:vAlign w:val="center"/>
          </w:tcPr>
          <w:p>
            <w:pPr>
              <w:widowControl w:val="0"/>
              <w:autoSpaceDE w:val="0"/>
              <w:autoSpaceDN w:val="0"/>
              <w:adjustRightInd w:val="0"/>
              <w:spacing w:line="276" w:lineRule="auto"/>
              <w:jc w:val="center"/>
              <w:textAlignment w:val="auto"/>
              <w:rPr>
                <w:rFonts w:ascii="宋体" w:hAnsi="宋体" w:cs="宋体"/>
                <w:color w:val="auto"/>
                <w:sz w:val="24"/>
                <w:szCs w:val="24"/>
              </w:rPr>
            </w:pPr>
            <w:r>
              <w:rPr>
                <w:rFonts w:ascii="宋体" w:hAnsi="宋体" w:cs="宋体"/>
                <w:color w:val="auto"/>
                <w:sz w:val="24"/>
                <w:szCs w:val="24"/>
              </w:rPr>
              <w:t>2.2.2.</w:t>
            </w:r>
            <w:r>
              <w:rPr>
                <w:rFonts w:hint="eastAsia" w:ascii="宋体" w:hAnsi="宋体" w:cs="宋体"/>
                <w:color w:val="auto"/>
                <w:sz w:val="24"/>
                <w:szCs w:val="24"/>
              </w:rPr>
              <w:t>4</w:t>
            </w:r>
          </w:p>
        </w:tc>
        <w:tc>
          <w:tcPr>
            <w:tcW w:w="1310" w:type="dxa"/>
            <w:vMerge w:val="restart"/>
            <w:vAlign w:val="center"/>
          </w:tcPr>
          <w:p>
            <w:pPr>
              <w:widowControl w:val="0"/>
              <w:autoSpaceDE w:val="0"/>
              <w:autoSpaceDN w:val="0"/>
              <w:snapToGrid w:val="0"/>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售后服务</w:t>
            </w:r>
          </w:p>
        </w:tc>
        <w:tc>
          <w:tcPr>
            <w:tcW w:w="7879" w:type="dxa"/>
            <w:vAlign w:val="center"/>
          </w:tcPr>
          <w:p>
            <w:pPr>
              <w:spacing w:line="276" w:lineRule="auto"/>
              <w:rPr>
                <w:rFonts w:ascii="宋体" w:hAnsi="宋体" w:cs="宋体"/>
                <w:snapToGrid w:val="0"/>
                <w:color w:val="auto"/>
                <w:sz w:val="24"/>
                <w:szCs w:val="24"/>
              </w:rPr>
            </w:pPr>
            <w:r>
              <w:rPr>
                <w:rFonts w:hint="eastAsia" w:ascii="宋体" w:hAnsi="宋体" w:cs="宋体"/>
                <w:color w:val="auto"/>
                <w:sz w:val="24"/>
                <w:szCs w:val="24"/>
              </w:rPr>
              <w:t>为保证运维服务质量，投标人承诺中标后一个月内完成备机的提供，提供的备机与所供仪器为同型号的得2分。</w:t>
            </w:r>
            <w:r>
              <w:rPr>
                <w:rFonts w:hint="eastAsia" w:ascii="宋体" w:hAnsi="宋体" w:cs="宋体"/>
                <w:bCs/>
                <w:snapToGrid w:val="0"/>
                <w:color w:val="auto"/>
                <w:sz w:val="24"/>
                <w:szCs w:val="24"/>
              </w:rPr>
              <w:t>否则不得分。提供承诺函。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841" w:type="dxa"/>
            <w:vMerge w:val="continue"/>
            <w:vAlign w:val="center"/>
          </w:tcPr>
          <w:p>
            <w:pPr>
              <w:widowControl w:val="0"/>
              <w:autoSpaceDE w:val="0"/>
              <w:autoSpaceDN w:val="0"/>
              <w:adjustRightInd w:val="0"/>
              <w:spacing w:line="276" w:lineRule="auto"/>
              <w:jc w:val="center"/>
              <w:textAlignment w:val="auto"/>
              <w:rPr>
                <w:rFonts w:ascii="宋体" w:hAnsi="宋体" w:cs="宋体"/>
                <w:color w:val="auto"/>
                <w:sz w:val="24"/>
                <w:szCs w:val="24"/>
              </w:rPr>
            </w:pPr>
          </w:p>
        </w:tc>
        <w:tc>
          <w:tcPr>
            <w:tcW w:w="1310" w:type="dxa"/>
            <w:vMerge w:val="continue"/>
            <w:vAlign w:val="center"/>
          </w:tcPr>
          <w:p>
            <w:pPr>
              <w:widowControl w:val="0"/>
              <w:autoSpaceDE w:val="0"/>
              <w:autoSpaceDN w:val="0"/>
              <w:snapToGrid w:val="0"/>
              <w:spacing w:line="276" w:lineRule="auto"/>
              <w:jc w:val="center"/>
              <w:textAlignment w:val="auto"/>
              <w:rPr>
                <w:rFonts w:ascii="宋体" w:hAnsi="宋体" w:cs="宋体"/>
                <w:color w:val="auto"/>
                <w:sz w:val="24"/>
                <w:szCs w:val="24"/>
              </w:rPr>
            </w:pPr>
          </w:p>
        </w:tc>
        <w:tc>
          <w:tcPr>
            <w:tcW w:w="7879" w:type="dxa"/>
            <w:vAlign w:val="center"/>
          </w:tcPr>
          <w:p>
            <w:pPr>
              <w:spacing w:line="276" w:lineRule="auto"/>
              <w:rPr>
                <w:rFonts w:ascii="宋体" w:hAnsi="宋体" w:cs="宋体"/>
                <w:color w:val="auto"/>
                <w:sz w:val="24"/>
                <w:szCs w:val="24"/>
              </w:rPr>
            </w:pPr>
            <w:r>
              <w:rPr>
                <w:rFonts w:hint="eastAsia" w:ascii="宋体" w:hAnsi="宋体" w:cs="宋体"/>
                <w:bCs/>
                <w:snapToGrid w:val="0"/>
                <w:color w:val="auto"/>
                <w:sz w:val="24"/>
                <w:szCs w:val="24"/>
              </w:rPr>
              <w:t>2019 年 1 月 1 日至今</w:t>
            </w:r>
            <w:r>
              <w:rPr>
                <w:rFonts w:hint="eastAsia" w:ascii="宋体" w:hAnsi="宋体" w:cs="宋体"/>
                <w:snapToGrid w:val="0"/>
                <w:color w:val="auto"/>
                <w:sz w:val="24"/>
                <w:szCs w:val="24"/>
              </w:rPr>
              <w:t>投标人或所投产品生产厂家</w:t>
            </w:r>
            <w:r>
              <w:rPr>
                <w:rFonts w:hint="eastAsia" w:ascii="宋体" w:hAnsi="宋体" w:cs="宋体"/>
                <w:bCs/>
                <w:snapToGrid w:val="0"/>
                <w:color w:val="auto"/>
                <w:sz w:val="24"/>
                <w:szCs w:val="24"/>
              </w:rPr>
              <w:t>取得中国环境服务认证（服务项目为环境空气连续自动监测系统运营服务），服务等级为一级的得 2分，服务等级为二级及以下的得1 分。提供有效证书，未提供的不得分。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841" w:type="dxa"/>
            <w:vMerge w:val="continue"/>
            <w:vAlign w:val="center"/>
          </w:tcPr>
          <w:p>
            <w:pPr>
              <w:widowControl w:val="0"/>
              <w:autoSpaceDE w:val="0"/>
              <w:autoSpaceDN w:val="0"/>
              <w:adjustRightInd w:val="0"/>
              <w:spacing w:line="276" w:lineRule="auto"/>
              <w:jc w:val="center"/>
              <w:textAlignment w:val="auto"/>
              <w:rPr>
                <w:rFonts w:ascii="宋体" w:hAnsi="宋体" w:cs="宋体"/>
                <w:color w:val="auto"/>
                <w:sz w:val="24"/>
                <w:szCs w:val="24"/>
              </w:rPr>
            </w:pPr>
          </w:p>
        </w:tc>
        <w:tc>
          <w:tcPr>
            <w:tcW w:w="1310" w:type="dxa"/>
            <w:vMerge w:val="continue"/>
            <w:vAlign w:val="center"/>
          </w:tcPr>
          <w:p>
            <w:pPr>
              <w:widowControl w:val="0"/>
              <w:autoSpaceDE w:val="0"/>
              <w:autoSpaceDN w:val="0"/>
              <w:snapToGrid w:val="0"/>
              <w:spacing w:line="276" w:lineRule="auto"/>
              <w:jc w:val="center"/>
              <w:textAlignment w:val="auto"/>
              <w:rPr>
                <w:rFonts w:ascii="宋体" w:hAnsi="宋体" w:cs="宋体"/>
                <w:color w:val="auto"/>
                <w:sz w:val="24"/>
                <w:szCs w:val="24"/>
              </w:rPr>
            </w:pPr>
          </w:p>
        </w:tc>
        <w:tc>
          <w:tcPr>
            <w:tcW w:w="7879" w:type="dxa"/>
            <w:vAlign w:val="center"/>
          </w:tcPr>
          <w:p>
            <w:pPr>
              <w:spacing w:line="276" w:lineRule="auto"/>
              <w:rPr>
                <w:rFonts w:ascii="宋体" w:hAnsi="宋体" w:cs="宋体"/>
                <w:snapToGrid w:val="0"/>
                <w:color w:val="auto"/>
                <w:sz w:val="24"/>
                <w:szCs w:val="24"/>
              </w:rPr>
            </w:pPr>
            <w:r>
              <w:rPr>
                <w:rFonts w:hint="eastAsia" w:ascii="宋体" w:hAnsi="宋体" w:cs="宋体"/>
                <w:snapToGrid w:val="0"/>
                <w:color w:val="auto"/>
                <w:sz w:val="24"/>
                <w:szCs w:val="24"/>
              </w:rPr>
              <w:t>投标人或所投产品生产厂家具有有效期内售后服务评价体系认证证书，且认证范围含环境监测相关内容，获得五星及以上认证的得2分，四星及以下认证的得1分。提供有效证书，未提供不得分。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841" w:type="dxa"/>
            <w:vMerge w:val="continue"/>
            <w:vAlign w:val="center"/>
          </w:tcPr>
          <w:p>
            <w:pPr>
              <w:widowControl w:val="0"/>
              <w:autoSpaceDE w:val="0"/>
              <w:autoSpaceDN w:val="0"/>
              <w:adjustRightInd w:val="0"/>
              <w:spacing w:line="276" w:lineRule="auto"/>
              <w:jc w:val="center"/>
              <w:textAlignment w:val="auto"/>
              <w:rPr>
                <w:rFonts w:ascii="宋体" w:hAnsi="宋体" w:cs="宋体"/>
                <w:color w:val="auto"/>
                <w:sz w:val="24"/>
                <w:szCs w:val="24"/>
              </w:rPr>
            </w:pPr>
          </w:p>
        </w:tc>
        <w:tc>
          <w:tcPr>
            <w:tcW w:w="1310" w:type="dxa"/>
            <w:vMerge w:val="continue"/>
            <w:vAlign w:val="center"/>
          </w:tcPr>
          <w:p>
            <w:pPr>
              <w:widowControl w:val="0"/>
              <w:autoSpaceDE w:val="0"/>
              <w:autoSpaceDN w:val="0"/>
              <w:snapToGrid w:val="0"/>
              <w:spacing w:line="276" w:lineRule="auto"/>
              <w:jc w:val="center"/>
              <w:textAlignment w:val="auto"/>
              <w:rPr>
                <w:rFonts w:ascii="宋体" w:hAnsi="宋体" w:cs="宋体"/>
                <w:color w:val="auto"/>
                <w:sz w:val="24"/>
                <w:szCs w:val="24"/>
              </w:rPr>
            </w:pPr>
          </w:p>
        </w:tc>
        <w:tc>
          <w:tcPr>
            <w:tcW w:w="7879" w:type="dxa"/>
            <w:vAlign w:val="center"/>
          </w:tcPr>
          <w:p>
            <w:pPr>
              <w:spacing w:line="276" w:lineRule="auto"/>
              <w:rPr>
                <w:rFonts w:ascii="宋体" w:hAnsi="宋体" w:cs="宋体"/>
                <w:snapToGrid w:val="0"/>
                <w:color w:val="auto"/>
                <w:sz w:val="24"/>
                <w:szCs w:val="24"/>
              </w:rPr>
            </w:pPr>
            <w:r>
              <w:rPr>
                <w:rFonts w:hint="eastAsia" w:ascii="宋体" w:hAnsi="宋体" w:cs="宋体"/>
                <w:snapToGrid w:val="0"/>
                <w:color w:val="auto"/>
                <w:sz w:val="24"/>
                <w:szCs w:val="24"/>
              </w:rPr>
              <w:t>本项目要求参与运维人员须持证上岗，投标人或所投产品生产厂家提供的本项目运维人员需取得中国环境监测总站环境空气质量运维技术与质控要求培训合格证书或国家网环境空气自动监测运维技术人员合格证书，提供有3名的得2分，少于3名或没有的不得分。提供人员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841" w:type="dxa"/>
            <w:vMerge w:val="continue"/>
            <w:vAlign w:val="center"/>
          </w:tcPr>
          <w:p>
            <w:pPr>
              <w:widowControl w:val="0"/>
              <w:autoSpaceDE w:val="0"/>
              <w:autoSpaceDN w:val="0"/>
              <w:adjustRightInd w:val="0"/>
              <w:spacing w:line="276" w:lineRule="auto"/>
              <w:jc w:val="center"/>
              <w:textAlignment w:val="auto"/>
              <w:rPr>
                <w:rFonts w:ascii="宋体" w:hAnsi="宋体" w:cs="宋体"/>
                <w:color w:val="auto"/>
                <w:sz w:val="24"/>
                <w:szCs w:val="24"/>
              </w:rPr>
            </w:pPr>
          </w:p>
        </w:tc>
        <w:tc>
          <w:tcPr>
            <w:tcW w:w="1310" w:type="dxa"/>
            <w:vMerge w:val="continue"/>
            <w:vAlign w:val="center"/>
          </w:tcPr>
          <w:p>
            <w:pPr>
              <w:widowControl w:val="0"/>
              <w:autoSpaceDE w:val="0"/>
              <w:autoSpaceDN w:val="0"/>
              <w:snapToGrid w:val="0"/>
              <w:spacing w:line="276" w:lineRule="auto"/>
              <w:jc w:val="center"/>
              <w:textAlignment w:val="auto"/>
              <w:rPr>
                <w:rFonts w:ascii="宋体" w:hAnsi="宋体" w:cs="宋体"/>
                <w:color w:val="auto"/>
                <w:sz w:val="24"/>
                <w:szCs w:val="24"/>
              </w:rPr>
            </w:pPr>
          </w:p>
        </w:tc>
        <w:tc>
          <w:tcPr>
            <w:tcW w:w="7879" w:type="dxa"/>
            <w:vAlign w:val="center"/>
          </w:tcPr>
          <w:p>
            <w:pPr>
              <w:spacing w:line="276" w:lineRule="auto"/>
              <w:rPr>
                <w:rFonts w:ascii="宋体" w:hAnsi="宋体" w:cs="宋体"/>
                <w:snapToGrid w:val="0"/>
                <w:color w:val="auto"/>
                <w:sz w:val="24"/>
                <w:szCs w:val="24"/>
              </w:rPr>
            </w:pPr>
            <w:r>
              <w:rPr>
                <w:rFonts w:hint="eastAsia" w:ascii="宋体" w:hAnsi="宋体" w:cs="宋体"/>
                <w:snapToGrid w:val="0"/>
                <w:color w:val="auto"/>
                <w:sz w:val="24"/>
                <w:szCs w:val="24"/>
              </w:rPr>
              <w:t>根据投标人运维车辆配置计划、车辆配备方案：包括具体站点配备情况、车辆来源等情况，提供2辆的得 1 分。少于2辆或没有的不得分。提供方案。</w:t>
            </w:r>
          </w:p>
        </w:tc>
      </w:tr>
    </w:tbl>
    <w:p>
      <w:pPr>
        <w:spacing w:line="360" w:lineRule="auto"/>
        <w:jc w:val="left"/>
        <w:textAlignment w:val="auto"/>
        <w:rPr>
          <w:rFonts w:ascii="黑体" w:hAnsi="黑体" w:eastAsia="黑体" w:cs="楷体_GB2312"/>
          <w:b/>
          <w:bCs/>
          <w:color w:val="auto"/>
          <w:sz w:val="24"/>
          <w:szCs w:val="24"/>
          <w:lang w:val="zh-CN"/>
        </w:rPr>
      </w:pPr>
      <w:r>
        <w:rPr>
          <w:rFonts w:hint="eastAsia" w:ascii="宋体" w:hAnsi="宋体" w:cs="宋体"/>
          <w:b/>
          <w:bCs/>
          <w:snapToGrid w:val="0"/>
          <w:color w:val="auto"/>
          <w:sz w:val="24"/>
          <w:szCs w:val="24"/>
        </w:rPr>
        <w:t>注：投标产品说明书技术参数与相关证明、证件、认证证书不符的，以相关证明、证件、认证证书为准，以上要求须提供相关证明、证件、认证证书、业绩资料等都必须是原件扫描件或复印件，计量认证证书需提供查询网址，未提供不得分，提供虚假资料将作无效标处理。</w:t>
      </w:r>
    </w:p>
    <w:p>
      <w:pPr>
        <w:spacing w:line="240" w:lineRule="auto"/>
        <w:jc w:val="left"/>
        <w:textAlignment w:val="auto"/>
        <w:rPr>
          <w:rFonts w:ascii="黑体" w:hAnsi="黑体" w:eastAsia="黑体" w:cs="楷体_GB2312"/>
          <w:b/>
          <w:bCs/>
          <w:color w:val="auto"/>
          <w:sz w:val="28"/>
          <w:szCs w:val="28"/>
          <w:lang w:val="zh-CN"/>
        </w:rPr>
      </w:pPr>
      <w:r>
        <w:rPr>
          <w:rFonts w:ascii="黑体" w:hAnsi="黑体" w:eastAsia="黑体" w:cs="楷体_GB2312"/>
          <w:b/>
          <w:bCs/>
          <w:color w:val="auto"/>
          <w:sz w:val="28"/>
          <w:szCs w:val="28"/>
          <w:lang w:val="zh-CN"/>
        </w:rPr>
        <w:br w:type="page"/>
      </w:r>
    </w:p>
    <w:p>
      <w:pPr>
        <w:spacing w:line="240" w:lineRule="auto"/>
        <w:jc w:val="left"/>
        <w:textAlignment w:val="auto"/>
        <w:rPr>
          <w:rFonts w:ascii="黑体" w:hAnsi="黑体" w:eastAsia="黑体" w:cs="楷体_GB2312"/>
          <w:b/>
          <w:bCs/>
          <w:color w:val="auto"/>
          <w:sz w:val="28"/>
          <w:szCs w:val="28"/>
          <w:lang w:val="zh-CN"/>
        </w:rPr>
      </w:pPr>
    </w:p>
    <w:p>
      <w:pPr>
        <w:autoSpaceDE w:val="0"/>
        <w:autoSpaceDN w:val="0"/>
        <w:adjustRightInd w:val="0"/>
        <w:snapToGrid w:val="0"/>
        <w:spacing w:beforeLines="50" w:line="300" w:lineRule="auto"/>
        <w:ind w:firstLine="562" w:firstLineChars="200"/>
        <w:jc w:val="left"/>
        <w:outlineLvl w:val="1"/>
        <w:rPr>
          <w:rFonts w:ascii="黑体" w:hAnsi="黑体" w:eastAsia="黑体" w:cs="楷体_GB2312"/>
          <w:b/>
          <w:bCs/>
          <w:color w:val="auto"/>
          <w:sz w:val="28"/>
          <w:szCs w:val="28"/>
          <w:lang w:val="zh-CN"/>
        </w:rPr>
      </w:pPr>
      <w:bookmarkStart w:id="45" w:name="_Toc114740101"/>
      <w:r>
        <w:rPr>
          <w:rFonts w:ascii="黑体" w:hAnsi="黑体" w:eastAsia="黑体" w:cs="楷体_GB2312"/>
          <w:b/>
          <w:bCs/>
          <w:color w:val="auto"/>
          <w:sz w:val="28"/>
          <w:szCs w:val="28"/>
          <w:lang w:val="zh-CN"/>
        </w:rPr>
        <w:t xml:space="preserve">1. </w:t>
      </w:r>
      <w:r>
        <w:rPr>
          <w:rFonts w:hint="eastAsia" w:ascii="黑体" w:hAnsi="黑体" w:eastAsia="黑体" w:cs="楷体_GB2312"/>
          <w:b/>
          <w:bCs/>
          <w:color w:val="auto"/>
          <w:sz w:val="28"/>
          <w:szCs w:val="28"/>
          <w:lang w:val="zh-CN"/>
        </w:rPr>
        <w:t>评标方法</w:t>
      </w:r>
      <w:bookmarkEnd w:id="45"/>
    </w:p>
    <w:p>
      <w:pPr>
        <w:widowControl w:val="0"/>
        <w:adjustRightInd w:val="0"/>
        <w:snapToGrid w:val="0"/>
        <w:spacing w:beforeLines="50" w:line="300" w:lineRule="auto"/>
        <w:ind w:firstLine="480" w:firstLineChars="200"/>
        <w:textAlignment w:val="top"/>
        <w:rPr>
          <w:color w:val="auto"/>
          <w:sz w:val="24"/>
          <w:szCs w:val="24"/>
        </w:rPr>
      </w:pPr>
      <w:r>
        <w:rPr>
          <w:rFonts w:hint="eastAsia"/>
          <w:color w:val="auto"/>
          <w:sz w:val="24"/>
          <w:szCs w:val="24"/>
        </w:rPr>
        <w:t>本次招标项目（标段&lt;包&gt;）的评标方法采用《政府采购货物和服务招标投标管理办法》中的“综合评分法”。</w:t>
      </w:r>
    </w:p>
    <w:p>
      <w:pPr>
        <w:widowControl w:val="0"/>
        <w:adjustRightInd w:val="0"/>
        <w:snapToGrid w:val="0"/>
        <w:spacing w:beforeLines="50" w:line="300" w:lineRule="auto"/>
        <w:ind w:firstLine="480" w:firstLineChars="200"/>
        <w:textAlignment w:val="top"/>
        <w:rPr>
          <w:color w:val="auto"/>
          <w:sz w:val="24"/>
          <w:szCs w:val="24"/>
        </w:rPr>
      </w:pPr>
      <w:r>
        <w:rPr>
          <w:rFonts w:hint="eastAsia"/>
          <w:color w:val="auto"/>
          <w:sz w:val="24"/>
          <w:szCs w:val="24"/>
        </w:rPr>
        <w:t>投标文件满足招标文件全部实质性要求的，评标委员会按照“评标办法前附表”列示的各项评审因素进行评价、打分，投标人的各项评审因素得分的汇总分值即为投标人该项目（标段&lt;包&gt;）的评审得分，评审得分最高的投标人为该项目（标段&lt;包&gt;）的中标候选人。如有两个投标人评审得分相同、并列第一的，以投标报价得分高者为该项目（标段（包））的中标候选人。</w:t>
      </w:r>
    </w:p>
    <w:p>
      <w:pPr>
        <w:autoSpaceDE w:val="0"/>
        <w:autoSpaceDN w:val="0"/>
        <w:adjustRightInd w:val="0"/>
        <w:snapToGrid w:val="0"/>
        <w:spacing w:before="50" w:line="300" w:lineRule="auto"/>
        <w:ind w:firstLine="480" w:firstLineChars="200"/>
        <w:jc w:val="left"/>
        <w:rPr>
          <w:rFonts w:ascii="宋体"/>
          <w:color w:val="auto"/>
          <w:sz w:val="24"/>
        </w:rPr>
      </w:pPr>
      <w:r>
        <w:rPr>
          <w:rFonts w:hint="eastAsia" w:ascii="宋体"/>
          <w:color w:val="auto"/>
          <w:sz w:val="24"/>
        </w:rPr>
        <w:t>注：本次招标项目投标人可参与多标段（包）投标，为保证及时供货，投标人最多中一个标段（包）。评标委员会将按标段（包）1-3的顺序进行评审，综合得分最高的单位则按标段（包）顺序确定中标标段（包）。其它标段（包）的中标候选人确认顺序依据上述原则依次确认。如：A公司为标段（包）1、2综合得分最高，则只确定标段（包）1为中标候选人，标段（包）2则由综合得分次高的单位中标（成交）。</w:t>
      </w:r>
    </w:p>
    <w:p>
      <w:pPr>
        <w:autoSpaceDE w:val="0"/>
        <w:autoSpaceDN w:val="0"/>
        <w:adjustRightInd w:val="0"/>
        <w:snapToGrid w:val="0"/>
        <w:spacing w:before="50" w:line="300" w:lineRule="auto"/>
        <w:ind w:firstLine="480" w:firstLineChars="200"/>
        <w:jc w:val="left"/>
        <w:rPr>
          <w:rFonts w:ascii="宋体"/>
          <w:color w:val="auto"/>
          <w:sz w:val="24"/>
        </w:rPr>
      </w:pPr>
    </w:p>
    <w:p>
      <w:pPr>
        <w:widowControl w:val="0"/>
        <w:autoSpaceDE w:val="0"/>
        <w:autoSpaceDN w:val="0"/>
        <w:adjustRightInd w:val="0"/>
        <w:snapToGrid w:val="0"/>
        <w:spacing w:before="50" w:line="300" w:lineRule="auto"/>
        <w:ind w:firstLine="562" w:firstLineChars="200"/>
        <w:textAlignment w:val="auto"/>
        <w:outlineLvl w:val="1"/>
        <w:rPr>
          <w:rFonts w:ascii="黑体" w:hAnsi="黑体" w:eastAsia="黑体" w:cs="楷体_GB2312"/>
          <w:b/>
          <w:bCs/>
          <w:color w:val="auto"/>
          <w:sz w:val="28"/>
          <w:szCs w:val="28"/>
          <w:lang w:val="zh-CN"/>
        </w:rPr>
      </w:pPr>
      <w:bookmarkStart w:id="46" w:name="_Toc114740102"/>
      <w:r>
        <w:rPr>
          <w:rFonts w:ascii="黑体" w:hAnsi="黑体" w:eastAsia="黑体" w:cs="楷体_GB2312"/>
          <w:b/>
          <w:bCs/>
          <w:color w:val="auto"/>
          <w:sz w:val="28"/>
          <w:szCs w:val="28"/>
          <w:lang w:val="zh-CN"/>
        </w:rPr>
        <w:t xml:space="preserve">2. </w:t>
      </w:r>
      <w:r>
        <w:rPr>
          <w:rFonts w:hint="eastAsia" w:ascii="黑体" w:hAnsi="黑体" w:eastAsia="黑体" w:cs="楷体_GB2312"/>
          <w:b/>
          <w:bCs/>
          <w:color w:val="auto"/>
          <w:sz w:val="28"/>
          <w:szCs w:val="28"/>
          <w:lang w:val="zh-CN"/>
        </w:rPr>
        <w:t>评标标准</w:t>
      </w:r>
      <w:bookmarkEnd w:id="46"/>
    </w:p>
    <w:p>
      <w:pPr>
        <w:autoSpaceDE w:val="0"/>
        <w:autoSpaceDN w:val="0"/>
        <w:adjustRightInd w:val="0"/>
        <w:snapToGrid w:val="0"/>
        <w:spacing w:before="50" w:line="300" w:lineRule="auto"/>
        <w:ind w:firstLine="482" w:firstLineChars="200"/>
        <w:jc w:val="left"/>
        <w:rPr>
          <w:rFonts w:ascii="宋体"/>
          <w:color w:val="auto"/>
          <w:sz w:val="24"/>
        </w:rPr>
      </w:pPr>
      <w:r>
        <w:rPr>
          <w:rFonts w:ascii="黑体" w:hAnsi="黑体" w:eastAsia="黑体"/>
          <w:b/>
          <w:color w:val="auto"/>
          <w:sz w:val="24"/>
        </w:rPr>
        <w:t xml:space="preserve">2.1 </w:t>
      </w:r>
      <w:r>
        <w:rPr>
          <w:rFonts w:hint="eastAsia" w:ascii="黑体" w:hAnsi="黑体" w:eastAsia="黑体"/>
          <w:b/>
          <w:color w:val="auto"/>
          <w:sz w:val="24"/>
        </w:rPr>
        <w:t>符合性审查标准：</w:t>
      </w:r>
      <w:r>
        <w:rPr>
          <w:rFonts w:hint="eastAsia" w:ascii="宋体" w:hAnsi="宋体"/>
          <w:color w:val="auto"/>
          <w:sz w:val="24"/>
        </w:rPr>
        <w:t>见评标办法前附表</w:t>
      </w:r>
    </w:p>
    <w:p>
      <w:pPr>
        <w:autoSpaceDE w:val="0"/>
        <w:autoSpaceDN w:val="0"/>
        <w:adjustRightInd w:val="0"/>
        <w:snapToGrid w:val="0"/>
        <w:spacing w:before="50" w:line="300" w:lineRule="auto"/>
        <w:ind w:firstLine="482" w:firstLineChars="200"/>
        <w:jc w:val="left"/>
        <w:rPr>
          <w:rFonts w:ascii="黑体" w:hAnsi="黑体" w:eastAsia="黑体"/>
          <w:b/>
          <w:color w:val="auto"/>
          <w:sz w:val="24"/>
        </w:rPr>
      </w:pPr>
      <w:r>
        <w:rPr>
          <w:rFonts w:ascii="黑体" w:hAnsi="黑体" w:eastAsia="黑体"/>
          <w:b/>
          <w:color w:val="auto"/>
          <w:sz w:val="24"/>
        </w:rPr>
        <w:t xml:space="preserve">2.2 </w:t>
      </w:r>
      <w:r>
        <w:rPr>
          <w:rFonts w:hint="eastAsia" w:ascii="黑体" w:hAnsi="黑体" w:eastAsia="黑体"/>
          <w:b/>
          <w:color w:val="auto"/>
          <w:sz w:val="24"/>
        </w:rPr>
        <w:t>详细评审标准</w:t>
      </w:r>
    </w:p>
    <w:p>
      <w:pPr>
        <w:autoSpaceDE w:val="0"/>
        <w:autoSpaceDN w:val="0"/>
        <w:adjustRightInd w:val="0"/>
        <w:snapToGrid w:val="0"/>
        <w:spacing w:before="50" w:line="300" w:lineRule="auto"/>
        <w:ind w:firstLine="480" w:firstLineChars="200"/>
        <w:jc w:val="left"/>
        <w:rPr>
          <w:rFonts w:ascii="宋体"/>
          <w:color w:val="auto"/>
          <w:sz w:val="24"/>
        </w:rPr>
      </w:pPr>
      <w:r>
        <w:rPr>
          <w:rFonts w:ascii="宋体" w:hAnsi="宋体"/>
          <w:color w:val="auto"/>
          <w:sz w:val="24"/>
        </w:rPr>
        <w:t xml:space="preserve">2.2.1 </w:t>
      </w:r>
      <w:r>
        <w:rPr>
          <w:rFonts w:hint="eastAsia" w:ascii="宋体" w:hAnsi="宋体"/>
          <w:color w:val="auto"/>
          <w:sz w:val="24"/>
        </w:rPr>
        <w:t>分值构成：见评标办法前附表</w:t>
      </w:r>
    </w:p>
    <w:p>
      <w:pPr>
        <w:autoSpaceDE w:val="0"/>
        <w:autoSpaceDN w:val="0"/>
        <w:adjustRightInd w:val="0"/>
        <w:snapToGrid w:val="0"/>
        <w:spacing w:before="50" w:line="300" w:lineRule="auto"/>
        <w:ind w:firstLine="480" w:firstLineChars="200"/>
        <w:jc w:val="left"/>
        <w:rPr>
          <w:rFonts w:ascii="宋体" w:hAnsi="宋体"/>
          <w:color w:val="auto"/>
          <w:sz w:val="24"/>
        </w:rPr>
      </w:pPr>
      <w:r>
        <w:rPr>
          <w:rFonts w:ascii="宋体" w:hAnsi="宋体"/>
          <w:color w:val="auto"/>
          <w:sz w:val="24"/>
        </w:rPr>
        <w:t xml:space="preserve">2.2.2 </w:t>
      </w:r>
      <w:r>
        <w:rPr>
          <w:rFonts w:hint="eastAsia" w:ascii="宋体" w:hAnsi="宋体"/>
          <w:color w:val="auto"/>
          <w:sz w:val="24"/>
        </w:rPr>
        <w:t>评分标准：见评标办法前附表</w:t>
      </w:r>
    </w:p>
    <w:p>
      <w:pPr>
        <w:autoSpaceDE w:val="0"/>
        <w:autoSpaceDN w:val="0"/>
        <w:adjustRightInd w:val="0"/>
        <w:snapToGrid w:val="0"/>
        <w:spacing w:before="50" w:line="300" w:lineRule="auto"/>
        <w:ind w:firstLine="480" w:firstLineChars="200"/>
        <w:jc w:val="left"/>
        <w:rPr>
          <w:rFonts w:ascii="宋体"/>
          <w:color w:val="auto"/>
          <w:sz w:val="24"/>
        </w:rPr>
      </w:pPr>
    </w:p>
    <w:p>
      <w:pPr>
        <w:widowControl w:val="0"/>
        <w:autoSpaceDE w:val="0"/>
        <w:autoSpaceDN w:val="0"/>
        <w:adjustRightInd w:val="0"/>
        <w:snapToGrid w:val="0"/>
        <w:spacing w:before="50" w:line="300" w:lineRule="auto"/>
        <w:ind w:firstLine="562" w:firstLineChars="200"/>
        <w:textAlignment w:val="auto"/>
        <w:outlineLvl w:val="1"/>
        <w:rPr>
          <w:rFonts w:ascii="黑体" w:hAnsi="黑体" w:eastAsia="黑体" w:cs="楷体_GB2312"/>
          <w:b/>
          <w:bCs/>
          <w:color w:val="auto"/>
          <w:sz w:val="28"/>
          <w:szCs w:val="28"/>
          <w:lang w:val="zh-CN"/>
        </w:rPr>
      </w:pPr>
      <w:bookmarkStart w:id="47" w:name="_Toc114740103"/>
      <w:r>
        <w:rPr>
          <w:rFonts w:ascii="黑体" w:hAnsi="黑体" w:eastAsia="黑体" w:cs="楷体_GB2312"/>
          <w:b/>
          <w:bCs/>
          <w:color w:val="auto"/>
          <w:sz w:val="28"/>
          <w:szCs w:val="28"/>
          <w:lang w:val="zh-CN"/>
        </w:rPr>
        <w:t xml:space="preserve">3. </w:t>
      </w:r>
      <w:r>
        <w:rPr>
          <w:rFonts w:hint="eastAsia" w:ascii="黑体" w:hAnsi="黑体" w:eastAsia="黑体" w:cs="楷体_GB2312"/>
          <w:b/>
          <w:bCs/>
          <w:color w:val="auto"/>
          <w:sz w:val="28"/>
          <w:szCs w:val="28"/>
          <w:lang w:val="zh-CN"/>
        </w:rPr>
        <w:t>评标程序</w:t>
      </w:r>
      <w:bookmarkEnd w:id="47"/>
    </w:p>
    <w:p>
      <w:pPr>
        <w:autoSpaceDE w:val="0"/>
        <w:autoSpaceDN w:val="0"/>
        <w:adjustRightInd w:val="0"/>
        <w:snapToGrid w:val="0"/>
        <w:spacing w:beforeLines="50" w:line="300" w:lineRule="auto"/>
        <w:ind w:firstLine="482" w:firstLineChars="200"/>
        <w:jc w:val="left"/>
        <w:rPr>
          <w:rFonts w:ascii="黑体" w:hAnsi="黑体" w:eastAsia="黑体"/>
          <w:b/>
          <w:color w:val="auto"/>
          <w:sz w:val="24"/>
          <w:szCs w:val="24"/>
        </w:rPr>
      </w:pPr>
      <w:r>
        <w:rPr>
          <w:rFonts w:hint="eastAsia" w:ascii="黑体" w:hAnsi="黑体" w:eastAsia="黑体"/>
          <w:b/>
          <w:color w:val="auto"/>
          <w:sz w:val="24"/>
          <w:szCs w:val="24"/>
        </w:rPr>
        <w:t>评标委员会按标段（包）进行评审</w:t>
      </w:r>
    </w:p>
    <w:p>
      <w:pPr>
        <w:autoSpaceDE w:val="0"/>
        <w:autoSpaceDN w:val="0"/>
        <w:adjustRightInd w:val="0"/>
        <w:snapToGrid w:val="0"/>
        <w:spacing w:beforeLines="50" w:line="300" w:lineRule="auto"/>
        <w:ind w:firstLine="482" w:firstLineChars="200"/>
        <w:jc w:val="left"/>
        <w:rPr>
          <w:rFonts w:ascii="黑体" w:hAnsi="黑体" w:eastAsia="黑体"/>
          <w:b/>
          <w:color w:val="auto"/>
          <w:sz w:val="24"/>
        </w:rPr>
      </w:pPr>
      <w:r>
        <w:rPr>
          <w:rFonts w:ascii="黑体" w:hAnsi="黑体" w:eastAsia="黑体"/>
          <w:b/>
          <w:color w:val="auto"/>
          <w:sz w:val="24"/>
        </w:rPr>
        <w:t xml:space="preserve">3.1 </w:t>
      </w:r>
      <w:r>
        <w:rPr>
          <w:rFonts w:hint="eastAsia" w:ascii="黑体" w:hAnsi="黑体" w:eastAsia="黑体"/>
          <w:b/>
          <w:color w:val="auto"/>
          <w:sz w:val="24"/>
        </w:rPr>
        <w:t>审阅招标文件</w:t>
      </w:r>
    </w:p>
    <w:p>
      <w:pPr>
        <w:pStyle w:val="54"/>
        <w:snapToGrid w:val="0"/>
        <w:spacing w:beforeLines="50" w:line="300" w:lineRule="auto"/>
        <w:ind w:firstLine="480" w:firstLineChars="200"/>
        <w:jc w:val="both"/>
        <w:rPr>
          <w:rFonts w:hAnsi="宋体"/>
          <w:color w:val="auto"/>
        </w:rPr>
      </w:pPr>
      <w:r>
        <w:rPr>
          <w:rFonts w:hAnsi="宋体"/>
          <w:color w:val="auto"/>
        </w:rPr>
        <w:t>3.1.1</w:t>
      </w:r>
      <w:r>
        <w:rPr>
          <w:rFonts w:hint="eastAsia" w:hAnsi="宋体"/>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将修改招标文件，重新组织采购活动。</w:t>
      </w:r>
    </w:p>
    <w:p>
      <w:pPr>
        <w:widowControl w:val="0"/>
        <w:autoSpaceDE w:val="0"/>
        <w:autoSpaceDN w:val="0"/>
        <w:adjustRightInd w:val="0"/>
        <w:snapToGrid w:val="0"/>
        <w:spacing w:beforeLines="50" w:line="300" w:lineRule="auto"/>
        <w:ind w:firstLine="480" w:firstLineChars="200"/>
        <w:textAlignment w:val="auto"/>
        <w:rPr>
          <w:rFonts w:ascii="宋体"/>
          <w:color w:val="auto"/>
          <w:sz w:val="24"/>
        </w:rPr>
      </w:pPr>
      <w:r>
        <w:rPr>
          <w:rFonts w:ascii="宋体" w:hAnsi="宋体"/>
          <w:color w:val="auto"/>
          <w:sz w:val="24"/>
        </w:rPr>
        <w:t xml:space="preserve">3.1.2  </w:t>
      </w:r>
      <w:r>
        <w:rPr>
          <w:rFonts w:hint="eastAsia" w:ascii="宋体" w:hAnsi="宋体"/>
          <w:color w:val="auto"/>
          <w:sz w:val="24"/>
        </w:rPr>
        <w:t>评标委员会</w:t>
      </w:r>
      <w:r>
        <w:rPr>
          <w:rFonts w:hint="eastAsia" w:ascii="??" w:hAnsi="??" w:cs="宋体"/>
          <w:color w:val="auto"/>
          <w:sz w:val="24"/>
          <w:szCs w:val="21"/>
        </w:rPr>
        <w:t>要求解释</w:t>
      </w:r>
      <w:r>
        <w:rPr>
          <w:rFonts w:hint="eastAsia" w:ascii="宋体" w:hAnsi="宋体"/>
          <w:color w:val="auto"/>
          <w:sz w:val="24"/>
        </w:rPr>
        <w:t>招标文件的，书面提出需解释的相关招标文件的具体内容后、由采购代理机构或者采购人进行书面解释。</w:t>
      </w:r>
    </w:p>
    <w:p>
      <w:pPr>
        <w:autoSpaceDE w:val="0"/>
        <w:autoSpaceDN w:val="0"/>
        <w:adjustRightInd w:val="0"/>
        <w:snapToGrid w:val="0"/>
        <w:spacing w:before="50" w:line="300" w:lineRule="auto"/>
        <w:ind w:firstLine="482" w:firstLineChars="200"/>
        <w:jc w:val="left"/>
        <w:rPr>
          <w:rFonts w:ascii="黑体" w:hAnsi="黑体" w:eastAsia="黑体"/>
          <w:b/>
          <w:color w:val="auto"/>
          <w:sz w:val="24"/>
        </w:rPr>
      </w:pPr>
      <w:r>
        <w:rPr>
          <w:rFonts w:ascii="黑体" w:hAnsi="黑体" w:eastAsia="黑体"/>
          <w:b/>
          <w:color w:val="auto"/>
          <w:sz w:val="24"/>
        </w:rPr>
        <w:t xml:space="preserve">3.2 </w:t>
      </w:r>
      <w:r>
        <w:rPr>
          <w:rFonts w:hint="eastAsia" w:ascii="黑体" w:hAnsi="黑体" w:eastAsia="黑体"/>
          <w:b/>
          <w:color w:val="auto"/>
          <w:sz w:val="24"/>
        </w:rPr>
        <w:t>符合性审查</w:t>
      </w:r>
    </w:p>
    <w:p>
      <w:pPr>
        <w:autoSpaceDE w:val="0"/>
        <w:autoSpaceDN w:val="0"/>
        <w:adjustRightInd w:val="0"/>
        <w:snapToGrid w:val="0"/>
        <w:spacing w:before="50" w:line="300" w:lineRule="auto"/>
        <w:ind w:firstLine="480" w:firstLineChars="200"/>
        <w:jc w:val="left"/>
        <w:rPr>
          <w:rFonts w:ascii="宋体"/>
          <w:color w:val="auto"/>
          <w:sz w:val="24"/>
        </w:rPr>
      </w:pPr>
      <w:r>
        <w:rPr>
          <w:rFonts w:ascii="宋体" w:hAnsi="宋体"/>
          <w:color w:val="auto"/>
          <w:sz w:val="24"/>
        </w:rPr>
        <w:t xml:space="preserve">3.2.1 </w:t>
      </w:r>
      <w:r>
        <w:rPr>
          <w:rFonts w:hint="eastAsia" w:ascii="宋体" w:hAnsi="宋体" w:cs="宋体"/>
          <w:color w:val="auto"/>
          <w:sz w:val="24"/>
        </w:rPr>
        <w:t>评标委员会对符合资格的投标人的投标文件进行符合性审查，以确定其是否满足招标文件的实质性要求。</w:t>
      </w:r>
    </w:p>
    <w:p>
      <w:pPr>
        <w:autoSpaceDE w:val="0"/>
        <w:autoSpaceDN w:val="0"/>
        <w:adjustRightInd w:val="0"/>
        <w:snapToGrid w:val="0"/>
        <w:spacing w:before="50" w:line="300" w:lineRule="auto"/>
        <w:ind w:firstLine="480" w:firstLineChars="200"/>
        <w:jc w:val="left"/>
        <w:rPr>
          <w:rFonts w:ascii="宋体" w:hAnsi="宋体"/>
          <w:color w:val="auto"/>
          <w:sz w:val="24"/>
        </w:rPr>
      </w:pPr>
      <w:r>
        <w:rPr>
          <w:rFonts w:hint="eastAsia" w:ascii="宋体" w:hAnsi="宋体"/>
          <w:color w:val="auto"/>
          <w:sz w:val="24"/>
        </w:rPr>
        <w:t>评标委员会依据本章第</w:t>
      </w:r>
      <w:r>
        <w:rPr>
          <w:rFonts w:ascii="宋体" w:hAnsi="宋体"/>
          <w:color w:val="auto"/>
          <w:sz w:val="24"/>
        </w:rPr>
        <w:t>2.1</w:t>
      </w:r>
      <w:r>
        <w:rPr>
          <w:rFonts w:hint="eastAsia" w:ascii="宋体" w:hAnsi="宋体"/>
          <w:color w:val="auto"/>
          <w:sz w:val="24"/>
        </w:rPr>
        <w:t>款规定的标准对投标文件进行符合性评审。有一项不符合评审标准的，作无效投标处理。</w:t>
      </w:r>
    </w:p>
    <w:p>
      <w:pPr>
        <w:autoSpaceDE w:val="0"/>
        <w:autoSpaceDN w:val="0"/>
        <w:adjustRightInd w:val="0"/>
        <w:snapToGrid w:val="0"/>
        <w:spacing w:before="50" w:line="300" w:lineRule="auto"/>
        <w:ind w:firstLine="480" w:firstLineChars="200"/>
        <w:jc w:val="left"/>
        <w:rPr>
          <w:rFonts w:ascii="宋体"/>
          <w:color w:val="auto"/>
          <w:sz w:val="24"/>
        </w:rPr>
      </w:pPr>
      <w:r>
        <w:rPr>
          <w:rFonts w:ascii="宋体" w:hAnsi="宋体"/>
          <w:color w:val="auto"/>
          <w:sz w:val="24"/>
        </w:rPr>
        <w:t xml:space="preserve">3.2.2 </w:t>
      </w:r>
      <w:r>
        <w:rPr>
          <w:rFonts w:hint="eastAsia" w:ascii="宋体" w:hAnsi="宋体"/>
          <w:color w:val="auto"/>
          <w:sz w:val="24"/>
        </w:rPr>
        <w:t>投标人有以下情形之一的，其投标作无效投标处理：</w:t>
      </w:r>
    </w:p>
    <w:p>
      <w:pPr>
        <w:autoSpaceDE w:val="0"/>
        <w:autoSpaceDN w:val="0"/>
        <w:adjustRightInd w:val="0"/>
        <w:snapToGrid w:val="0"/>
        <w:spacing w:line="300" w:lineRule="auto"/>
        <w:ind w:firstLine="480" w:firstLineChars="200"/>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）投标人不符合国家或者招标文件规定的资格条件；</w:t>
      </w:r>
    </w:p>
    <w:p>
      <w:pPr>
        <w:autoSpaceDE w:val="0"/>
        <w:autoSpaceDN w:val="0"/>
        <w:adjustRightInd w:val="0"/>
        <w:snapToGrid w:val="0"/>
        <w:spacing w:line="300" w:lineRule="auto"/>
        <w:ind w:firstLine="480" w:firstLineChars="200"/>
        <w:jc w:val="left"/>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）投标人没有按照招标文件要求提供投标承诺函；</w:t>
      </w:r>
    </w:p>
    <w:p>
      <w:pPr>
        <w:autoSpaceDE w:val="0"/>
        <w:autoSpaceDN w:val="0"/>
        <w:adjustRightInd w:val="0"/>
        <w:snapToGrid w:val="0"/>
        <w:spacing w:line="300" w:lineRule="auto"/>
        <w:ind w:firstLine="480" w:firstLineChars="200"/>
        <w:jc w:val="left"/>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）投标联合体不符合招标文件规定；</w:t>
      </w:r>
    </w:p>
    <w:p>
      <w:pPr>
        <w:autoSpaceDE w:val="0"/>
        <w:autoSpaceDN w:val="0"/>
        <w:adjustRightInd w:val="0"/>
        <w:snapToGrid w:val="0"/>
        <w:spacing w:line="300" w:lineRule="auto"/>
        <w:ind w:firstLine="480" w:firstLineChars="200"/>
        <w:jc w:val="left"/>
        <w:rPr>
          <w:rFonts w:asci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）投标文件的签字盖章不符合招标文件规定；</w:t>
      </w:r>
    </w:p>
    <w:p>
      <w:pPr>
        <w:autoSpaceDE w:val="0"/>
        <w:autoSpaceDN w:val="0"/>
        <w:adjustRightInd w:val="0"/>
        <w:snapToGrid w:val="0"/>
        <w:spacing w:line="300" w:lineRule="auto"/>
        <w:ind w:firstLine="480" w:firstLineChars="200"/>
        <w:jc w:val="left"/>
        <w:rPr>
          <w:rFonts w:asci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）投标报价超过招标文件中规定的预算金额或者最高限价的；</w:t>
      </w:r>
    </w:p>
    <w:p>
      <w:pPr>
        <w:autoSpaceDE w:val="0"/>
        <w:autoSpaceDN w:val="0"/>
        <w:adjustRightInd w:val="0"/>
        <w:snapToGrid w:val="0"/>
        <w:spacing w:line="300" w:lineRule="auto"/>
        <w:ind w:firstLine="480" w:firstLineChars="200"/>
        <w:jc w:val="left"/>
        <w:rPr>
          <w:rFonts w:ascii="宋体"/>
          <w:color w:val="auto"/>
          <w:sz w:val="24"/>
        </w:rPr>
      </w:pPr>
      <w:r>
        <w:rPr>
          <w:rFonts w:hint="eastAsia" w:ascii="宋体" w:hAnsi="宋体"/>
          <w:color w:val="auto"/>
          <w:sz w:val="24"/>
        </w:rPr>
        <w:t>（</w:t>
      </w:r>
      <w:r>
        <w:rPr>
          <w:rFonts w:ascii="宋体" w:hAnsi="宋体"/>
          <w:color w:val="auto"/>
          <w:sz w:val="24"/>
        </w:rPr>
        <w:t>6</w:t>
      </w:r>
      <w:r>
        <w:rPr>
          <w:rFonts w:hint="eastAsia" w:ascii="宋体" w:hAnsi="宋体"/>
          <w:color w:val="auto"/>
          <w:sz w:val="24"/>
        </w:rPr>
        <w:t>）同一投标人提交两个以上不同的投标文件或者投标报价，投标文件的每种报价有两个报价或其他选择性报价的。</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7</w:t>
      </w:r>
      <w:r>
        <w:rPr>
          <w:rFonts w:hint="eastAsia" w:ascii="宋体" w:hAnsi="宋体"/>
          <w:color w:val="auto"/>
          <w:sz w:val="24"/>
        </w:rPr>
        <w:t>）投标文件没有对招标文件的实质性要求和条件作出实质性响应，或不符合招标文件的实质性要求和条件；</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8</w:t>
      </w:r>
      <w:r>
        <w:rPr>
          <w:rFonts w:hint="eastAsia" w:ascii="宋体" w:hAnsi="宋体"/>
          <w:color w:val="auto"/>
          <w:sz w:val="24"/>
        </w:rPr>
        <w:t>）投标文件附有招标项目不能接受的条件或不符合国家强制性规定的；</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9</w:t>
      </w:r>
      <w:r>
        <w:rPr>
          <w:rFonts w:hint="eastAsia" w:ascii="宋体" w:hAnsi="宋体"/>
          <w:color w:val="auto"/>
          <w:sz w:val="24"/>
        </w:rPr>
        <w:t>）单位负责人为同一人或者存在控股、管理关系的不同单位，参加同一项目（标段&lt;包&gt;）投标的；</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w:t>
      </w:r>
      <w:r>
        <w:rPr>
          <w:rFonts w:ascii="宋体" w:hAnsi="宋体"/>
          <w:color w:val="auto"/>
          <w:sz w:val="24"/>
        </w:rPr>
        <w:t>10</w:t>
      </w:r>
      <w:r>
        <w:rPr>
          <w:rFonts w:hint="eastAsia" w:ascii="宋体" w:hAnsi="宋体"/>
          <w:color w:val="auto"/>
          <w:sz w:val="24"/>
        </w:rPr>
        <w:t>）为招标项目提供整体设计、规范编制或者项目管理、监理、检测等服务的供应商，不得再参加该招标项目的其他采购活动。</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color w:val="auto"/>
          <w:sz w:val="24"/>
        </w:rPr>
        <w:t>（11）组成联合体或者接受分包的小微企业与联合体内其他企业、分包企业之间存在直接控股、管理关系的。</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2）提供虚假材料谋取中标的；</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3）不确认本章</w:t>
      </w:r>
      <w:r>
        <w:rPr>
          <w:rFonts w:ascii="宋体" w:hAnsi="宋体"/>
          <w:color w:val="auto"/>
          <w:sz w:val="24"/>
        </w:rPr>
        <w:t>3.4.1</w:t>
      </w:r>
      <w:r>
        <w:rPr>
          <w:rFonts w:hint="eastAsia" w:ascii="宋体" w:hAnsi="宋体"/>
          <w:color w:val="auto"/>
          <w:sz w:val="24"/>
        </w:rPr>
        <w:t>项对投标报价的算术修正的；</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4）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5）投标人有串通投标、行贿等违法行为。其中，有下列情形之一的，视为投标人相互串通投标：</w:t>
      </w:r>
    </w:p>
    <w:p>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◆不同投标人的投标文件由同一单位或者个人编制；</w:t>
      </w:r>
    </w:p>
    <w:p>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◆不同投标人委托同一单位或者个人办理投标事宜；</w:t>
      </w:r>
    </w:p>
    <w:p>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◆不同投标人的投标文件载明的项目管理成员为同一人；</w:t>
      </w:r>
    </w:p>
    <w:p>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◆不同投标人的投标文件异常一致或者投标报价呈规律性差异；</w:t>
      </w:r>
    </w:p>
    <w:p>
      <w:pPr>
        <w:autoSpaceDE w:val="0"/>
        <w:autoSpaceDN w:val="0"/>
        <w:adjustRightInd w:val="0"/>
        <w:snapToGrid w:val="0"/>
        <w:spacing w:line="300" w:lineRule="auto"/>
        <w:ind w:firstLine="616" w:firstLineChars="257"/>
        <w:jc w:val="left"/>
        <w:rPr>
          <w:rFonts w:ascii="宋体" w:hAnsi="宋体"/>
          <w:color w:val="auto"/>
          <w:sz w:val="24"/>
        </w:rPr>
      </w:pPr>
      <w:r>
        <w:rPr>
          <w:rFonts w:ascii="宋体"/>
          <w:color w:val="auto"/>
          <w:sz w:val="24"/>
        </w:rPr>
        <w:t>    </w:t>
      </w:r>
      <w:r>
        <w:rPr>
          <w:rFonts w:hint="eastAsia" w:ascii="宋体" w:hAnsi="宋体"/>
          <w:color w:val="auto"/>
          <w:sz w:val="24"/>
        </w:rPr>
        <w:t>◆不同投标人的投标文件相互混装；</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（16）根据豫财购〔2021〕6号文件，参与同一个标段(包)的供应商存在下列情形之一的，其投标(响应)文件无效:</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◆不同供应商的电子投标(响应)文件上传计算机的网卡MAC地址、CPU序列号和硬盘序列号等硬件信息相同的；</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◆不同供应商的投标(响应)文件由同一电子设备编制、打印加密或者上传；</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◆不同供应商的投标(响应)文件由同一电子设备打印、复印；</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◆不同供应商的投标(响应)文件由同一人送达或者分发，或者不同供应商联系人为同一人或不同联系人的联系电话一致的；</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◆不同供应商的投标(响应)文件的内容存在两处以上细节错误一致；</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◆不同供应商的法定代表人、委托代理人、项目经理、项目负责人等由同一个单位缴纳社会保险或者领取报酬的；</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◆不同供应商投标(响应)文件中法定代表人或者负责人签字出自同一人之手；</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◆其它涉嫌串通的情形。</w:t>
      </w:r>
    </w:p>
    <w:p>
      <w:pPr>
        <w:autoSpaceDE w:val="0"/>
        <w:autoSpaceDN w:val="0"/>
        <w:adjustRightInd w:val="0"/>
        <w:snapToGrid w:val="0"/>
        <w:spacing w:beforeLines="50" w:line="300" w:lineRule="auto"/>
        <w:ind w:firstLine="539"/>
        <w:rPr>
          <w:rFonts w:ascii="宋体" w:hAnsi="宋体"/>
          <w:color w:val="auto"/>
          <w:sz w:val="24"/>
        </w:rPr>
      </w:pPr>
      <w:r>
        <w:rPr>
          <w:rFonts w:hint="eastAsia" w:ascii="宋体" w:hAnsi="宋体"/>
          <w:color w:val="auto"/>
          <w:sz w:val="24"/>
        </w:rPr>
        <w:t>(17)据豫财购〔2021〕6号文件精神，工程领域招标投标行政主管部门对供应商串通投标等予以市场禁入的，在本次政府采购活动中，该供应商投标(响应)文件无效。</w:t>
      </w:r>
    </w:p>
    <w:p>
      <w:pPr>
        <w:autoSpaceDE w:val="0"/>
        <w:autoSpaceDN w:val="0"/>
        <w:adjustRightInd w:val="0"/>
        <w:snapToGrid w:val="0"/>
        <w:spacing w:before="50" w:line="300" w:lineRule="auto"/>
        <w:ind w:firstLine="566" w:firstLineChars="236"/>
        <w:jc w:val="left"/>
        <w:rPr>
          <w:rFonts w:ascii="宋体" w:hAnsi="宋体"/>
          <w:b/>
          <w:color w:val="auto"/>
          <w:sz w:val="24"/>
        </w:rPr>
      </w:pPr>
      <w:r>
        <w:rPr>
          <w:rFonts w:ascii="宋体" w:hAnsi="宋体"/>
          <w:color w:val="auto"/>
          <w:sz w:val="24"/>
        </w:rPr>
        <w:t>3.2.3</w:t>
      </w:r>
      <w:r>
        <w:rPr>
          <w:rFonts w:hint="eastAsia" w:ascii="宋体" w:hAnsi="宋体"/>
          <w:color w:val="auto"/>
          <w:sz w:val="24"/>
        </w:rPr>
        <w:t xml:space="preserve"> </w:t>
      </w:r>
      <w:r>
        <w:rPr>
          <w:rFonts w:hint="eastAsia" w:ascii="宋体" w:hAnsi="宋体"/>
          <w:b/>
          <w:color w:val="auto"/>
          <w:sz w:val="24"/>
        </w:rPr>
        <w:t>未实质性响应招标文件的投标文件按无效处理，评标委员会应当告知有关供应商。</w:t>
      </w:r>
    </w:p>
    <w:p>
      <w:pPr>
        <w:autoSpaceDE w:val="0"/>
        <w:autoSpaceDN w:val="0"/>
        <w:adjustRightInd w:val="0"/>
        <w:snapToGrid w:val="0"/>
        <w:spacing w:before="50" w:line="300" w:lineRule="auto"/>
        <w:ind w:firstLine="566" w:firstLineChars="236"/>
        <w:jc w:val="left"/>
        <w:rPr>
          <w:rFonts w:ascii="宋体"/>
          <w:color w:val="auto"/>
          <w:sz w:val="24"/>
        </w:rPr>
      </w:pPr>
      <w:r>
        <w:rPr>
          <w:rFonts w:ascii="宋体" w:hAnsi="宋体"/>
          <w:color w:val="auto"/>
          <w:sz w:val="24"/>
        </w:rPr>
        <w:t xml:space="preserve">3.2.4 </w:t>
      </w:r>
      <w:r>
        <w:rPr>
          <w:rFonts w:hint="eastAsia" w:ascii="宋体" w:hAnsi="宋体"/>
          <w:color w:val="auto"/>
          <w:sz w:val="24"/>
        </w:rPr>
        <w:t>评标委员会负责审查确定每一投标项目是否对</w:t>
      </w:r>
      <w:r>
        <w:rPr>
          <w:rFonts w:hint="eastAsia"/>
          <w:color w:val="auto"/>
          <w:sz w:val="24"/>
          <w:szCs w:val="24"/>
        </w:rPr>
        <w:t>招标</w:t>
      </w:r>
      <w:r>
        <w:rPr>
          <w:rFonts w:hint="eastAsia" w:ascii="宋体" w:hAnsi="宋体"/>
          <w:color w:val="auto"/>
          <w:sz w:val="24"/>
        </w:rPr>
        <w:t>文件的实质性要求作出了实质性的响应，而没有重大偏离和保留。实质性响应的投标是指投标符合</w:t>
      </w:r>
      <w:r>
        <w:rPr>
          <w:rFonts w:hint="eastAsia"/>
          <w:color w:val="auto"/>
          <w:sz w:val="24"/>
          <w:szCs w:val="24"/>
        </w:rPr>
        <w:t>招标</w:t>
      </w:r>
      <w:r>
        <w:rPr>
          <w:rFonts w:hint="eastAsia" w:ascii="宋体" w:hAnsi="宋体"/>
          <w:color w:val="auto"/>
          <w:sz w:val="24"/>
        </w:rPr>
        <w:t>文件的所有条款、条件和规定且没有重大偏离和保留（重大偏离和保留是指影响到</w:t>
      </w:r>
      <w:r>
        <w:rPr>
          <w:rFonts w:hint="eastAsia"/>
          <w:color w:val="auto"/>
          <w:sz w:val="24"/>
          <w:szCs w:val="24"/>
        </w:rPr>
        <w:t>招标</w:t>
      </w:r>
      <w:r>
        <w:rPr>
          <w:rFonts w:hint="eastAsia" w:ascii="宋体" w:hAnsi="宋体"/>
          <w:color w:val="auto"/>
          <w:sz w:val="24"/>
        </w:rPr>
        <w:t>文件和投标人的义务的规定，而纠正这些偏离将影响到其他提交实质性响应投标人的公平竞争地位）。</w:t>
      </w:r>
    </w:p>
    <w:p>
      <w:pPr>
        <w:autoSpaceDE w:val="0"/>
        <w:autoSpaceDN w:val="0"/>
        <w:adjustRightInd w:val="0"/>
        <w:snapToGrid w:val="0"/>
        <w:spacing w:before="50" w:line="300" w:lineRule="auto"/>
        <w:ind w:firstLine="566" w:firstLineChars="236"/>
        <w:jc w:val="left"/>
        <w:rPr>
          <w:rFonts w:ascii="宋体"/>
          <w:color w:val="auto"/>
          <w:sz w:val="24"/>
        </w:rPr>
      </w:pPr>
      <w:r>
        <w:rPr>
          <w:rFonts w:ascii="宋体" w:hAnsi="宋体"/>
          <w:color w:val="auto"/>
          <w:sz w:val="24"/>
        </w:rPr>
        <w:t xml:space="preserve">3.2.5 </w:t>
      </w:r>
      <w:r>
        <w:rPr>
          <w:rFonts w:hint="eastAsia" w:ascii="宋体" w:hAnsi="宋体"/>
          <w:color w:val="auto"/>
          <w:sz w:val="24"/>
        </w:rPr>
        <w:t>评标委员会判断投标文件的响应性仅基于投标文件本身而不靠外部证据。</w:t>
      </w:r>
    </w:p>
    <w:p>
      <w:pPr>
        <w:autoSpaceDE w:val="0"/>
        <w:autoSpaceDN w:val="0"/>
        <w:adjustRightInd w:val="0"/>
        <w:snapToGrid w:val="0"/>
        <w:spacing w:before="50" w:line="300" w:lineRule="auto"/>
        <w:ind w:firstLine="566" w:firstLineChars="236"/>
        <w:jc w:val="left"/>
        <w:rPr>
          <w:rFonts w:ascii="宋体"/>
          <w:color w:val="auto"/>
          <w:sz w:val="24"/>
        </w:rPr>
      </w:pPr>
      <w:r>
        <w:rPr>
          <w:rFonts w:ascii="宋体" w:hAnsi="宋体"/>
          <w:color w:val="auto"/>
          <w:sz w:val="24"/>
        </w:rPr>
        <w:t xml:space="preserve">3.2.6 </w:t>
      </w:r>
      <w:r>
        <w:rPr>
          <w:rFonts w:hint="eastAsia" w:ascii="宋体" w:hAnsi="宋体"/>
          <w:color w:val="auto"/>
          <w:sz w:val="24"/>
        </w:rPr>
        <w:t>评标委员会拒绝被确定为非实质性响应的投标人，投标人不得通过修正或撤销不符之处而使其投标成为实质性响应的投标。</w:t>
      </w:r>
    </w:p>
    <w:p>
      <w:pPr>
        <w:autoSpaceDE w:val="0"/>
        <w:autoSpaceDN w:val="0"/>
        <w:adjustRightInd w:val="0"/>
        <w:snapToGrid w:val="0"/>
        <w:spacing w:before="50" w:line="300" w:lineRule="auto"/>
        <w:ind w:firstLine="566" w:firstLineChars="236"/>
        <w:jc w:val="left"/>
        <w:rPr>
          <w:rFonts w:ascii="宋体"/>
          <w:color w:val="auto"/>
          <w:sz w:val="24"/>
        </w:rPr>
      </w:pPr>
      <w:r>
        <w:rPr>
          <w:rFonts w:ascii="宋体" w:hAnsi="宋体"/>
          <w:color w:val="auto"/>
          <w:sz w:val="24"/>
        </w:rPr>
        <w:t xml:space="preserve">3.2.7 </w:t>
      </w:r>
      <w:r>
        <w:rPr>
          <w:rFonts w:hint="eastAsia" w:ascii="宋体" w:hAnsi="宋体"/>
          <w:color w:val="auto"/>
          <w:sz w:val="24"/>
        </w:rPr>
        <w:t>允许投标人修改投标中不构成重大偏离的、微小的、非正规、不一致或不规则的地方。</w:t>
      </w:r>
    </w:p>
    <w:p>
      <w:pPr>
        <w:autoSpaceDE w:val="0"/>
        <w:autoSpaceDN w:val="0"/>
        <w:adjustRightInd w:val="0"/>
        <w:snapToGrid w:val="0"/>
        <w:spacing w:beforeLines="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3.3 </w:t>
      </w:r>
      <w:r>
        <w:rPr>
          <w:rFonts w:hint="eastAsia" w:ascii="黑体" w:hAnsi="黑体" w:eastAsia="黑体"/>
          <w:b/>
          <w:color w:val="auto"/>
          <w:sz w:val="24"/>
        </w:rPr>
        <w:t>投标文件的澄清</w:t>
      </w:r>
    </w:p>
    <w:p>
      <w:pPr>
        <w:autoSpaceDE w:val="0"/>
        <w:autoSpaceDN w:val="0"/>
        <w:adjustRightInd w:val="0"/>
        <w:snapToGrid w:val="0"/>
        <w:spacing w:beforeLines="50" w:line="300" w:lineRule="auto"/>
        <w:ind w:firstLine="569" w:firstLineChars="236"/>
        <w:jc w:val="left"/>
        <w:rPr>
          <w:rFonts w:ascii="宋体" w:hAnsi="宋体"/>
          <w:b/>
          <w:color w:val="auto"/>
          <w:sz w:val="24"/>
        </w:rPr>
      </w:pPr>
      <w:r>
        <w:rPr>
          <w:rFonts w:hint="eastAsia" w:ascii="宋体" w:hAnsi="宋体"/>
          <w:b/>
          <w:color w:val="auto"/>
          <w:sz w:val="24"/>
        </w:rPr>
        <w:t>投标文件的澄清在招标</w:t>
      </w:r>
      <w:r>
        <w:rPr>
          <w:rFonts w:ascii="宋体" w:hAnsi="宋体"/>
          <w:b/>
          <w:color w:val="auto"/>
          <w:sz w:val="24"/>
        </w:rPr>
        <w:t>公告所述</w:t>
      </w:r>
      <w:r>
        <w:rPr>
          <w:rFonts w:hint="eastAsia" w:ascii="宋体" w:hAnsi="宋体"/>
          <w:b/>
          <w:color w:val="auto"/>
          <w:sz w:val="24"/>
        </w:rPr>
        <w:t>网</w:t>
      </w:r>
      <w:r>
        <w:rPr>
          <w:rFonts w:ascii="宋体" w:hAnsi="宋体"/>
          <w:b/>
          <w:color w:val="auto"/>
          <w:sz w:val="24"/>
        </w:rPr>
        <w:t>上</w:t>
      </w:r>
      <w:r>
        <w:rPr>
          <w:rFonts w:hint="eastAsia" w:ascii="宋体" w:hAnsi="宋体"/>
          <w:b/>
          <w:color w:val="auto"/>
          <w:sz w:val="24"/>
        </w:rPr>
        <w:t>电子交易系统</w:t>
      </w:r>
      <w:r>
        <w:rPr>
          <w:rFonts w:ascii="宋体" w:hAnsi="宋体"/>
          <w:b/>
          <w:color w:val="auto"/>
          <w:sz w:val="24"/>
        </w:rPr>
        <w:t>进行。</w:t>
      </w:r>
    </w:p>
    <w:p>
      <w:pPr>
        <w:autoSpaceDE w:val="0"/>
        <w:autoSpaceDN w:val="0"/>
        <w:adjustRightInd w:val="0"/>
        <w:snapToGrid w:val="0"/>
        <w:spacing w:beforeLines="50" w:line="300" w:lineRule="auto"/>
        <w:ind w:firstLine="569" w:firstLineChars="236"/>
        <w:jc w:val="left"/>
        <w:rPr>
          <w:rFonts w:ascii="宋体" w:hAnsi="宋体"/>
          <w:b/>
          <w:color w:val="auto"/>
          <w:sz w:val="24"/>
        </w:rPr>
      </w:pPr>
      <w:r>
        <w:rPr>
          <w:rFonts w:ascii="宋体" w:hAnsi="宋体"/>
          <w:b/>
          <w:color w:val="auto"/>
          <w:sz w:val="24"/>
        </w:rPr>
        <w:t>3.</w:t>
      </w:r>
      <w:r>
        <w:rPr>
          <w:rFonts w:hint="eastAsia" w:ascii="宋体" w:hAnsi="宋体"/>
          <w:b/>
          <w:color w:val="auto"/>
          <w:sz w:val="24"/>
        </w:rPr>
        <w:t>3</w:t>
      </w:r>
      <w:r>
        <w:rPr>
          <w:rFonts w:ascii="宋体" w:hAnsi="宋体"/>
          <w:b/>
          <w:color w:val="auto"/>
          <w:sz w:val="24"/>
        </w:rPr>
        <w:t>.1</w:t>
      </w:r>
      <w:r>
        <w:rPr>
          <w:rFonts w:hint="eastAsia" w:ascii="宋体" w:hAnsi="宋体"/>
          <w:b/>
          <w:color w:val="auto"/>
          <w:sz w:val="24"/>
        </w:rPr>
        <w:t xml:space="preserve"> 评审期间，投标人法定代表人须时刻关注电子开标室并保持通讯畅通。如因通讯不畅导致投标人无法及时澄清而被认定为无效响应等后果的</w:t>
      </w:r>
      <w:r>
        <w:rPr>
          <w:rFonts w:ascii="宋体" w:hAnsi="宋体"/>
          <w:b/>
          <w:color w:val="auto"/>
          <w:sz w:val="24"/>
        </w:rPr>
        <w:t>，</w:t>
      </w:r>
      <w:r>
        <w:rPr>
          <w:rFonts w:hint="eastAsia" w:ascii="宋体" w:hAnsi="宋体"/>
          <w:b/>
          <w:color w:val="auto"/>
          <w:sz w:val="24"/>
        </w:rPr>
        <w:t>由投标人自行承担。</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3.3.2</w:t>
      </w:r>
      <w:r>
        <w:rPr>
          <w:rFonts w:hint="eastAsia" w:ascii="宋体" w:hAnsi="宋体"/>
          <w:color w:val="auto"/>
          <w:sz w:val="24"/>
        </w:rPr>
        <w:t>　为有助于对投标文件进行审查、评估和比较，评标委员会有权个别的向投标人提出质疑，请投标人澄清其投标内容。</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3.3.3</w:t>
      </w:r>
      <w:r>
        <w:rPr>
          <w:rFonts w:hint="eastAsia" w:ascii="宋体" w:hAnsi="宋体"/>
          <w:color w:val="auto"/>
          <w:sz w:val="24"/>
        </w:rPr>
        <w:t>　评标委员会可以要求投标人对投标文件中含义不明确、同类问题表述不一致或者有明显文字和计算错误的内容等作出必要的澄清、说明或者更正。投标人的澄清、说明或者更正不得超出投标文件的范围或者改变投标文件的实质性内容。</w:t>
      </w:r>
    </w:p>
    <w:p>
      <w:pPr>
        <w:autoSpaceDE w:val="0"/>
        <w:autoSpaceDN w:val="0"/>
        <w:adjustRightInd w:val="0"/>
        <w:snapToGrid w:val="0"/>
        <w:spacing w:beforeLines="50" w:line="300" w:lineRule="auto"/>
        <w:ind w:firstLine="566" w:firstLineChars="236"/>
        <w:jc w:val="left"/>
        <w:rPr>
          <w:rFonts w:ascii="宋体" w:hAnsi="宋体"/>
          <w:b/>
          <w:color w:val="auto"/>
          <w:sz w:val="24"/>
        </w:rPr>
      </w:pPr>
      <w:r>
        <w:rPr>
          <w:rFonts w:ascii="宋体" w:hAnsi="宋体"/>
          <w:color w:val="auto"/>
          <w:sz w:val="24"/>
        </w:rPr>
        <w:t>3.3.4</w:t>
      </w:r>
      <w:r>
        <w:rPr>
          <w:rFonts w:hint="eastAsia" w:ascii="宋体" w:hAnsi="宋体"/>
          <w:color w:val="auto"/>
          <w:sz w:val="24"/>
        </w:rPr>
        <w:t>　</w:t>
      </w:r>
      <w:r>
        <w:rPr>
          <w:rFonts w:hint="eastAsia" w:ascii="宋体" w:hAnsi="宋体"/>
          <w:b/>
          <w:color w:val="auto"/>
          <w:sz w:val="24"/>
        </w:rPr>
        <w:t>投标人的澄清、说明或者更正应当采用书面形式，应加</w:t>
      </w:r>
      <w:r>
        <w:rPr>
          <w:rFonts w:ascii="宋体" w:hAnsi="宋体"/>
          <w:b/>
          <w:color w:val="auto"/>
          <w:sz w:val="24"/>
        </w:rPr>
        <w:t>盖</w:t>
      </w:r>
      <w:r>
        <w:rPr>
          <w:rFonts w:hint="eastAsia" w:ascii="宋体" w:hAnsi="宋体"/>
          <w:b/>
          <w:color w:val="auto"/>
          <w:sz w:val="24"/>
        </w:rPr>
        <w:t>投</w:t>
      </w:r>
      <w:r>
        <w:rPr>
          <w:rFonts w:ascii="宋体" w:hAnsi="宋体"/>
          <w:b/>
          <w:color w:val="auto"/>
          <w:sz w:val="24"/>
        </w:rPr>
        <w:t>标人</w:t>
      </w:r>
      <w:r>
        <w:rPr>
          <w:rFonts w:hint="eastAsia" w:ascii="宋体" w:hAnsi="宋体"/>
          <w:b/>
          <w:color w:val="auto"/>
          <w:sz w:val="24"/>
        </w:rPr>
        <w:t>电子签章或其法定代表人电子签名，并将澄清等内容作为附件上传至系统中。</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3.3.5</w:t>
      </w:r>
      <w:r>
        <w:rPr>
          <w:rFonts w:hint="eastAsia" w:ascii="宋体" w:hAnsi="宋体"/>
          <w:color w:val="auto"/>
          <w:sz w:val="24"/>
        </w:rPr>
        <w:t>　投标人的澄清文件是投标文件的组成部分，并取代投标文件中被澄清的部分。</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3.3.6</w:t>
      </w:r>
      <w:r>
        <w:rPr>
          <w:rFonts w:hint="eastAsia" w:ascii="宋体" w:hAnsi="宋体"/>
          <w:color w:val="auto"/>
          <w:sz w:val="24"/>
        </w:rPr>
        <w:t>　澄清文件应按评标委员会规定的时间提交。</w:t>
      </w:r>
    </w:p>
    <w:p>
      <w:pPr>
        <w:autoSpaceDE w:val="0"/>
        <w:autoSpaceDN w:val="0"/>
        <w:adjustRightInd w:val="0"/>
        <w:snapToGrid w:val="0"/>
        <w:spacing w:beforeLines="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3.4 </w:t>
      </w:r>
      <w:r>
        <w:rPr>
          <w:rFonts w:hint="eastAsia" w:ascii="黑体" w:hAnsi="黑体" w:eastAsia="黑体"/>
          <w:b/>
          <w:color w:val="auto"/>
          <w:sz w:val="24"/>
        </w:rPr>
        <w:t>详细评审</w:t>
      </w:r>
    </w:p>
    <w:p>
      <w:pPr>
        <w:autoSpaceDE w:val="0"/>
        <w:autoSpaceDN w:val="0"/>
        <w:adjustRightInd w:val="0"/>
        <w:snapToGrid w:val="0"/>
        <w:spacing w:beforeLines="50" w:line="300" w:lineRule="auto"/>
        <w:ind w:firstLine="569" w:firstLineChars="236"/>
        <w:jc w:val="left"/>
        <w:rPr>
          <w:rFonts w:ascii="宋体"/>
          <w:color w:val="auto"/>
          <w:sz w:val="24"/>
        </w:rPr>
      </w:pPr>
      <w:r>
        <w:rPr>
          <w:rFonts w:ascii="黑体" w:hAnsi="黑体" w:eastAsia="黑体"/>
          <w:b/>
          <w:color w:val="auto"/>
          <w:sz w:val="24"/>
        </w:rPr>
        <w:t xml:space="preserve">3.4.1  </w:t>
      </w:r>
      <w:r>
        <w:rPr>
          <w:rFonts w:hint="eastAsia" w:ascii="宋体" w:hAnsi="宋体"/>
          <w:color w:val="auto"/>
          <w:sz w:val="24"/>
        </w:rPr>
        <w:t>投标文件报价出现前后不一致的，按照下列规定修正：</w:t>
      </w:r>
    </w:p>
    <w:p>
      <w:pPr>
        <w:autoSpaceDE w:val="0"/>
        <w:autoSpaceDN w:val="0"/>
        <w:adjustRightInd w:val="0"/>
        <w:snapToGrid w:val="0"/>
        <w:spacing w:beforeLines="50"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w:t>
      </w:r>
      <w:r>
        <w:rPr>
          <w:rFonts w:hint="eastAsia" w:ascii="宋体" w:hAnsi="宋体"/>
          <w:color w:val="auto"/>
          <w:sz w:val="24"/>
          <w:szCs w:val="24"/>
        </w:rPr>
        <w:t>“安阳市公共资源交易中心电子交易平台”系统</w:t>
      </w:r>
      <w:r>
        <w:rPr>
          <w:rFonts w:hint="eastAsia" w:ascii="宋体" w:hAnsi="宋体"/>
          <w:color w:val="auto"/>
          <w:sz w:val="24"/>
        </w:rPr>
        <w:t>中开标一览表（报价表）内容与投标文件中相应内容不一致的，以开标一览表（报价表）为准；</w:t>
      </w:r>
    </w:p>
    <w:p>
      <w:pPr>
        <w:autoSpaceDE w:val="0"/>
        <w:autoSpaceDN w:val="0"/>
        <w:adjustRightInd w:val="0"/>
        <w:snapToGrid w:val="0"/>
        <w:spacing w:beforeLines="50"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）大写金额和小写金额不一致的，以大写金额为准；</w:t>
      </w:r>
    </w:p>
    <w:p>
      <w:pPr>
        <w:autoSpaceDE w:val="0"/>
        <w:autoSpaceDN w:val="0"/>
        <w:adjustRightInd w:val="0"/>
        <w:snapToGrid w:val="0"/>
        <w:spacing w:beforeLines="50"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）单价金额小数点或者百分比有明显错位的，以开标一览表的总价为准，并修改单价；</w:t>
      </w:r>
    </w:p>
    <w:p>
      <w:pPr>
        <w:autoSpaceDE w:val="0"/>
        <w:autoSpaceDN w:val="0"/>
        <w:adjustRightInd w:val="0"/>
        <w:snapToGrid w:val="0"/>
        <w:spacing w:beforeLines="50"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）总价金额与按单价汇总金额不一致的，以单价金额计算结果为准。</w:t>
      </w:r>
    </w:p>
    <w:p>
      <w:pPr>
        <w:autoSpaceDE w:val="0"/>
        <w:autoSpaceDN w:val="0"/>
        <w:adjustRightInd w:val="0"/>
        <w:snapToGrid w:val="0"/>
        <w:spacing w:beforeLines="50" w:line="300" w:lineRule="auto"/>
        <w:ind w:firstLine="566" w:firstLineChars="236"/>
        <w:jc w:val="left"/>
        <w:rPr>
          <w:rFonts w:ascii="宋体"/>
          <w:color w:val="auto"/>
          <w:sz w:val="24"/>
        </w:rPr>
      </w:pPr>
      <w:r>
        <w:rPr>
          <w:rFonts w:hint="eastAsia" w:ascii="宋体" w:hAnsi="宋体"/>
          <w:color w:val="auto"/>
          <w:sz w:val="24"/>
        </w:rPr>
        <w:t>同时出现两种以上不一致的，按照前款规定的顺序修正。修正后的报价按照本章</w:t>
      </w:r>
      <w:r>
        <w:rPr>
          <w:rFonts w:ascii="宋体" w:hAnsi="宋体"/>
          <w:color w:val="auto"/>
          <w:sz w:val="24"/>
        </w:rPr>
        <w:t>3.3.4</w:t>
      </w:r>
      <w:r>
        <w:rPr>
          <w:rFonts w:hint="eastAsia" w:ascii="宋体" w:hAnsi="宋体"/>
          <w:color w:val="auto"/>
          <w:sz w:val="24"/>
        </w:rPr>
        <w:t>项规定经投标人确认后产生约束力，投标人不确认的，其投标无效。</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 xml:space="preserve">3.4.2 </w:t>
      </w:r>
      <w:r>
        <w:rPr>
          <w:rFonts w:hint="eastAsia" w:ascii="宋体" w:hAnsi="宋体"/>
          <w:color w:val="auto"/>
          <w:sz w:val="24"/>
        </w:rPr>
        <w:t>按本章第</w:t>
      </w:r>
      <w:r>
        <w:rPr>
          <w:rFonts w:ascii="宋体" w:hAnsi="宋体"/>
          <w:color w:val="auto"/>
          <w:sz w:val="24"/>
        </w:rPr>
        <w:t xml:space="preserve">4 </w:t>
      </w:r>
      <w:r>
        <w:rPr>
          <w:rFonts w:hint="eastAsia" w:ascii="宋体" w:hAnsi="宋体"/>
          <w:color w:val="auto"/>
          <w:sz w:val="24"/>
        </w:rPr>
        <w:t>条规定执行促进中小企业发展扶持政策，用扣除后的价格参与评审。</w:t>
      </w:r>
    </w:p>
    <w:p>
      <w:pPr>
        <w:autoSpaceDE w:val="0"/>
        <w:autoSpaceDN w:val="0"/>
        <w:adjustRightInd w:val="0"/>
        <w:snapToGrid w:val="0"/>
        <w:spacing w:beforeLines="50" w:line="300" w:lineRule="auto"/>
        <w:ind w:firstLine="566" w:firstLineChars="236"/>
        <w:jc w:val="left"/>
        <w:rPr>
          <w:rFonts w:ascii="宋体" w:cs="宋体"/>
          <w:color w:val="auto"/>
          <w:sz w:val="24"/>
        </w:rPr>
      </w:pPr>
      <w:r>
        <w:rPr>
          <w:rFonts w:ascii="宋体" w:hAnsi="宋体"/>
          <w:color w:val="auto"/>
          <w:sz w:val="24"/>
        </w:rPr>
        <w:t xml:space="preserve">3.4.3 </w:t>
      </w:r>
      <w:r>
        <w:rPr>
          <w:rFonts w:hint="eastAsia" w:ascii="宋体" w:hAnsi="宋体" w:cs="宋体"/>
          <w:color w:val="auto"/>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adjustRightInd w:val="0"/>
        <w:snapToGrid w:val="0"/>
        <w:spacing w:line="300" w:lineRule="auto"/>
        <w:ind w:firstLine="480"/>
        <w:jc w:val="left"/>
        <w:rPr>
          <w:rFonts w:ascii="宋体" w:cs="宋体"/>
          <w:color w:val="auto"/>
          <w:sz w:val="24"/>
        </w:rPr>
      </w:pPr>
      <w:r>
        <w:rPr>
          <w:rFonts w:hint="eastAsia" w:ascii="宋体" w:hAnsi="宋体" w:cs="宋体"/>
          <w:color w:val="auto"/>
          <w:sz w:val="24"/>
        </w:rPr>
        <w:t>多家投标人提供的核心产品品牌相同的，按前项规定处理。</w:t>
      </w:r>
    </w:p>
    <w:p>
      <w:pPr>
        <w:autoSpaceDE w:val="0"/>
        <w:autoSpaceDN w:val="0"/>
        <w:adjustRightInd w:val="0"/>
        <w:snapToGrid w:val="0"/>
        <w:spacing w:before="50" w:line="300" w:lineRule="auto"/>
        <w:ind w:firstLine="566" w:firstLineChars="236"/>
        <w:jc w:val="left"/>
        <w:rPr>
          <w:rFonts w:ascii="宋体"/>
          <w:color w:val="auto"/>
          <w:sz w:val="24"/>
        </w:rPr>
      </w:pPr>
      <w:r>
        <w:rPr>
          <w:rFonts w:ascii="宋体" w:hAnsi="宋体"/>
          <w:color w:val="auto"/>
          <w:sz w:val="24"/>
        </w:rPr>
        <w:t>3.4.</w:t>
      </w:r>
      <w:r>
        <w:rPr>
          <w:rFonts w:hint="eastAsia" w:ascii="宋体" w:hAnsi="宋体"/>
          <w:color w:val="auto"/>
          <w:sz w:val="24"/>
        </w:rPr>
        <w:t>4</w:t>
      </w:r>
      <w:r>
        <w:rPr>
          <w:rFonts w:ascii="宋体" w:hAnsi="宋体"/>
          <w:color w:val="auto"/>
          <w:sz w:val="24"/>
        </w:rPr>
        <w:t xml:space="preserve"> </w:t>
      </w:r>
      <w:r>
        <w:rPr>
          <w:rFonts w:hint="eastAsia" w:ascii="宋体" w:hAnsi="宋体"/>
          <w:color w:val="auto"/>
          <w:sz w:val="24"/>
        </w:rPr>
        <w:t>评标委员会按本章第</w:t>
      </w:r>
      <w:r>
        <w:rPr>
          <w:rFonts w:ascii="宋体" w:hAnsi="宋体"/>
          <w:color w:val="auto"/>
          <w:sz w:val="24"/>
        </w:rPr>
        <w:t xml:space="preserve">2.2 </w:t>
      </w:r>
      <w:r>
        <w:rPr>
          <w:rFonts w:hint="eastAsia" w:ascii="宋体" w:hAnsi="宋体"/>
          <w:color w:val="auto"/>
          <w:sz w:val="24"/>
        </w:rPr>
        <w:t>款规定的量化因素和分值进行打分，并计算出综合评标得分。</w:t>
      </w:r>
    </w:p>
    <w:p>
      <w:pPr>
        <w:widowControl w:val="0"/>
        <w:adjustRightInd w:val="0"/>
        <w:snapToGrid w:val="0"/>
        <w:spacing w:before="50" w:line="300" w:lineRule="auto"/>
        <w:ind w:firstLine="623"/>
        <w:textAlignment w:val="top"/>
        <w:rPr>
          <w:color w:val="auto"/>
          <w:sz w:val="24"/>
          <w:szCs w:val="24"/>
        </w:rPr>
      </w:pPr>
      <w:r>
        <w:rPr>
          <w:color w:val="auto"/>
          <w:sz w:val="24"/>
          <w:szCs w:val="24"/>
        </w:rPr>
        <w:t>3.4.</w:t>
      </w:r>
      <w:r>
        <w:rPr>
          <w:rFonts w:hint="eastAsia"/>
          <w:color w:val="auto"/>
          <w:sz w:val="24"/>
          <w:szCs w:val="24"/>
        </w:rPr>
        <w:t>5评分计算保留</w:t>
      </w:r>
      <w:r>
        <w:rPr>
          <w:color w:val="auto"/>
          <w:sz w:val="24"/>
          <w:szCs w:val="24"/>
        </w:rPr>
        <w:t>2</w:t>
      </w:r>
      <w:r>
        <w:rPr>
          <w:rFonts w:hint="eastAsia"/>
          <w:color w:val="auto"/>
          <w:sz w:val="24"/>
          <w:szCs w:val="24"/>
        </w:rPr>
        <w:t>位小数，第三位小数四舍五入。评分计算中出现中间值时按插入法计算得分。</w:t>
      </w:r>
    </w:p>
    <w:p>
      <w:pPr>
        <w:autoSpaceDE w:val="0"/>
        <w:autoSpaceDN w:val="0"/>
        <w:adjustRightInd w:val="0"/>
        <w:snapToGrid w:val="0"/>
        <w:spacing w:before="50" w:line="300" w:lineRule="auto"/>
        <w:ind w:firstLine="566" w:firstLineChars="236"/>
        <w:jc w:val="left"/>
        <w:rPr>
          <w:rFonts w:ascii="宋体"/>
          <w:color w:val="auto"/>
          <w:sz w:val="24"/>
        </w:rPr>
      </w:pPr>
      <w:r>
        <w:rPr>
          <w:rFonts w:ascii="宋体" w:hAnsi="宋体"/>
          <w:color w:val="auto"/>
          <w:sz w:val="24"/>
        </w:rPr>
        <w:t>3.4.</w:t>
      </w:r>
      <w:r>
        <w:rPr>
          <w:rFonts w:hint="eastAsia" w:ascii="宋体" w:hAnsi="宋体"/>
          <w:color w:val="auto"/>
          <w:sz w:val="24"/>
        </w:rPr>
        <w:t>6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pPr>
        <w:autoSpaceDE w:val="0"/>
        <w:autoSpaceDN w:val="0"/>
        <w:adjustRightInd w:val="0"/>
        <w:snapToGrid w:val="0"/>
        <w:spacing w:before="50" w:line="300" w:lineRule="auto"/>
        <w:ind w:firstLine="566" w:firstLineChars="236"/>
        <w:jc w:val="left"/>
        <w:rPr>
          <w:color w:val="auto"/>
          <w:sz w:val="24"/>
          <w:szCs w:val="24"/>
        </w:rPr>
      </w:pPr>
      <w:r>
        <w:rPr>
          <w:color w:val="auto"/>
          <w:sz w:val="24"/>
          <w:szCs w:val="24"/>
        </w:rPr>
        <w:t>3.4.</w:t>
      </w:r>
      <w:r>
        <w:rPr>
          <w:rFonts w:hint="eastAsia"/>
          <w:color w:val="auto"/>
          <w:sz w:val="24"/>
          <w:szCs w:val="24"/>
        </w:rPr>
        <w:t>7　在评标过程中，凡遇到《招标文件》中无界定或界定不清，前后不一致，使评委成员意见有分歧且又难于协商一致的问题，均由评委予以表决。</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3.4.</w:t>
      </w:r>
      <w:r>
        <w:rPr>
          <w:rFonts w:hint="eastAsia" w:ascii="宋体" w:hAnsi="宋体"/>
          <w:color w:val="auto"/>
          <w:sz w:val="24"/>
        </w:rPr>
        <w:t>8</w:t>
      </w:r>
      <w:r>
        <w:rPr>
          <w:rFonts w:ascii="宋体" w:hAnsi="宋体"/>
          <w:color w:val="auto"/>
          <w:sz w:val="24"/>
        </w:rPr>
        <w:t xml:space="preserve"> </w:t>
      </w:r>
      <w:r>
        <w:rPr>
          <w:rFonts w:hint="eastAsia" w:ascii="宋体" w:hAnsi="宋体"/>
          <w:color w:val="auto"/>
          <w:sz w:val="24"/>
        </w:rPr>
        <w:t>除了算术修正和落实政府采购政策需进行的价格扣除外，评标委员会不对投标人的投标价格进行任何调整。</w:t>
      </w:r>
    </w:p>
    <w:p>
      <w:pPr>
        <w:autoSpaceDE w:val="0"/>
        <w:autoSpaceDN w:val="0"/>
        <w:adjustRightInd w:val="0"/>
        <w:snapToGrid w:val="0"/>
        <w:spacing w:before="50" w:line="300" w:lineRule="auto"/>
        <w:ind w:firstLine="569" w:firstLineChars="236"/>
        <w:jc w:val="left"/>
        <w:rPr>
          <w:rFonts w:ascii="宋体"/>
          <w:color w:val="auto"/>
          <w:sz w:val="24"/>
        </w:rPr>
      </w:pPr>
      <w:r>
        <w:rPr>
          <w:rFonts w:ascii="黑体" w:hAnsi="黑体" w:eastAsia="黑体"/>
          <w:b/>
          <w:color w:val="auto"/>
          <w:sz w:val="24"/>
        </w:rPr>
        <w:t xml:space="preserve">3.5 </w:t>
      </w:r>
      <w:r>
        <w:rPr>
          <w:rFonts w:hint="eastAsia" w:ascii="黑体" w:hAnsi="黑体" w:eastAsia="黑体"/>
          <w:b/>
          <w:color w:val="auto"/>
          <w:sz w:val="24"/>
        </w:rPr>
        <w:t>复核</w:t>
      </w:r>
      <w:r>
        <w:rPr>
          <w:rFonts w:hint="eastAsia" w:ascii="宋体" w:hAnsi="宋体"/>
          <w:color w:val="auto"/>
          <w:sz w:val="24"/>
        </w:rPr>
        <w:t>：</w:t>
      </w:r>
    </w:p>
    <w:p>
      <w:pPr>
        <w:autoSpaceDE w:val="0"/>
        <w:autoSpaceDN w:val="0"/>
        <w:adjustRightInd w:val="0"/>
        <w:snapToGrid w:val="0"/>
        <w:spacing w:before="50" w:line="300" w:lineRule="auto"/>
        <w:ind w:firstLine="566" w:firstLineChars="236"/>
        <w:jc w:val="left"/>
        <w:rPr>
          <w:rFonts w:ascii="宋体"/>
          <w:color w:val="auto"/>
          <w:sz w:val="24"/>
        </w:rPr>
      </w:pPr>
      <w:r>
        <w:rPr>
          <w:rFonts w:ascii="宋体" w:hAnsi="宋体"/>
          <w:color w:val="auto"/>
          <w:sz w:val="24"/>
        </w:rPr>
        <w:t xml:space="preserve">3.5.1  </w:t>
      </w:r>
      <w:r>
        <w:rPr>
          <w:rFonts w:hint="eastAsia" w:ascii="宋体" w:hAnsi="宋体"/>
          <w:color w:val="auto"/>
          <w:sz w:val="24"/>
        </w:rPr>
        <w:t>评标委员会对供应商的价格分等客观评分项的评分应当一致，对其他需要借助专业知识评判的主观评分项，应当严格按照评分细则公正评分，不得超出评分标准范围，对畸高、畸低的重大差异评分书面说明理由。</w:t>
      </w:r>
    </w:p>
    <w:p>
      <w:pPr>
        <w:autoSpaceDE w:val="0"/>
        <w:autoSpaceDN w:val="0"/>
        <w:adjustRightInd w:val="0"/>
        <w:snapToGrid w:val="0"/>
        <w:spacing w:before="50" w:line="300" w:lineRule="auto"/>
        <w:ind w:firstLine="566" w:firstLineChars="236"/>
        <w:jc w:val="left"/>
        <w:rPr>
          <w:rFonts w:ascii="宋体"/>
          <w:color w:val="auto"/>
          <w:sz w:val="24"/>
        </w:rPr>
      </w:pPr>
      <w:r>
        <w:rPr>
          <w:rFonts w:ascii="宋体" w:hAnsi="宋体"/>
          <w:color w:val="auto"/>
          <w:sz w:val="24"/>
        </w:rPr>
        <w:t xml:space="preserve">3.5.2 </w:t>
      </w:r>
      <w:r>
        <w:rPr>
          <w:rFonts w:hint="eastAsia" w:ascii="宋体" w:hAnsi="宋体"/>
          <w:color w:val="auto"/>
          <w:sz w:val="24"/>
        </w:rPr>
        <w:t>评标委员会要对评分汇总情况进行复核，特别是对排名第一的、报价最低的、投标或相应文件被认定为无效的情形进行重点复核。评标结果汇总完成后评标报告签署前，经评标委员会复核存在分值汇总计算错误的、分项评分超出评分标准范围的、评标委员会成员对客观评审因素评分不一致的、经评标委员会认定评分畸高、畸低的，有前述情形之一的，评标委员会应当当场修改评标结果，并在评标报告中记载。</w:t>
      </w:r>
    </w:p>
    <w:p>
      <w:pPr>
        <w:autoSpaceDE w:val="0"/>
        <w:autoSpaceDN w:val="0"/>
        <w:adjustRightInd w:val="0"/>
        <w:snapToGrid w:val="0"/>
        <w:spacing w:before="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3.6 </w:t>
      </w:r>
      <w:r>
        <w:rPr>
          <w:rFonts w:hint="eastAsia" w:ascii="黑体" w:hAnsi="黑体" w:eastAsia="黑体"/>
          <w:b/>
          <w:color w:val="auto"/>
          <w:sz w:val="24"/>
        </w:rPr>
        <w:t>评标结果</w:t>
      </w:r>
    </w:p>
    <w:p>
      <w:pPr>
        <w:autoSpaceDE w:val="0"/>
        <w:autoSpaceDN w:val="0"/>
        <w:adjustRightInd w:val="0"/>
        <w:snapToGrid w:val="0"/>
        <w:spacing w:before="50" w:line="300" w:lineRule="auto"/>
        <w:ind w:firstLine="616" w:firstLineChars="257"/>
        <w:jc w:val="left"/>
        <w:rPr>
          <w:rFonts w:ascii="宋体" w:hAnsi="宋体"/>
          <w:color w:val="auto"/>
          <w:sz w:val="24"/>
        </w:rPr>
      </w:pPr>
      <w:r>
        <w:rPr>
          <w:rFonts w:ascii="宋体" w:hAnsi="宋体"/>
          <w:color w:val="auto"/>
          <w:sz w:val="24"/>
        </w:rPr>
        <w:t xml:space="preserve">3.6.1 </w:t>
      </w:r>
      <w:r>
        <w:rPr>
          <w:rFonts w:hint="eastAsia" w:ascii="宋体" w:hAnsi="宋体"/>
          <w:color w:val="auto"/>
          <w:sz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autoSpaceDE w:val="0"/>
        <w:autoSpaceDN w:val="0"/>
        <w:adjustRightInd w:val="0"/>
        <w:snapToGrid w:val="0"/>
        <w:spacing w:before="50" w:line="300" w:lineRule="auto"/>
        <w:ind w:firstLine="616" w:firstLineChars="257"/>
        <w:jc w:val="left"/>
        <w:rPr>
          <w:rFonts w:ascii="宋体"/>
          <w:color w:val="auto"/>
          <w:sz w:val="24"/>
        </w:rPr>
      </w:pPr>
      <w:r>
        <w:rPr>
          <w:rFonts w:ascii="宋体" w:hAnsi="宋体"/>
          <w:color w:val="auto"/>
          <w:sz w:val="24"/>
        </w:rPr>
        <w:t xml:space="preserve">3.6.2 </w:t>
      </w:r>
      <w:r>
        <w:rPr>
          <w:rFonts w:hint="eastAsia" w:ascii="宋体" w:hAnsi="宋体"/>
          <w:color w:val="auto"/>
          <w:sz w:val="24"/>
        </w:rPr>
        <w:t>评标委员会按照评审得分由高到低的顺序提出</w:t>
      </w:r>
      <w:r>
        <w:rPr>
          <w:rFonts w:ascii="宋体" w:hAnsi="宋体"/>
          <w:color w:val="auto"/>
          <w:sz w:val="24"/>
        </w:rPr>
        <w:t>3</w:t>
      </w:r>
      <w:r>
        <w:rPr>
          <w:rFonts w:hint="eastAsia" w:ascii="宋体" w:hAnsi="宋体"/>
          <w:color w:val="auto"/>
          <w:sz w:val="24"/>
        </w:rPr>
        <w:t>名中标候选人，并编写书面评标报告。</w:t>
      </w:r>
    </w:p>
    <w:p>
      <w:pPr>
        <w:autoSpaceDE w:val="0"/>
        <w:autoSpaceDN w:val="0"/>
        <w:adjustRightInd w:val="0"/>
        <w:snapToGrid w:val="0"/>
        <w:spacing w:before="50" w:line="300" w:lineRule="auto"/>
        <w:ind w:firstLine="566" w:firstLineChars="236"/>
        <w:jc w:val="left"/>
        <w:rPr>
          <w:rFonts w:ascii="宋体"/>
          <w:color w:val="auto"/>
          <w:sz w:val="24"/>
        </w:rPr>
      </w:pPr>
      <w:r>
        <w:rPr>
          <w:rFonts w:ascii="宋体" w:hAnsi="宋体"/>
          <w:color w:val="auto"/>
          <w:sz w:val="24"/>
        </w:rPr>
        <w:t xml:space="preserve">3.6.3 </w:t>
      </w:r>
      <w:r>
        <w:rPr>
          <w:rFonts w:hint="eastAsia" w:ascii="宋体" w:hAnsi="宋体"/>
          <w:color w:val="auto"/>
          <w:sz w:val="24"/>
        </w:rPr>
        <w:t>确定中标人：按第三章“投标人须知前附表”8</w:t>
      </w:r>
      <w:r>
        <w:rPr>
          <w:rFonts w:ascii="宋体" w:hAnsi="宋体"/>
          <w:color w:val="auto"/>
          <w:sz w:val="24"/>
        </w:rPr>
        <w:t>.1</w:t>
      </w:r>
      <w:r>
        <w:rPr>
          <w:rFonts w:hint="eastAsia" w:ascii="宋体" w:hAnsi="宋体"/>
          <w:color w:val="auto"/>
          <w:sz w:val="24"/>
        </w:rPr>
        <w:t>款规定及本章第</w:t>
      </w:r>
      <w:r>
        <w:rPr>
          <w:rFonts w:ascii="宋体" w:hAnsi="宋体"/>
          <w:color w:val="auto"/>
          <w:sz w:val="24"/>
        </w:rPr>
        <w:t>1</w:t>
      </w:r>
      <w:r>
        <w:rPr>
          <w:rFonts w:hint="eastAsia" w:ascii="宋体" w:hAnsi="宋体"/>
          <w:color w:val="auto"/>
          <w:sz w:val="24"/>
        </w:rPr>
        <w:t>条规定。</w:t>
      </w:r>
    </w:p>
    <w:p>
      <w:pPr>
        <w:autoSpaceDE w:val="0"/>
        <w:autoSpaceDN w:val="0"/>
        <w:adjustRightInd w:val="0"/>
        <w:snapToGrid w:val="0"/>
        <w:spacing w:before="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3.7 </w:t>
      </w:r>
      <w:r>
        <w:rPr>
          <w:rFonts w:hint="eastAsia" w:ascii="黑体" w:hAnsi="黑体" w:eastAsia="黑体"/>
          <w:b/>
          <w:color w:val="auto"/>
          <w:sz w:val="24"/>
        </w:rPr>
        <w:t>废标</w:t>
      </w:r>
    </w:p>
    <w:p>
      <w:pPr>
        <w:autoSpaceDE w:val="0"/>
        <w:autoSpaceDN w:val="0"/>
        <w:adjustRightInd w:val="0"/>
        <w:snapToGrid w:val="0"/>
        <w:spacing w:before="50" w:line="300" w:lineRule="auto"/>
        <w:ind w:firstLine="566" w:firstLineChars="236"/>
        <w:jc w:val="left"/>
        <w:rPr>
          <w:rFonts w:ascii="宋体"/>
          <w:color w:val="auto"/>
          <w:sz w:val="24"/>
        </w:rPr>
      </w:pPr>
      <w:r>
        <w:rPr>
          <w:rFonts w:ascii="宋体" w:hAnsi="宋体"/>
          <w:color w:val="auto"/>
          <w:sz w:val="24"/>
        </w:rPr>
        <w:t xml:space="preserve">3.7.1 </w:t>
      </w:r>
      <w:r>
        <w:rPr>
          <w:rFonts w:hint="eastAsia" w:ascii="宋体" w:hAnsi="宋体"/>
          <w:color w:val="auto"/>
          <w:sz w:val="24"/>
        </w:rPr>
        <w:t>出现下列情形之一的，应予废标：</w:t>
      </w:r>
    </w:p>
    <w:p>
      <w:pPr>
        <w:autoSpaceDE w:val="0"/>
        <w:autoSpaceDN w:val="0"/>
        <w:adjustRightInd w:val="0"/>
        <w:snapToGrid w:val="0"/>
        <w:spacing w:before="50"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）符合专业条件的供应商或者对招标文件作实质响应的供应商不足三家的；</w:t>
      </w:r>
      <w:r>
        <w:rPr>
          <w:rFonts w:ascii="宋体" w:hAnsi="宋体"/>
          <w:color w:val="auto"/>
          <w:sz w:val="24"/>
        </w:rPr>
        <w:t xml:space="preserve"> </w:t>
      </w:r>
    </w:p>
    <w:p>
      <w:pPr>
        <w:autoSpaceDE w:val="0"/>
        <w:autoSpaceDN w:val="0"/>
        <w:adjustRightInd w:val="0"/>
        <w:snapToGrid w:val="0"/>
        <w:spacing w:before="50"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）出现影响采购公正的违法、违规行为的；</w:t>
      </w:r>
      <w:r>
        <w:rPr>
          <w:rFonts w:ascii="宋体" w:hAnsi="宋体"/>
          <w:color w:val="auto"/>
          <w:sz w:val="24"/>
        </w:rPr>
        <w:t xml:space="preserve"> </w:t>
      </w:r>
    </w:p>
    <w:p>
      <w:pPr>
        <w:autoSpaceDE w:val="0"/>
        <w:autoSpaceDN w:val="0"/>
        <w:adjustRightInd w:val="0"/>
        <w:snapToGrid w:val="0"/>
        <w:spacing w:before="50"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）未超过预算金额的供应商不足</w:t>
      </w:r>
      <w:r>
        <w:rPr>
          <w:rFonts w:ascii="宋体" w:hAnsi="宋体"/>
          <w:color w:val="auto"/>
          <w:sz w:val="24"/>
        </w:rPr>
        <w:t>3</w:t>
      </w:r>
      <w:r>
        <w:rPr>
          <w:rFonts w:hint="eastAsia" w:ascii="宋体" w:hAnsi="宋体"/>
          <w:color w:val="auto"/>
          <w:sz w:val="24"/>
        </w:rPr>
        <w:t>家的；</w:t>
      </w:r>
      <w:r>
        <w:rPr>
          <w:rFonts w:ascii="宋体" w:hAnsi="宋体"/>
          <w:color w:val="auto"/>
          <w:sz w:val="24"/>
        </w:rPr>
        <w:t xml:space="preserve"> </w:t>
      </w:r>
    </w:p>
    <w:p>
      <w:pPr>
        <w:autoSpaceDE w:val="0"/>
        <w:autoSpaceDN w:val="0"/>
        <w:adjustRightInd w:val="0"/>
        <w:snapToGrid w:val="0"/>
        <w:spacing w:before="50"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）因重大变故，采购任务取消的。</w:t>
      </w:r>
      <w:r>
        <w:rPr>
          <w:rFonts w:ascii="宋体" w:hAnsi="宋体"/>
          <w:color w:val="auto"/>
          <w:sz w:val="24"/>
        </w:rPr>
        <w:t xml:space="preserve"> </w:t>
      </w:r>
    </w:p>
    <w:p>
      <w:pPr>
        <w:autoSpaceDE w:val="0"/>
        <w:autoSpaceDN w:val="0"/>
        <w:adjustRightInd w:val="0"/>
        <w:snapToGrid w:val="0"/>
        <w:spacing w:before="50" w:line="300" w:lineRule="auto"/>
        <w:ind w:firstLine="566" w:firstLineChars="236"/>
        <w:jc w:val="left"/>
        <w:rPr>
          <w:rFonts w:ascii="宋体"/>
          <w:color w:val="auto"/>
          <w:sz w:val="24"/>
        </w:rPr>
      </w:pPr>
      <w:r>
        <w:rPr>
          <w:rFonts w:ascii="宋体" w:hAnsi="宋体"/>
          <w:color w:val="auto"/>
          <w:sz w:val="24"/>
        </w:rPr>
        <w:t xml:space="preserve">3.7.2 </w:t>
      </w:r>
      <w:r>
        <w:rPr>
          <w:rFonts w:hint="eastAsia" w:ascii="宋体" w:hAnsi="宋体"/>
          <w:color w:val="auto"/>
          <w:sz w:val="24"/>
        </w:rPr>
        <w:t>评标委员会要在废标时，出具招标文件是否存在不合理条款的论证意见，要协助采购人、采购代理机构、财政部门答复质疑或处理投诉事项。　</w:t>
      </w:r>
    </w:p>
    <w:p>
      <w:pPr>
        <w:autoSpaceDE w:val="0"/>
        <w:autoSpaceDN w:val="0"/>
        <w:adjustRightInd w:val="0"/>
        <w:snapToGrid w:val="0"/>
        <w:spacing w:before="50" w:line="300" w:lineRule="auto"/>
        <w:ind w:firstLine="566" w:firstLineChars="236"/>
        <w:jc w:val="left"/>
        <w:rPr>
          <w:rFonts w:ascii="宋体"/>
          <w:color w:val="auto"/>
          <w:sz w:val="24"/>
        </w:rPr>
      </w:pPr>
    </w:p>
    <w:p>
      <w:pPr>
        <w:widowControl w:val="0"/>
        <w:adjustRightInd w:val="0"/>
        <w:snapToGrid w:val="0"/>
        <w:spacing w:beforeLines="50" w:line="300" w:lineRule="auto"/>
        <w:ind w:left="23" w:firstLine="556"/>
        <w:jc w:val="left"/>
        <w:outlineLvl w:val="1"/>
        <w:rPr>
          <w:rFonts w:ascii="黑体" w:hAnsi="黑体" w:eastAsia="黑体" w:cs="楷体_GB2312"/>
          <w:b/>
          <w:bCs/>
          <w:color w:val="auto"/>
          <w:sz w:val="28"/>
          <w:szCs w:val="28"/>
          <w:lang w:val="zh-CN"/>
        </w:rPr>
      </w:pPr>
      <w:bookmarkStart w:id="48" w:name="_Toc114740104"/>
      <w:r>
        <w:rPr>
          <w:rFonts w:ascii="黑体" w:hAnsi="黑体" w:eastAsia="黑体" w:cs="楷体_GB2312"/>
          <w:b/>
          <w:bCs/>
          <w:color w:val="auto"/>
          <w:sz w:val="28"/>
          <w:szCs w:val="28"/>
          <w:lang w:val="zh-CN"/>
        </w:rPr>
        <w:t xml:space="preserve">4. </w:t>
      </w:r>
      <w:r>
        <w:rPr>
          <w:rFonts w:hint="eastAsia" w:ascii="黑体" w:hAnsi="黑体" w:eastAsia="黑体" w:cs="楷体_GB2312"/>
          <w:b/>
          <w:bCs/>
          <w:color w:val="auto"/>
          <w:sz w:val="28"/>
          <w:szCs w:val="28"/>
          <w:lang w:val="zh-CN"/>
        </w:rPr>
        <w:t>政府采购促进中小企业发展扶持政策</w:t>
      </w:r>
      <w:bookmarkEnd w:id="48"/>
    </w:p>
    <w:p>
      <w:pPr>
        <w:autoSpaceDE w:val="0"/>
        <w:autoSpaceDN w:val="0"/>
        <w:adjustRightInd w:val="0"/>
        <w:snapToGrid w:val="0"/>
        <w:spacing w:beforeLines="50" w:line="300" w:lineRule="auto"/>
        <w:ind w:firstLine="566" w:firstLineChars="236"/>
        <w:jc w:val="left"/>
        <w:rPr>
          <w:rFonts w:ascii="宋体" w:hAnsi="宋体"/>
          <w:color w:val="auto"/>
          <w:sz w:val="24"/>
        </w:rPr>
      </w:pPr>
      <w:r>
        <w:rPr>
          <w:rFonts w:hint="eastAsia" w:ascii="宋体" w:hAnsi="宋体"/>
          <w:color w:val="auto"/>
          <w:sz w:val="24"/>
        </w:rPr>
        <w:t>4.1</w:t>
      </w:r>
      <w:r>
        <w:rPr>
          <w:rFonts w:ascii="宋体" w:hAnsi="宋体"/>
          <w:color w:val="auto"/>
          <w:sz w:val="24"/>
        </w:rPr>
        <w:t>在政府采购活动中，供应商提供的货物、工程或者服务符合下列情形的， 享受</w:t>
      </w:r>
      <w:r>
        <w:rPr>
          <w:rFonts w:hint="eastAsia" w:ascii="宋体" w:hAnsi="宋体"/>
          <w:color w:val="auto"/>
          <w:sz w:val="24"/>
        </w:rPr>
        <w:t>《政府采购促进中小企业发展管理办法》</w:t>
      </w:r>
      <w:r>
        <w:rPr>
          <w:rFonts w:ascii="宋体" w:hAnsi="宋体"/>
          <w:color w:val="auto"/>
          <w:sz w:val="24"/>
        </w:rPr>
        <w:t>规定的中小企业扶持政策：</w:t>
      </w:r>
      <w:r>
        <w:rPr>
          <w:rFonts w:ascii="宋体" w:hAnsi="宋体"/>
          <w:color w:val="auto"/>
          <w:sz w:val="24"/>
        </w:rPr>
        <w:br w:type="textWrapping"/>
      </w:r>
      <w:r>
        <w:rPr>
          <w:rFonts w:hint="eastAsia" w:ascii="宋体" w:hAnsi="宋体"/>
          <w:color w:val="auto"/>
          <w:sz w:val="24"/>
        </w:rPr>
        <w:t xml:space="preserve">   </w:t>
      </w:r>
      <w:r>
        <w:rPr>
          <w:rFonts w:ascii="宋体" w:hAnsi="宋体"/>
          <w:color w:val="auto"/>
          <w:sz w:val="24"/>
        </w:rPr>
        <w:t>（一） 在货物采购项目中，货物由中小企业制造，即货物由中小企业生产且使用该中小企业商号或者注册商标；</w:t>
      </w:r>
      <w:r>
        <w:rPr>
          <w:rFonts w:ascii="宋体" w:hAnsi="宋体"/>
          <w:color w:val="auto"/>
          <w:sz w:val="24"/>
        </w:rPr>
        <w:br w:type="textWrapping"/>
      </w:r>
      <w:r>
        <w:rPr>
          <w:rFonts w:hint="eastAsia" w:ascii="宋体" w:hAnsi="宋体"/>
          <w:color w:val="auto"/>
          <w:sz w:val="24"/>
        </w:rPr>
        <w:t xml:space="preserve">   </w:t>
      </w:r>
      <w:r>
        <w:rPr>
          <w:rFonts w:ascii="宋体" w:hAnsi="宋体"/>
          <w:color w:val="auto"/>
          <w:sz w:val="24"/>
        </w:rPr>
        <w:t>（二） 在工程采购项目中，工程由中小企业承建，即工程施工单位为中小企业；</w:t>
      </w:r>
      <w:r>
        <w:rPr>
          <w:rFonts w:ascii="宋体" w:hAnsi="宋体"/>
          <w:color w:val="auto"/>
          <w:sz w:val="24"/>
        </w:rPr>
        <w:br w:type="textWrapping"/>
      </w:r>
      <w:r>
        <w:rPr>
          <w:rFonts w:hint="eastAsia" w:ascii="宋体" w:hAnsi="宋体"/>
          <w:color w:val="auto"/>
          <w:sz w:val="24"/>
        </w:rPr>
        <w:t xml:space="preserve">   </w:t>
      </w:r>
      <w:r>
        <w:rPr>
          <w:rFonts w:ascii="宋体" w:hAnsi="宋体"/>
          <w:color w:val="auto"/>
          <w:sz w:val="24"/>
        </w:rPr>
        <w:t>（三）在服务采购项目中，服务由中小企业承接，即提供服务的人员为中小企业依照《中华人民共和国劳动合同法》订立劳动合同的从业人员</w:t>
      </w:r>
      <w:r>
        <w:rPr>
          <w:rFonts w:hint="eastAsia" w:ascii="宋体" w:hAnsi="宋体"/>
          <w:color w:val="auto"/>
          <w:sz w:val="24"/>
        </w:rPr>
        <w:t>。</w:t>
      </w:r>
    </w:p>
    <w:p>
      <w:pPr>
        <w:autoSpaceDE w:val="0"/>
        <w:autoSpaceDN w:val="0"/>
        <w:adjustRightInd w:val="0"/>
        <w:snapToGrid w:val="0"/>
        <w:spacing w:beforeLines="50" w:line="300" w:lineRule="auto"/>
        <w:ind w:firstLine="566" w:firstLineChars="236"/>
        <w:jc w:val="left"/>
        <w:rPr>
          <w:rFonts w:ascii="宋体" w:hAnsi="宋体"/>
          <w:color w:val="auto"/>
          <w:sz w:val="24"/>
        </w:rPr>
      </w:pPr>
      <w:r>
        <w:rPr>
          <w:rFonts w:ascii="宋体" w:hAnsi="宋体"/>
          <w:color w:val="auto"/>
          <w:sz w:val="24"/>
        </w:rPr>
        <w:t>在货物采购项目中，供应商提供的货物既有中小企业制造货物，也有大型企业制造货物的，不享受中小企业扶持政策。</w:t>
      </w:r>
      <w:r>
        <w:rPr>
          <w:rFonts w:ascii="宋体" w:hAnsi="宋体"/>
          <w:color w:val="auto"/>
          <w:sz w:val="24"/>
        </w:rPr>
        <w:br w:type="textWrapping"/>
      </w:r>
      <w:r>
        <w:rPr>
          <w:rFonts w:hint="eastAsia" w:ascii="宋体" w:hAnsi="宋体"/>
          <w:color w:val="auto"/>
          <w:sz w:val="24"/>
        </w:rPr>
        <w:t xml:space="preserve">    </w:t>
      </w:r>
      <w:r>
        <w:rPr>
          <w:rFonts w:ascii="宋体" w:hAnsi="宋体"/>
          <w:color w:val="auto"/>
          <w:sz w:val="24"/>
        </w:rPr>
        <w:t>以联合体形式参加政府采购活动，联合体各方均为中小企业的，联合体视同中小企业。其中，联合体各方均为小微企业的，联合体视同小微企业。</w:t>
      </w:r>
    </w:p>
    <w:p>
      <w:pPr>
        <w:autoSpaceDE w:val="0"/>
        <w:autoSpaceDN w:val="0"/>
        <w:adjustRightInd w:val="0"/>
        <w:snapToGrid w:val="0"/>
        <w:spacing w:beforeLines="50" w:line="300" w:lineRule="auto"/>
        <w:ind w:firstLine="566" w:firstLineChars="236"/>
        <w:jc w:val="left"/>
        <w:rPr>
          <w:rFonts w:ascii="宋体" w:hAnsi="宋体"/>
          <w:color w:val="auto"/>
          <w:sz w:val="24"/>
        </w:rPr>
      </w:pPr>
      <w:r>
        <w:rPr>
          <w:rFonts w:hint="eastAsia" w:ascii="宋体" w:hAnsi="宋体"/>
          <w:color w:val="auto"/>
          <w:sz w:val="24"/>
        </w:rPr>
        <w:t>4.2 符合中小企业划分标准的个体工商户，在政府采购活动中视同中小企业。</w:t>
      </w:r>
    </w:p>
    <w:p>
      <w:pPr>
        <w:adjustRightInd w:val="0"/>
        <w:snapToGrid w:val="0"/>
        <w:spacing w:beforeLines="50" w:line="300" w:lineRule="auto"/>
        <w:ind w:firstLine="555"/>
        <w:rPr>
          <w:rFonts w:ascii="宋体" w:hAnsi="宋体"/>
          <w:color w:val="auto"/>
          <w:sz w:val="24"/>
        </w:rPr>
      </w:pPr>
      <w:r>
        <w:rPr>
          <w:rFonts w:ascii="宋体" w:hAnsi="宋体"/>
          <w:color w:val="auto"/>
          <w:sz w:val="24"/>
        </w:rPr>
        <w:t>4.</w:t>
      </w:r>
      <w:r>
        <w:rPr>
          <w:rFonts w:hint="eastAsia" w:ascii="宋体" w:hAnsi="宋体"/>
          <w:color w:val="auto"/>
          <w:sz w:val="24"/>
        </w:rPr>
        <w:t>3监狱企业、符合法</w:t>
      </w:r>
      <w:r>
        <w:rPr>
          <w:rFonts w:ascii="宋体" w:hAnsi="宋体"/>
          <w:color w:val="auto"/>
          <w:sz w:val="24"/>
        </w:rPr>
        <w:t>定</w:t>
      </w:r>
      <w:r>
        <w:rPr>
          <w:rFonts w:hint="eastAsia" w:ascii="宋体" w:hAnsi="宋体"/>
          <w:color w:val="auto"/>
          <w:sz w:val="24"/>
        </w:rPr>
        <w:t>条件的残疾人福利性单位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符合法定条件的残疾人福利性单位提供财库〔2017〕141号规定的《残疾人福利性单位声明函》，残疾人福利性单位属于小型、微型企业的，不重复享受政策。</w:t>
      </w:r>
    </w:p>
    <w:p>
      <w:pPr>
        <w:adjustRightInd w:val="0"/>
        <w:snapToGrid w:val="0"/>
        <w:spacing w:beforeLines="50" w:line="300" w:lineRule="auto"/>
        <w:ind w:firstLine="555"/>
        <w:rPr>
          <w:rFonts w:ascii="宋体" w:hAnsi="宋体"/>
          <w:color w:val="auto"/>
          <w:sz w:val="24"/>
        </w:rPr>
      </w:pPr>
      <w:r>
        <w:rPr>
          <w:rFonts w:ascii="宋体" w:hAnsi="宋体"/>
          <w:color w:val="auto"/>
          <w:sz w:val="24"/>
        </w:rPr>
        <w:t>4.</w:t>
      </w:r>
      <w:r>
        <w:rPr>
          <w:rFonts w:hint="eastAsia" w:ascii="宋体" w:hAnsi="宋体"/>
          <w:color w:val="auto"/>
          <w:sz w:val="24"/>
        </w:rPr>
        <w:t>3</w:t>
      </w:r>
      <w:r>
        <w:rPr>
          <w:rFonts w:ascii="宋体" w:hAnsi="宋体"/>
          <w:color w:val="auto"/>
          <w:sz w:val="24"/>
        </w:rPr>
        <w:t>.1</w:t>
      </w:r>
      <w:r>
        <w:rPr>
          <w:rFonts w:hint="eastAsia" w:ascii="宋体" w:hAnsi="宋体"/>
          <w:color w:val="auto"/>
          <w:sz w:val="24"/>
        </w:rPr>
        <w:t xml:space="preserve"> 享受政府采购支持政策的残疾人福利性单位应当同时满足以下条件：</w:t>
      </w:r>
    </w:p>
    <w:p>
      <w:pPr>
        <w:adjustRightInd w:val="0"/>
        <w:snapToGrid w:val="0"/>
        <w:spacing w:beforeLines="50" w:line="300" w:lineRule="auto"/>
        <w:ind w:firstLine="555"/>
        <w:rPr>
          <w:rFonts w:ascii="宋体" w:hAnsi="宋体"/>
          <w:color w:val="auto"/>
          <w:sz w:val="24"/>
        </w:rPr>
      </w:pPr>
      <w:r>
        <w:rPr>
          <w:rFonts w:hint="eastAsia" w:ascii="宋体" w:hAnsi="宋体"/>
          <w:color w:val="auto"/>
          <w:sz w:val="24"/>
        </w:rPr>
        <w:t>（1）安置的残疾人占本单位在职职工人数的比例不低于25%（含25%），并且安置的残疾人人数不少于10人（含10人）；</w:t>
      </w:r>
    </w:p>
    <w:p>
      <w:pPr>
        <w:adjustRightInd w:val="0"/>
        <w:snapToGrid w:val="0"/>
        <w:spacing w:beforeLines="50" w:line="300" w:lineRule="auto"/>
        <w:ind w:firstLine="555"/>
        <w:rPr>
          <w:rFonts w:ascii="宋体" w:hAnsi="宋体" w:cs="宋体"/>
          <w:color w:val="auto"/>
          <w:sz w:val="24"/>
          <w:szCs w:val="24"/>
        </w:rPr>
      </w:pPr>
      <w:r>
        <w:rPr>
          <w:rFonts w:hint="eastAsia" w:ascii="宋体" w:hAnsi="宋体" w:cs="宋体"/>
          <w:color w:val="auto"/>
          <w:sz w:val="24"/>
          <w:szCs w:val="24"/>
        </w:rPr>
        <w:t>（2）依法与安置的每位残疾人签订了一年以上（含一年）的劳动合同或服务协议；</w:t>
      </w:r>
    </w:p>
    <w:p>
      <w:pPr>
        <w:adjustRightInd w:val="0"/>
        <w:snapToGrid w:val="0"/>
        <w:spacing w:beforeLines="50" w:line="300" w:lineRule="auto"/>
        <w:ind w:firstLine="555"/>
        <w:rPr>
          <w:rFonts w:ascii="宋体" w:hAnsi="宋体" w:cs="宋体"/>
          <w:color w:val="auto"/>
          <w:sz w:val="24"/>
          <w:szCs w:val="24"/>
        </w:rPr>
      </w:pPr>
      <w:r>
        <w:rPr>
          <w:rFonts w:hint="eastAsia" w:ascii="宋体" w:hAnsi="宋体" w:cs="宋体"/>
          <w:color w:val="auto"/>
          <w:sz w:val="24"/>
          <w:szCs w:val="24"/>
        </w:rPr>
        <w:t>（3）为安置的每位残疾人按月足额缴纳了基本养老保险、基本医疗保险、失业保险、工伤保险和生育保险等社会保险费；</w:t>
      </w:r>
    </w:p>
    <w:p>
      <w:pPr>
        <w:adjustRightInd w:val="0"/>
        <w:snapToGrid w:val="0"/>
        <w:spacing w:beforeLines="50" w:line="300" w:lineRule="auto"/>
        <w:ind w:firstLine="555"/>
        <w:rPr>
          <w:rFonts w:ascii="宋体" w:hAnsi="宋体" w:cs="宋体"/>
          <w:color w:val="auto"/>
          <w:sz w:val="24"/>
          <w:szCs w:val="24"/>
        </w:rPr>
      </w:pPr>
      <w:r>
        <w:rPr>
          <w:rFonts w:hint="eastAsia" w:ascii="宋体" w:hAnsi="宋体" w:cs="宋体"/>
          <w:color w:val="auto"/>
          <w:sz w:val="24"/>
          <w:szCs w:val="24"/>
        </w:rPr>
        <w:t>（4）通过银行等金融机构向安置的每位残疾人，按月支付了不低于单位所在区县适用的经省级人民政府批准的月最低工资标准的工资；</w:t>
      </w:r>
    </w:p>
    <w:p>
      <w:pPr>
        <w:adjustRightInd w:val="0"/>
        <w:snapToGrid w:val="0"/>
        <w:spacing w:beforeLines="50" w:line="300" w:lineRule="auto"/>
        <w:ind w:firstLine="555"/>
        <w:rPr>
          <w:rFonts w:ascii="宋体" w:hAnsi="宋体" w:cs="宋体"/>
          <w:color w:val="auto"/>
          <w:sz w:val="24"/>
          <w:szCs w:val="24"/>
        </w:rPr>
      </w:pPr>
      <w:r>
        <w:rPr>
          <w:rFonts w:hint="eastAsia" w:ascii="宋体" w:hAnsi="宋体" w:cs="宋体"/>
          <w:color w:val="auto"/>
          <w:sz w:val="24"/>
          <w:szCs w:val="24"/>
        </w:rPr>
        <w:t>（5）提供本单位制造的货物、承担的工程或者服务（以下简称产品），或者提供其他残疾人福利性单位制造的货物（不包括使用非残疾人福利性单位注册商标的货物）。</w:t>
      </w:r>
    </w:p>
    <w:p>
      <w:pPr>
        <w:adjustRightInd w:val="0"/>
        <w:snapToGrid w:val="0"/>
        <w:spacing w:beforeLines="50" w:line="300" w:lineRule="auto"/>
        <w:ind w:firstLine="555"/>
        <w:rPr>
          <w:rFonts w:ascii="宋体" w:hAnsi="宋体" w:cs="宋体"/>
          <w:color w:val="auto"/>
          <w:sz w:val="24"/>
          <w:szCs w:val="24"/>
        </w:rPr>
      </w:pPr>
      <w:r>
        <w:rPr>
          <w:rFonts w:hint="eastAsia" w:ascii="宋体" w:hAnsi="宋体" w:cs="宋体"/>
          <w:color w:val="auto"/>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autoSpaceDE w:val="0"/>
        <w:autoSpaceDN w:val="0"/>
        <w:adjustRightInd w:val="0"/>
        <w:snapToGrid w:val="0"/>
        <w:spacing w:beforeLines="50" w:line="300" w:lineRule="auto"/>
        <w:ind w:firstLine="566" w:firstLineChars="236"/>
        <w:jc w:val="left"/>
        <w:rPr>
          <w:rFonts w:ascii="宋体" w:hAnsi="宋体" w:cstheme="minorBidi"/>
          <w:color w:val="auto"/>
          <w:sz w:val="24"/>
          <w:szCs w:val="22"/>
        </w:rPr>
      </w:pPr>
      <w:r>
        <w:rPr>
          <w:rFonts w:hint="eastAsia" w:ascii="宋体" w:hAnsi="宋体"/>
          <w:color w:val="auto"/>
          <w:sz w:val="24"/>
        </w:rPr>
        <w:t xml:space="preserve">4.4 </w:t>
      </w:r>
      <w:r>
        <w:rPr>
          <w:rFonts w:hint="eastAsia"/>
          <w:color w:val="auto"/>
          <w:sz w:val="24"/>
          <w:szCs w:val="24"/>
        </w:rPr>
        <w:t>参加</w:t>
      </w:r>
      <w:r>
        <w:rPr>
          <w:rFonts w:hint="eastAsia" w:ascii="宋体" w:hAnsi="宋体"/>
          <w:color w:val="auto"/>
          <w:sz w:val="24"/>
        </w:rPr>
        <w:t>本次政府招标项目的中小企业应按附件格式提供《中小企业声明函》。</w:t>
      </w:r>
      <w:r>
        <w:rPr>
          <w:rFonts w:hint="eastAsia" w:ascii="宋体" w:hAnsi="宋体" w:cs="宋体"/>
          <w:color w:val="auto"/>
          <w:sz w:val="24"/>
          <w:szCs w:val="24"/>
        </w:rPr>
        <w:t>如招标文件接受以联合体形式参加投标的，联合体各方均应按附件格式提供《中小企业声明函》。</w:t>
      </w:r>
    </w:p>
    <w:p>
      <w:pPr>
        <w:autoSpaceDE w:val="0"/>
        <w:autoSpaceDN w:val="0"/>
        <w:adjustRightInd w:val="0"/>
        <w:snapToGrid w:val="0"/>
        <w:spacing w:beforeLines="50" w:line="300" w:lineRule="auto"/>
        <w:ind w:firstLine="684" w:firstLineChars="285"/>
        <w:jc w:val="left"/>
        <w:rPr>
          <w:rFonts w:ascii="宋体" w:hAnsi="宋体"/>
          <w:color w:val="auto"/>
          <w:sz w:val="24"/>
        </w:rPr>
      </w:pPr>
      <w:r>
        <w:rPr>
          <w:rFonts w:hint="eastAsia" w:ascii="宋体" w:hAnsi="宋体"/>
          <w:color w:val="auto"/>
          <w:sz w:val="24"/>
        </w:rPr>
        <w:t>供应商按照财库〔2020〕46号规定及招标文件要求提供声明函内容不实的，属于提供虚假材料谋取中标、成交，依照《中华人民共和国政府采购法》等国家有关规定追究相应责任。</w:t>
      </w:r>
    </w:p>
    <w:p>
      <w:pPr>
        <w:autoSpaceDE w:val="0"/>
        <w:autoSpaceDN w:val="0"/>
        <w:adjustRightInd w:val="0"/>
        <w:snapToGrid w:val="0"/>
        <w:spacing w:beforeLines="50" w:line="300" w:lineRule="auto"/>
        <w:ind w:firstLine="566" w:firstLineChars="236"/>
        <w:jc w:val="left"/>
        <w:rPr>
          <w:rFonts w:ascii="宋体" w:hAnsi="宋体"/>
          <w:color w:val="auto"/>
          <w:sz w:val="24"/>
        </w:rPr>
      </w:pPr>
      <w:r>
        <w:rPr>
          <w:rFonts w:hint="eastAsia" w:ascii="宋体" w:hAnsi="宋体"/>
          <w:color w:val="auto"/>
          <w:sz w:val="24"/>
        </w:rPr>
        <w:t>4.5 《政府采购促进中小企业发展管理办法》各项中小企业扶持政策中，价格扣除扶持政策仅小型、微型企业适用。</w:t>
      </w:r>
    </w:p>
    <w:p>
      <w:pPr>
        <w:autoSpaceDE w:val="0"/>
        <w:autoSpaceDN w:val="0"/>
        <w:adjustRightInd w:val="0"/>
        <w:snapToGrid w:val="0"/>
        <w:spacing w:beforeLines="50" w:line="300" w:lineRule="auto"/>
        <w:ind w:firstLine="566" w:firstLineChars="236"/>
        <w:jc w:val="left"/>
        <w:rPr>
          <w:rFonts w:ascii="宋体" w:hAnsi="宋体"/>
          <w:color w:val="auto"/>
          <w:sz w:val="24"/>
        </w:rPr>
      </w:pPr>
      <w:r>
        <w:rPr>
          <w:rFonts w:hint="eastAsia" w:ascii="宋体" w:hAnsi="宋体"/>
          <w:color w:val="auto"/>
          <w:sz w:val="24"/>
        </w:rPr>
        <w:t>4.6 小微企业价格扣除扶持政策：</w:t>
      </w:r>
    </w:p>
    <w:p>
      <w:pPr>
        <w:autoSpaceDE w:val="0"/>
        <w:autoSpaceDN w:val="0"/>
        <w:adjustRightInd w:val="0"/>
        <w:snapToGrid w:val="0"/>
        <w:spacing w:beforeLines="50" w:line="300" w:lineRule="auto"/>
        <w:ind w:firstLine="684" w:firstLineChars="285"/>
        <w:jc w:val="left"/>
        <w:rPr>
          <w:rFonts w:ascii="宋体" w:hAnsi="宋体"/>
          <w:color w:val="auto"/>
          <w:sz w:val="24"/>
        </w:rPr>
      </w:pPr>
      <w:r>
        <w:rPr>
          <w:rFonts w:ascii="宋体" w:hAnsi="宋体"/>
          <w:color w:val="auto"/>
          <w:sz w:val="24"/>
        </w:rPr>
        <w:t>4.</w:t>
      </w:r>
      <w:r>
        <w:rPr>
          <w:rFonts w:hint="eastAsia" w:ascii="宋体" w:hAnsi="宋体"/>
          <w:color w:val="auto"/>
          <w:sz w:val="24"/>
        </w:rPr>
        <w:t>6.</w:t>
      </w:r>
      <w:r>
        <w:rPr>
          <w:rFonts w:ascii="宋体" w:hAnsi="宋体"/>
          <w:color w:val="auto"/>
          <w:sz w:val="24"/>
        </w:rPr>
        <w:t xml:space="preserve">1 </w:t>
      </w:r>
      <w:r>
        <w:rPr>
          <w:rFonts w:hint="eastAsia" w:ascii="宋体" w:hAnsi="宋体"/>
          <w:color w:val="auto"/>
          <w:sz w:val="24"/>
        </w:rPr>
        <w:t>本次政府招标项目对符合《政府采购促进中小企业发展管理办法》小型和微型企业的报价给予10</w:t>
      </w:r>
      <w:r>
        <w:rPr>
          <w:rFonts w:ascii="宋体" w:hAnsi="宋体"/>
          <w:color w:val="auto"/>
          <w:sz w:val="24"/>
        </w:rPr>
        <w:t>%</w:t>
      </w:r>
      <w:r>
        <w:rPr>
          <w:rFonts w:hint="eastAsia" w:ascii="宋体" w:hAnsi="宋体"/>
          <w:color w:val="auto"/>
          <w:sz w:val="24"/>
        </w:rPr>
        <w:t>的扣除，用扣除后的价格参与评审。</w:t>
      </w:r>
    </w:p>
    <w:p>
      <w:pPr>
        <w:autoSpaceDE w:val="0"/>
        <w:autoSpaceDN w:val="0"/>
        <w:adjustRightInd w:val="0"/>
        <w:snapToGrid w:val="0"/>
        <w:spacing w:beforeLines="50" w:line="300" w:lineRule="auto"/>
        <w:ind w:firstLine="684" w:firstLineChars="285"/>
        <w:jc w:val="left"/>
        <w:rPr>
          <w:rFonts w:ascii="宋体" w:hAnsi="宋体"/>
          <w:color w:val="auto"/>
          <w:sz w:val="24"/>
        </w:rPr>
      </w:pPr>
      <w:r>
        <w:rPr>
          <w:rFonts w:hint="eastAsia" w:ascii="宋体" w:hAnsi="宋体"/>
          <w:color w:val="auto"/>
          <w:sz w:val="24"/>
        </w:rPr>
        <w:t>（1）投标人所投货物均由小型和微型企业制造，享受小微企业价格扣除扶持政策。</w:t>
      </w:r>
    </w:p>
    <w:p>
      <w:pPr>
        <w:autoSpaceDE w:val="0"/>
        <w:autoSpaceDN w:val="0"/>
        <w:adjustRightInd w:val="0"/>
        <w:snapToGrid w:val="0"/>
        <w:spacing w:beforeLines="50" w:line="300" w:lineRule="auto"/>
        <w:ind w:firstLine="684" w:firstLineChars="285"/>
        <w:jc w:val="left"/>
        <w:rPr>
          <w:rFonts w:ascii="宋体" w:hAnsi="宋体"/>
          <w:color w:val="auto"/>
          <w:sz w:val="24"/>
        </w:rPr>
      </w:pPr>
      <w:r>
        <w:rPr>
          <w:rFonts w:hint="eastAsia" w:ascii="宋体" w:hAnsi="宋体"/>
          <w:color w:val="auto"/>
          <w:sz w:val="24"/>
        </w:rPr>
        <w:t>（2）投标人所投货物既有小型和微型企业制造，也有中型企业制造或大型企业制造的，不享受小微企业价格扣除扶持政策。</w:t>
      </w:r>
    </w:p>
    <w:p>
      <w:pPr>
        <w:autoSpaceDE w:val="0"/>
        <w:autoSpaceDN w:val="0"/>
        <w:adjustRightInd w:val="0"/>
        <w:snapToGrid w:val="0"/>
        <w:spacing w:beforeLines="50" w:line="300" w:lineRule="auto"/>
        <w:ind w:firstLine="684" w:firstLineChars="285"/>
        <w:jc w:val="left"/>
        <w:rPr>
          <w:rFonts w:ascii="宋体" w:hAnsi="宋体"/>
          <w:color w:val="auto"/>
          <w:sz w:val="24"/>
        </w:rPr>
      </w:pPr>
      <w:r>
        <w:rPr>
          <w:rFonts w:hint="eastAsia" w:ascii="宋体" w:hAnsi="宋体"/>
          <w:color w:val="auto"/>
          <w:sz w:val="24"/>
        </w:rPr>
        <w:t>4.6.2 如招标文件接受大中型企业与小微企业组成联合体或者允许大中型企业向一家或者多家小微企业分包时，联合协议或分包意向协议约定小微型企业的合同份额占到合同总金额</w:t>
      </w:r>
      <w:r>
        <w:rPr>
          <w:rFonts w:ascii="宋体" w:hAnsi="宋体"/>
          <w:color w:val="auto"/>
          <w:sz w:val="24"/>
        </w:rPr>
        <w:t>30%</w:t>
      </w:r>
      <w:r>
        <w:rPr>
          <w:rFonts w:hint="eastAsia" w:ascii="宋体" w:hAnsi="宋体"/>
          <w:color w:val="auto"/>
          <w:sz w:val="24"/>
        </w:rPr>
        <w:t>以上的，给予联合体或大中型企业4</w:t>
      </w:r>
      <w:r>
        <w:rPr>
          <w:rFonts w:ascii="宋体" w:hAnsi="宋体"/>
          <w:color w:val="auto"/>
          <w:sz w:val="24"/>
        </w:rPr>
        <w:t>%</w:t>
      </w:r>
      <w:r>
        <w:rPr>
          <w:rFonts w:hint="eastAsia" w:ascii="宋体" w:hAnsi="宋体"/>
          <w:color w:val="auto"/>
          <w:sz w:val="24"/>
        </w:rPr>
        <w:t>的价格扣除，用扣除后的价格参加评审。</w:t>
      </w:r>
    </w:p>
    <w:p>
      <w:pPr>
        <w:autoSpaceDE w:val="0"/>
        <w:autoSpaceDN w:val="0"/>
        <w:adjustRightInd w:val="0"/>
        <w:snapToGrid w:val="0"/>
        <w:spacing w:beforeLines="50" w:line="300" w:lineRule="auto"/>
        <w:ind w:firstLine="566" w:firstLineChars="236"/>
        <w:jc w:val="left"/>
        <w:rPr>
          <w:rFonts w:ascii="宋体" w:hAnsi="宋体"/>
          <w:color w:val="auto"/>
          <w:sz w:val="24"/>
        </w:rPr>
      </w:pPr>
      <w:r>
        <w:rPr>
          <w:rFonts w:hint="eastAsia" w:ascii="宋体" w:hAnsi="宋体"/>
          <w:color w:val="auto"/>
          <w:sz w:val="24"/>
        </w:rPr>
        <w:t>组成联合体或者接受分包合同的中小企业与联合体内其他企业、分包企业之间不得存在直接控股、管理关系。</w:t>
      </w:r>
    </w:p>
    <w:p>
      <w:pPr>
        <w:autoSpaceDE w:val="0"/>
        <w:autoSpaceDN w:val="0"/>
        <w:adjustRightInd w:val="0"/>
        <w:snapToGrid w:val="0"/>
        <w:spacing w:beforeLines="50" w:line="300" w:lineRule="auto"/>
        <w:ind w:firstLine="566" w:firstLineChars="236"/>
        <w:jc w:val="left"/>
        <w:rPr>
          <w:rFonts w:ascii="宋体" w:hAnsi="宋体"/>
          <w:color w:val="auto"/>
          <w:sz w:val="24"/>
        </w:rPr>
      </w:pPr>
      <w:r>
        <w:rPr>
          <w:rFonts w:hint="eastAsia" w:ascii="宋体" w:hAnsi="宋体"/>
          <w:color w:val="auto"/>
          <w:sz w:val="24"/>
        </w:rPr>
        <w:t>4.6.3</w:t>
      </w:r>
      <w:r>
        <w:rPr>
          <w:rFonts w:ascii="宋体" w:hAnsi="宋体"/>
          <w:color w:val="auto"/>
          <w:sz w:val="24"/>
        </w:rPr>
        <w:t xml:space="preserve"> </w:t>
      </w:r>
      <w:r>
        <w:rPr>
          <w:rFonts w:hint="eastAsia" w:ascii="宋体" w:hAnsi="宋体"/>
          <w:color w:val="auto"/>
          <w:sz w:val="24"/>
        </w:rPr>
        <w:t>价格扣除比例或者价格分加分比例对小型企业和微型企业同等对待，不作区分。</w:t>
      </w:r>
    </w:p>
    <w:p>
      <w:pPr>
        <w:adjustRightInd w:val="0"/>
        <w:snapToGrid w:val="0"/>
        <w:spacing w:beforeLines="50" w:line="300" w:lineRule="auto"/>
        <w:ind w:firstLine="555"/>
        <w:rPr>
          <w:color w:val="auto"/>
          <w:sz w:val="24"/>
          <w:szCs w:val="24"/>
        </w:rPr>
      </w:pPr>
      <w:r>
        <w:rPr>
          <w:rFonts w:hint="eastAsia" w:ascii="宋体" w:hAnsi="宋体"/>
          <w:color w:val="auto"/>
          <w:sz w:val="24"/>
        </w:rPr>
        <w:t>4.7</w:t>
      </w:r>
      <w:r>
        <w:rPr>
          <w:rFonts w:hint="eastAsia"/>
          <w:color w:val="auto"/>
          <w:sz w:val="24"/>
          <w:szCs w:val="24"/>
        </w:rPr>
        <w:t>评标委员会对投标人申报的小型和微型企业价格扣除事项进行评审。鉴于小微企业价格扣除政策与合同执行价格无关，为避免投标人申报价格扣除事项的随意性，故特别规定：</w:t>
      </w:r>
    </w:p>
    <w:p>
      <w:pPr>
        <w:adjustRightInd w:val="0"/>
        <w:snapToGrid w:val="0"/>
        <w:spacing w:beforeLines="50" w:line="300" w:lineRule="auto"/>
        <w:ind w:firstLine="555"/>
        <w:rPr>
          <w:color w:val="auto"/>
          <w:sz w:val="24"/>
          <w:szCs w:val="24"/>
        </w:rPr>
      </w:pPr>
      <w:r>
        <w:rPr>
          <w:rFonts w:hint="eastAsia"/>
          <w:color w:val="auto"/>
          <w:sz w:val="24"/>
          <w:szCs w:val="24"/>
        </w:rPr>
        <w:t>（</w:t>
      </w:r>
      <w:r>
        <w:rPr>
          <w:color w:val="auto"/>
          <w:sz w:val="24"/>
          <w:szCs w:val="24"/>
        </w:rPr>
        <w:t>1</w:t>
      </w:r>
      <w:r>
        <w:rPr>
          <w:rFonts w:hint="eastAsia"/>
          <w:color w:val="auto"/>
          <w:sz w:val="24"/>
          <w:szCs w:val="24"/>
        </w:rPr>
        <w:t>）评标委员会对投标人申报的小型和微型企业价格扣除事项的评审结论，分为合格与不合格。</w:t>
      </w:r>
    </w:p>
    <w:p>
      <w:pPr>
        <w:autoSpaceDE w:val="0"/>
        <w:autoSpaceDN w:val="0"/>
        <w:adjustRightInd w:val="0"/>
        <w:snapToGrid w:val="0"/>
        <w:spacing w:beforeLines="50" w:line="300" w:lineRule="auto"/>
        <w:ind w:firstLine="600" w:firstLineChars="250"/>
        <w:jc w:val="left"/>
        <w:rPr>
          <w:rFonts w:ascii="宋体" w:hAnsi="宋体"/>
          <w:color w:val="auto"/>
          <w:sz w:val="24"/>
        </w:rPr>
      </w:pPr>
      <w:r>
        <w:rPr>
          <w:rFonts w:hint="eastAsia"/>
          <w:color w:val="auto"/>
          <w:sz w:val="24"/>
          <w:szCs w:val="24"/>
        </w:rPr>
        <w:t xml:space="preserve">（2） </w:t>
      </w:r>
      <w:r>
        <w:rPr>
          <w:rFonts w:hint="eastAsia" w:ascii="宋体" w:hAnsi="宋体"/>
          <w:color w:val="auto"/>
          <w:sz w:val="24"/>
        </w:rPr>
        <w:t>A.投标人所投货物均由小型和微型企业制造，享受小微企业价格扣除扶持政策。</w:t>
      </w:r>
    </w:p>
    <w:p>
      <w:pPr>
        <w:autoSpaceDE w:val="0"/>
        <w:autoSpaceDN w:val="0"/>
        <w:adjustRightInd w:val="0"/>
        <w:snapToGrid w:val="0"/>
        <w:spacing w:beforeLines="50" w:line="300" w:lineRule="auto"/>
        <w:ind w:firstLine="684" w:firstLineChars="285"/>
        <w:jc w:val="left"/>
        <w:rPr>
          <w:rFonts w:ascii="宋体" w:hAnsi="宋体"/>
          <w:color w:val="auto"/>
          <w:sz w:val="24"/>
        </w:rPr>
      </w:pPr>
      <w:r>
        <w:rPr>
          <w:rFonts w:hint="eastAsia" w:ascii="宋体" w:hAnsi="宋体"/>
          <w:color w:val="auto"/>
          <w:sz w:val="24"/>
        </w:rPr>
        <w:t>B.投标人所投货物既有小型和微型企业制造，也有中型企业制造或大型企业制造的，不享受小微企业价格扣除扶持政策。</w:t>
      </w:r>
    </w:p>
    <w:p>
      <w:pPr>
        <w:autoSpaceDE w:val="0"/>
        <w:autoSpaceDN w:val="0"/>
        <w:adjustRightInd w:val="0"/>
        <w:snapToGrid w:val="0"/>
        <w:spacing w:beforeLines="50" w:line="300" w:lineRule="auto"/>
        <w:ind w:firstLine="566" w:firstLineChars="236"/>
        <w:jc w:val="left"/>
        <w:rPr>
          <w:rFonts w:ascii="宋体" w:hAnsi="宋体"/>
          <w:color w:val="auto"/>
          <w:sz w:val="24"/>
        </w:rPr>
      </w:pPr>
      <w:r>
        <w:rPr>
          <w:rFonts w:hint="eastAsia" w:ascii="宋体" w:hAnsi="宋体"/>
          <w:color w:val="auto"/>
          <w:sz w:val="24"/>
        </w:rPr>
        <w:t>（3）经评审，申报的小微价格扣除事项缺失中小企业声明函、中小企业声明函含有大型中型企业制造产品、中小企业声明函少列产品、《中小企业声明函》中产品承诺与投标产品不一致、联合协议或分包意向协议不符合中小企业价格扣除规定、未按招标文件确定的价格扣除比例填列、等任一不符合政策要求及不准确的事项，评标委员会均将评审为不合格，该投标人申报的价格扣除事项不予接受、为</w:t>
      </w:r>
      <w:r>
        <w:rPr>
          <w:rFonts w:ascii="宋体" w:hAnsi="宋体"/>
          <w:color w:val="auto"/>
          <w:sz w:val="24"/>
        </w:rPr>
        <w:t>0</w:t>
      </w:r>
      <w:r>
        <w:rPr>
          <w:rFonts w:hint="eastAsia" w:ascii="宋体" w:hAnsi="宋体"/>
          <w:color w:val="auto"/>
          <w:sz w:val="24"/>
        </w:rPr>
        <w:t>；评标委员会应当告知相关投标人。</w:t>
      </w:r>
    </w:p>
    <w:p>
      <w:pPr>
        <w:autoSpaceDE w:val="0"/>
        <w:autoSpaceDN w:val="0"/>
        <w:adjustRightInd w:val="0"/>
        <w:snapToGrid w:val="0"/>
        <w:spacing w:beforeLines="50" w:line="300" w:lineRule="auto"/>
        <w:ind w:firstLine="566" w:firstLineChars="236"/>
        <w:jc w:val="left"/>
        <w:rPr>
          <w:rFonts w:ascii="宋体" w:hAnsi="宋体"/>
          <w:color w:val="auto"/>
          <w:sz w:val="24"/>
        </w:rPr>
      </w:pPr>
      <w:r>
        <w:rPr>
          <w:rFonts w:hint="eastAsia" w:ascii="宋体" w:hAnsi="宋体"/>
          <w:color w:val="auto"/>
          <w:sz w:val="24"/>
        </w:rPr>
        <w:t>提供虚假材料的为无效投标、并承担相应的法律责任。</w:t>
      </w:r>
    </w:p>
    <w:p>
      <w:pPr>
        <w:adjustRightInd w:val="0"/>
        <w:snapToGrid w:val="0"/>
        <w:spacing w:beforeLines="50" w:line="300" w:lineRule="auto"/>
        <w:ind w:firstLine="555"/>
        <w:rPr>
          <w:color w:val="auto"/>
          <w:sz w:val="24"/>
          <w:szCs w:val="24"/>
        </w:rPr>
      </w:pPr>
      <w:r>
        <w:rPr>
          <w:rFonts w:hint="eastAsia"/>
          <w:color w:val="auto"/>
          <w:sz w:val="24"/>
          <w:szCs w:val="24"/>
        </w:rPr>
        <w:t>（4）评审合格的，接受其申报的小型和微型企业价格扣除，用扣除后的价格参与评审。</w:t>
      </w:r>
    </w:p>
    <w:p>
      <w:pPr>
        <w:autoSpaceDE w:val="0"/>
        <w:autoSpaceDN w:val="0"/>
        <w:adjustRightInd w:val="0"/>
        <w:snapToGrid w:val="0"/>
        <w:spacing w:beforeLines="50" w:line="300" w:lineRule="auto"/>
        <w:ind w:firstLine="566" w:firstLineChars="236"/>
        <w:jc w:val="left"/>
        <w:rPr>
          <w:rFonts w:ascii="宋体" w:hAnsi="宋体"/>
          <w:color w:val="auto"/>
          <w:sz w:val="24"/>
        </w:rPr>
      </w:pPr>
      <w:r>
        <w:rPr>
          <w:rFonts w:hint="eastAsia" w:ascii="宋体" w:hAnsi="宋体"/>
          <w:color w:val="auto"/>
          <w:sz w:val="24"/>
        </w:rPr>
        <w:t>（5）评审不合格的，不接受其小微企业价格扣除，其开标一览表价格扣除视为</w:t>
      </w:r>
      <w:r>
        <w:rPr>
          <w:rFonts w:ascii="宋体" w:hAnsi="宋体"/>
          <w:color w:val="auto"/>
          <w:sz w:val="24"/>
        </w:rPr>
        <w:t>0</w:t>
      </w:r>
      <w:r>
        <w:rPr>
          <w:rFonts w:hint="eastAsia" w:ascii="宋体" w:hAnsi="宋体"/>
          <w:color w:val="auto"/>
          <w:sz w:val="24"/>
        </w:rPr>
        <w:t>，但将不作为无效投标。</w:t>
      </w:r>
    </w:p>
    <w:p>
      <w:pPr>
        <w:autoSpaceDE w:val="0"/>
        <w:autoSpaceDN w:val="0"/>
        <w:adjustRightInd w:val="0"/>
        <w:snapToGrid w:val="0"/>
        <w:spacing w:beforeLines="50" w:line="300" w:lineRule="auto"/>
        <w:ind w:firstLine="566" w:firstLineChars="236"/>
        <w:jc w:val="left"/>
        <w:rPr>
          <w:rFonts w:ascii="宋体" w:hAnsi="宋体"/>
          <w:color w:val="auto"/>
          <w:sz w:val="24"/>
        </w:rPr>
      </w:pPr>
      <w:r>
        <w:rPr>
          <w:rFonts w:hint="eastAsia" w:ascii="宋体" w:hAnsi="宋体"/>
          <w:color w:val="auto"/>
          <w:sz w:val="24"/>
        </w:rPr>
        <w:t>（6）在电子交易系统，投标人填选后，扣除后的价格将由电子交易系统自动生成。</w:t>
      </w:r>
    </w:p>
    <w:p>
      <w:pPr>
        <w:adjustRightInd w:val="0"/>
        <w:snapToGrid w:val="0"/>
        <w:spacing w:beforeLines="50" w:line="300" w:lineRule="auto"/>
        <w:ind w:firstLine="555"/>
        <w:rPr>
          <w:color w:val="auto"/>
          <w:sz w:val="24"/>
          <w:szCs w:val="24"/>
        </w:rPr>
      </w:pPr>
      <w:r>
        <w:rPr>
          <w:rFonts w:hint="eastAsia"/>
          <w:color w:val="auto"/>
          <w:sz w:val="24"/>
          <w:szCs w:val="24"/>
        </w:rPr>
        <w:t>注：小微企业价格扣除，仅作为价格评审的依据，并不影响合同执行价格，合同执行价格为中标人的投标报价。</w:t>
      </w:r>
    </w:p>
    <w:p>
      <w:pPr>
        <w:autoSpaceDE w:val="0"/>
        <w:autoSpaceDN w:val="0"/>
        <w:adjustRightInd w:val="0"/>
        <w:snapToGrid w:val="0"/>
        <w:spacing w:beforeLines="50" w:line="300" w:lineRule="auto"/>
        <w:ind w:firstLine="566" w:firstLineChars="236"/>
        <w:jc w:val="left"/>
        <w:rPr>
          <w:rFonts w:ascii="宋体" w:hAnsi="宋体"/>
          <w:color w:val="auto"/>
          <w:sz w:val="24"/>
        </w:rPr>
      </w:pPr>
      <w:r>
        <w:rPr>
          <w:rFonts w:hint="eastAsia" w:ascii="宋体" w:hAnsi="宋体"/>
          <w:color w:val="auto"/>
          <w:sz w:val="24"/>
        </w:rPr>
        <w:t>4.8</w:t>
      </w:r>
      <w:r>
        <w:rPr>
          <w:rFonts w:ascii="宋体" w:hAnsi="宋体"/>
          <w:color w:val="auto"/>
          <w:sz w:val="24"/>
        </w:rPr>
        <w:t xml:space="preserve"> </w:t>
      </w:r>
      <w:r>
        <w:rPr>
          <w:rFonts w:hint="eastAsia" w:ascii="宋体" w:hAnsi="宋体"/>
          <w:color w:val="auto"/>
          <w:sz w:val="24"/>
        </w:rPr>
        <w:t>根据财政部、工业和信息化部有关负责人就印发《政府采购促进中小企业发展管理办法》答记者问，为方便广大中小企业、政府部门和社会公众识别企业规模类型，工业和信息化部组织开发了中小企业规模类型自测小程序，并于2020年2月27日上线运行，在国务院客户端和工业和信息化部网站上均有链接，广大中小企业和各类社会机构填写企业所属的行业和指标数据自动生成企业规模类型测试结果。</w:t>
      </w:r>
    </w:p>
    <w:p>
      <w:pPr>
        <w:autoSpaceDE w:val="0"/>
        <w:autoSpaceDN w:val="0"/>
        <w:adjustRightInd w:val="0"/>
        <w:snapToGrid w:val="0"/>
        <w:spacing w:beforeLines="50" w:line="300" w:lineRule="auto"/>
        <w:ind w:firstLine="566" w:firstLineChars="236"/>
        <w:jc w:val="left"/>
        <w:rPr>
          <w:rFonts w:ascii="宋体" w:hAnsi="宋体"/>
          <w:color w:val="auto"/>
          <w:sz w:val="24"/>
        </w:rPr>
      </w:pPr>
      <w:r>
        <w:rPr>
          <w:rFonts w:hint="eastAsia" w:ascii="宋体" w:hAnsi="宋体"/>
          <w:color w:val="auto"/>
          <w:sz w:val="24"/>
        </w:rPr>
        <w:t>4.9 中标、成交供应商享受本办法规定的中小企业扶持政策的，中标、成交供应商的《中小企业声明函》将随中标、成交结果公开。</w:t>
      </w:r>
    </w:p>
    <w:p>
      <w:pPr>
        <w:autoSpaceDE w:val="0"/>
        <w:autoSpaceDN w:val="0"/>
        <w:adjustRightInd w:val="0"/>
        <w:snapToGrid w:val="0"/>
        <w:spacing w:beforeLines="50" w:line="300" w:lineRule="auto"/>
        <w:ind w:firstLine="566" w:firstLineChars="236"/>
        <w:jc w:val="left"/>
        <w:rPr>
          <w:rFonts w:ascii="宋体" w:hAnsi="宋体"/>
          <w:color w:val="auto"/>
          <w:sz w:val="24"/>
        </w:rPr>
      </w:pPr>
      <w:r>
        <w:rPr>
          <w:rFonts w:hint="eastAsia" w:ascii="宋体" w:hAnsi="宋体"/>
          <w:color w:val="auto"/>
          <w:sz w:val="24"/>
        </w:rPr>
        <w:t>4.10 依法享受扶持政策获得政府采购合同的，小微企业不得将合同分包给大中型企业，中型企业不得将合同分包给大型企业。</w:t>
      </w:r>
    </w:p>
    <w:p>
      <w:pPr>
        <w:autoSpaceDE w:val="0"/>
        <w:autoSpaceDN w:val="0"/>
        <w:adjustRightInd w:val="0"/>
        <w:snapToGrid w:val="0"/>
        <w:spacing w:beforeLines="50" w:line="300" w:lineRule="auto"/>
        <w:ind w:firstLine="566" w:firstLineChars="236"/>
        <w:jc w:val="left"/>
        <w:rPr>
          <w:rFonts w:ascii="宋体" w:hAnsi="宋体"/>
          <w:color w:val="auto"/>
          <w:sz w:val="24"/>
        </w:rPr>
      </w:pPr>
      <w:r>
        <w:rPr>
          <w:rFonts w:hint="eastAsia" w:ascii="宋体" w:hAnsi="宋体"/>
          <w:color w:val="auto"/>
          <w:sz w:val="24"/>
        </w:rPr>
        <w:t>4.11 政府采购监督检查、投诉处理及政府采购行政处罚中对中小企业的认定，由货物制造商或者工程、服务供应商注册登记所在地的县级以上人民政府中小企业主管部门负责。</w:t>
      </w:r>
    </w:p>
    <w:p>
      <w:pPr>
        <w:jc w:val="left"/>
        <w:rPr>
          <w:color w:val="auto"/>
          <w:sz w:val="24"/>
          <w:szCs w:val="24"/>
        </w:rPr>
      </w:pPr>
      <w:r>
        <w:rPr>
          <w:rFonts w:ascii="黑体" w:eastAsia="黑体"/>
          <w:b/>
          <w:color w:val="auto"/>
          <w:spacing w:val="20"/>
          <w:sz w:val="36"/>
          <w:szCs w:val="36"/>
        </w:rPr>
        <w:br w:type="page"/>
      </w:r>
    </w:p>
    <w:p>
      <w:pPr>
        <w:widowControl w:val="0"/>
        <w:snapToGrid w:val="0"/>
        <w:spacing w:line="657" w:lineRule="atLeast"/>
        <w:jc w:val="center"/>
        <w:outlineLvl w:val="0"/>
        <w:rPr>
          <w:rFonts w:ascii="黑体" w:eastAsia="黑体"/>
          <w:b/>
          <w:color w:val="auto"/>
          <w:spacing w:val="20"/>
          <w:sz w:val="36"/>
          <w:szCs w:val="36"/>
        </w:rPr>
      </w:pPr>
    </w:p>
    <w:p>
      <w:pPr>
        <w:widowControl w:val="0"/>
        <w:snapToGrid w:val="0"/>
        <w:spacing w:line="657" w:lineRule="atLeast"/>
        <w:jc w:val="center"/>
        <w:outlineLvl w:val="0"/>
        <w:rPr>
          <w:rFonts w:ascii="黑体" w:eastAsia="黑体"/>
          <w:b/>
          <w:color w:val="auto"/>
          <w:sz w:val="36"/>
          <w:szCs w:val="36"/>
        </w:rPr>
      </w:pPr>
      <w:r>
        <w:rPr>
          <w:rFonts w:ascii="黑体" w:eastAsia="黑体"/>
          <w:b/>
          <w:color w:val="auto"/>
          <w:spacing w:val="20"/>
          <w:sz w:val="36"/>
          <w:szCs w:val="36"/>
        </w:rPr>
        <w:t xml:space="preserve"> </w:t>
      </w:r>
      <w:bookmarkStart w:id="49" w:name="_Toc114740105"/>
      <w:r>
        <w:rPr>
          <w:rFonts w:hint="eastAsia" w:ascii="黑体" w:eastAsia="黑体"/>
          <w:b/>
          <w:color w:val="auto"/>
          <w:sz w:val="36"/>
          <w:szCs w:val="36"/>
        </w:rPr>
        <w:t>第五章</w:t>
      </w:r>
      <w:r>
        <w:rPr>
          <w:rFonts w:ascii="黑体" w:eastAsia="黑体"/>
          <w:b/>
          <w:color w:val="auto"/>
          <w:sz w:val="36"/>
          <w:szCs w:val="36"/>
        </w:rPr>
        <w:t xml:space="preserve">  </w:t>
      </w:r>
      <w:r>
        <w:rPr>
          <w:rFonts w:hint="eastAsia" w:ascii="黑体" w:eastAsia="黑体"/>
          <w:b/>
          <w:color w:val="auto"/>
          <w:sz w:val="36"/>
          <w:szCs w:val="36"/>
        </w:rPr>
        <w:t>合同主要条款</w:t>
      </w:r>
      <w:bookmarkEnd w:id="49"/>
    </w:p>
    <w:p>
      <w:pPr>
        <w:widowControl w:val="0"/>
        <w:snapToGrid w:val="0"/>
        <w:spacing w:line="657" w:lineRule="atLeast"/>
        <w:jc w:val="center"/>
        <w:rPr>
          <w:rFonts w:ascii="黑体" w:eastAsia="黑体"/>
          <w:b/>
          <w:color w:val="auto"/>
          <w:spacing w:val="20"/>
          <w:sz w:val="36"/>
          <w:szCs w:val="36"/>
        </w:rPr>
      </w:pPr>
    </w:p>
    <w:p>
      <w:pPr>
        <w:widowControl w:val="0"/>
        <w:snapToGrid w:val="0"/>
        <w:spacing w:line="657" w:lineRule="atLeast"/>
        <w:jc w:val="center"/>
        <w:rPr>
          <w:rFonts w:ascii="黑体" w:eastAsia="黑体"/>
          <w:b/>
          <w:color w:val="auto"/>
          <w:spacing w:val="20"/>
          <w:sz w:val="36"/>
          <w:szCs w:val="36"/>
        </w:rPr>
      </w:pPr>
      <w:r>
        <w:rPr>
          <w:rFonts w:hint="eastAsia" w:ascii="黑体" w:eastAsia="黑体"/>
          <w:b/>
          <w:color w:val="auto"/>
          <w:spacing w:val="20"/>
          <w:sz w:val="36"/>
          <w:szCs w:val="36"/>
        </w:rPr>
        <w:t>供</w:t>
      </w:r>
      <w:r>
        <w:rPr>
          <w:rFonts w:ascii="黑体" w:eastAsia="黑体"/>
          <w:b/>
          <w:color w:val="auto"/>
          <w:spacing w:val="20"/>
          <w:sz w:val="36"/>
          <w:szCs w:val="36"/>
        </w:rPr>
        <w:t xml:space="preserve"> </w:t>
      </w:r>
      <w:r>
        <w:rPr>
          <w:rFonts w:hint="eastAsia" w:ascii="黑体" w:eastAsia="黑体"/>
          <w:b/>
          <w:color w:val="auto"/>
          <w:spacing w:val="20"/>
          <w:sz w:val="36"/>
          <w:szCs w:val="36"/>
        </w:rPr>
        <w:t>货</w:t>
      </w:r>
      <w:r>
        <w:rPr>
          <w:rFonts w:ascii="黑体" w:eastAsia="黑体"/>
          <w:b/>
          <w:color w:val="auto"/>
          <w:spacing w:val="20"/>
          <w:sz w:val="36"/>
          <w:szCs w:val="36"/>
        </w:rPr>
        <w:t xml:space="preserve"> </w:t>
      </w:r>
      <w:r>
        <w:rPr>
          <w:rFonts w:hint="eastAsia" w:ascii="黑体" w:eastAsia="黑体"/>
          <w:b/>
          <w:color w:val="auto"/>
          <w:spacing w:val="20"/>
          <w:sz w:val="36"/>
          <w:szCs w:val="36"/>
        </w:rPr>
        <w:t>合</w:t>
      </w:r>
      <w:r>
        <w:rPr>
          <w:rFonts w:ascii="黑体" w:eastAsia="黑体"/>
          <w:b/>
          <w:color w:val="auto"/>
          <w:spacing w:val="20"/>
          <w:sz w:val="36"/>
          <w:szCs w:val="36"/>
        </w:rPr>
        <w:t xml:space="preserve"> </w:t>
      </w:r>
      <w:r>
        <w:rPr>
          <w:rFonts w:hint="eastAsia" w:ascii="黑体" w:eastAsia="黑体"/>
          <w:b/>
          <w:color w:val="auto"/>
          <w:spacing w:val="20"/>
          <w:sz w:val="36"/>
          <w:szCs w:val="36"/>
        </w:rPr>
        <w:t>同</w:t>
      </w:r>
    </w:p>
    <w:p>
      <w:pPr>
        <w:widowControl w:val="0"/>
        <w:snapToGrid w:val="0"/>
        <w:spacing w:before="56" w:after="56" w:line="360" w:lineRule="auto"/>
        <w:ind w:right="85"/>
        <w:jc w:val="left"/>
        <w:textAlignment w:val="top"/>
        <w:rPr>
          <w:color w:val="auto"/>
          <w:sz w:val="24"/>
          <w:szCs w:val="24"/>
        </w:rPr>
      </w:pPr>
      <w:r>
        <w:rPr>
          <w:rFonts w:hint="eastAsia"/>
          <w:color w:val="auto"/>
          <w:sz w:val="24"/>
          <w:szCs w:val="24"/>
        </w:rPr>
        <w:t>合同编号：</w:t>
      </w:r>
    </w:p>
    <w:p>
      <w:pPr>
        <w:widowControl w:val="0"/>
        <w:snapToGrid w:val="0"/>
        <w:spacing w:before="56" w:after="56" w:line="360" w:lineRule="auto"/>
        <w:ind w:right="85"/>
        <w:jc w:val="left"/>
        <w:textAlignment w:val="top"/>
        <w:rPr>
          <w:color w:val="auto"/>
          <w:sz w:val="24"/>
          <w:szCs w:val="24"/>
        </w:rPr>
      </w:pPr>
      <w:r>
        <w:rPr>
          <w:rFonts w:hint="eastAsia"/>
          <w:color w:val="auto"/>
          <w:sz w:val="24"/>
          <w:szCs w:val="24"/>
        </w:rPr>
        <w:t>甲方：（采购人）</w:t>
      </w:r>
    </w:p>
    <w:p>
      <w:pPr>
        <w:widowControl w:val="0"/>
        <w:snapToGrid w:val="0"/>
        <w:spacing w:before="56" w:after="56" w:line="360" w:lineRule="auto"/>
        <w:ind w:right="85"/>
        <w:jc w:val="left"/>
        <w:textAlignment w:val="top"/>
        <w:rPr>
          <w:color w:val="auto"/>
          <w:sz w:val="24"/>
          <w:szCs w:val="24"/>
        </w:rPr>
      </w:pPr>
      <w:r>
        <w:rPr>
          <w:rFonts w:hint="eastAsia"/>
          <w:color w:val="auto"/>
          <w:sz w:val="24"/>
          <w:szCs w:val="24"/>
        </w:rPr>
        <w:t>乙方：（供应商）</w:t>
      </w:r>
    </w:p>
    <w:p>
      <w:pPr>
        <w:widowControl w:val="0"/>
        <w:snapToGrid w:val="0"/>
        <w:spacing w:line="360" w:lineRule="auto"/>
        <w:ind w:right="85" w:firstLine="460" w:firstLineChars="192"/>
        <w:rPr>
          <w:color w:val="auto"/>
          <w:spacing w:val="20"/>
          <w:sz w:val="24"/>
          <w:szCs w:val="24"/>
        </w:rPr>
      </w:pPr>
      <w:r>
        <w:rPr>
          <w:rFonts w:hint="eastAsia"/>
          <w:color w:val="auto"/>
          <w:sz w:val="24"/>
          <w:szCs w:val="24"/>
        </w:rPr>
        <w:t>甲、乙双方持安阳市方正招标采购服务有限责任公司</w:t>
      </w:r>
      <w:r>
        <w:rPr>
          <w:color w:val="auto"/>
          <w:sz w:val="24"/>
          <w:szCs w:val="24"/>
        </w:rPr>
        <w:t>202</w:t>
      </w:r>
      <w:r>
        <w:rPr>
          <w:rFonts w:hint="eastAsia"/>
          <w:color w:val="auto"/>
          <w:sz w:val="24"/>
          <w:szCs w:val="24"/>
        </w:rPr>
        <w:t>2年</w:t>
      </w:r>
      <w:r>
        <w:rPr>
          <w:rFonts w:hint="eastAsia"/>
          <w:color w:val="auto"/>
          <w:sz w:val="24"/>
          <w:szCs w:val="24"/>
          <w:u w:val="single"/>
        </w:rPr>
        <w:t xml:space="preserve">  </w:t>
      </w:r>
      <w:r>
        <w:rPr>
          <w:rFonts w:hint="eastAsia"/>
          <w:color w:val="auto"/>
          <w:sz w:val="24"/>
          <w:szCs w:val="24"/>
        </w:rPr>
        <w:t>月</w:t>
      </w:r>
      <w:r>
        <w:rPr>
          <w:rFonts w:hint="eastAsia"/>
          <w:color w:val="auto"/>
          <w:sz w:val="24"/>
          <w:szCs w:val="24"/>
          <w:u w:val="single"/>
        </w:rPr>
        <w:t xml:space="preserve">  </w:t>
      </w:r>
      <w:r>
        <w:rPr>
          <w:rFonts w:hint="eastAsia"/>
          <w:color w:val="auto"/>
          <w:sz w:val="24"/>
          <w:szCs w:val="24"/>
        </w:rPr>
        <w:t>日签发的</w:t>
      </w:r>
      <w:r>
        <w:rPr>
          <w:rFonts w:hint="eastAsia"/>
          <w:color w:val="auto"/>
          <w:sz w:val="24"/>
          <w:szCs w:val="24"/>
          <w:u w:val="single"/>
        </w:rPr>
        <w:t>（采购人及项目名称）</w:t>
      </w:r>
      <w:r>
        <w:rPr>
          <w:rFonts w:hint="eastAsia"/>
          <w:color w:val="auto"/>
          <w:sz w:val="24"/>
          <w:szCs w:val="24"/>
        </w:rPr>
        <w:t>〔项目编号：</w:t>
      </w:r>
      <w:r>
        <w:rPr>
          <w:color w:val="auto"/>
          <w:sz w:val="24"/>
          <w:szCs w:val="24"/>
        </w:rPr>
        <w:t xml:space="preserve">      </w:t>
      </w:r>
      <w:r>
        <w:rPr>
          <w:rFonts w:hint="eastAsia"/>
          <w:color w:val="auto"/>
          <w:sz w:val="24"/>
          <w:szCs w:val="24"/>
        </w:rPr>
        <w:t>〕中标通知书，根据招标文件</w:t>
      </w:r>
      <w:r>
        <w:rPr>
          <w:rFonts w:hint="eastAsia"/>
          <w:color w:val="auto"/>
          <w:spacing w:val="20"/>
          <w:sz w:val="24"/>
          <w:szCs w:val="24"/>
        </w:rPr>
        <w:t>及其修改补充澄清、投标文件及其修改补充澄清的内容，经双方平等协商一致，达成以下合同条款：</w:t>
      </w:r>
    </w:p>
    <w:p>
      <w:pPr>
        <w:widowControl w:val="0"/>
        <w:snapToGrid w:val="0"/>
        <w:spacing w:line="360" w:lineRule="auto"/>
        <w:ind w:right="85" w:firstLine="460" w:firstLineChars="192"/>
        <w:rPr>
          <w:color w:val="auto"/>
          <w:sz w:val="24"/>
          <w:szCs w:val="24"/>
        </w:rPr>
      </w:pPr>
      <w:r>
        <w:rPr>
          <w:rFonts w:hint="eastAsia"/>
          <w:color w:val="auto"/>
          <w:sz w:val="24"/>
          <w:szCs w:val="24"/>
        </w:rPr>
        <w:t>一、本合同所指货物为此次公开招标的货物，包括</w:t>
      </w:r>
      <w:r>
        <w:rPr>
          <w:rFonts w:hint="eastAsia"/>
          <w:color w:val="auto"/>
          <w:sz w:val="24"/>
          <w:szCs w:val="24"/>
          <w:u w:val="single"/>
        </w:rPr>
        <w:t>（详细注明：品名、规格、型号、数量、单价、产地及技术要求）</w:t>
      </w:r>
      <w:r>
        <w:rPr>
          <w:rFonts w:hint="eastAsia"/>
          <w:color w:val="auto"/>
          <w:sz w:val="24"/>
          <w:szCs w:val="24"/>
        </w:rPr>
        <w:t>，合同总价款为元（大写：</w:t>
      </w:r>
      <w:r>
        <w:rPr>
          <w:color w:val="auto"/>
          <w:sz w:val="24"/>
          <w:szCs w:val="24"/>
        </w:rPr>
        <w:t xml:space="preserve">                 </w:t>
      </w:r>
      <w:r>
        <w:rPr>
          <w:rFonts w:hint="eastAsia"/>
          <w:color w:val="auto"/>
          <w:sz w:val="24"/>
          <w:szCs w:val="24"/>
        </w:rPr>
        <w:t>）。</w:t>
      </w:r>
    </w:p>
    <w:p>
      <w:pPr>
        <w:widowControl w:val="0"/>
        <w:snapToGrid w:val="0"/>
        <w:spacing w:line="360" w:lineRule="auto"/>
        <w:ind w:right="85" w:firstLine="537" w:firstLineChars="192"/>
        <w:rPr>
          <w:color w:val="auto"/>
          <w:sz w:val="24"/>
          <w:szCs w:val="24"/>
        </w:rPr>
      </w:pPr>
      <w:r>
        <w:rPr>
          <w:rFonts w:hint="eastAsia"/>
          <w:color w:val="auto"/>
          <w:spacing w:val="20"/>
          <w:sz w:val="24"/>
          <w:szCs w:val="24"/>
        </w:rPr>
        <w:t>本合同为固定总价合同，不因人工、材料和设备等价格的波动而影响合同价格。</w:t>
      </w:r>
    </w:p>
    <w:p>
      <w:pPr>
        <w:widowControl w:val="0"/>
        <w:snapToGrid w:val="0"/>
        <w:spacing w:before="56" w:after="56" w:line="360" w:lineRule="auto"/>
        <w:ind w:right="85" w:firstLine="555"/>
        <w:rPr>
          <w:color w:val="auto"/>
          <w:sz w:val="24"/>
          <w:szCs w:val="24"/>
        </w:rPr>
      </w:pPr>
      <w:r>
        <w:rPr>
          <w:rFonts w:hint="eastAsia"/>
          <w:color w:val="auto"/>
          <w:sz w:val="24"/>
          <w:szCs w:val="24"/>
        </w:rPr>
        <w:t>二、货物质量要求及乙方对质量负责条件和期限：</w:t>
      </w:r>
    </w:p>
    <w:p>
      <w:pPr>
        <w:widowControl w:val="0"/>
        <w:snapToGrid w:val="0"/>
        <w:spacing w:line="360" w:lineRule="auto"/>
        <w:ind w:firstLine="561"/>
        <w:rPr>
          <w:color w:val="auto"/>
          <w:spacing w:val="20"/>
          <w:sz w:val="24"/>
          <w:szCs w:val="24"/>
        </w:rPr>
      </w:pPr>
      <w:r>
        <w:rPr>
          <w:color w:val="auto"/>
          <w:sz w:val="24"/>
          <w:szCs w:val="24"/>
        </w:rPr>
        <w:t>1</w:t>
      </w:r>
      <w:r>
        <w:rPr>
          <w:rFonts w:hint="eastAsia"/>
          <w:color w:val="auto"/>
          <w:sz w:val="24"/>
          <w:szCs w:val="24"/>
        </w:rPr>
        <w:t>、乙方提供的货物是全新的货物，符合国家强制标准及安全标准、检测标准以及该产品的出厂标准，符合招标文件</w:t>
      </w:r>
      <w:r>
        <w:rPr>
          <w:rFonts w:hint="eastAsia"/>
          <w:color w:val="auto"/>
          <w:spacing w:val="20"/>
          <w:sz w:val="24"/>
          <w:szCs w:val="24"/>
        </w:rPr>
        <w:t>及其修改补充澄清要求且达到乙方投标文件及澄清中的技术标准。</w:t>
      </w:r>
    </w:p>
    <w:p>
      <w:pPr>
        <w:widowControl w:val="0"/>
        <w:snapToGrid w:val="0"/>
        <w:spacing w:before="56" w:after="56" w:line="360" w:lineRule="auto"/>
        <w:ind w:right="85" w:firstLine="555"/>
        <w:rPr>
          <w:color w:val="auto"/>
          <w:sz w:val="24"/>
          <w:szCs w:val="24"/>
        </w:rPr>
      </w:pPr>
      <w:r>
        <w:rPr>
          <w:color w:val="auto"/>
          <w:sz w:val="24"/>
          <w:szCs w:val="24"/>
        </w:rPr>
        <w:t>2</w:t>
      </w:r>
      <w:r>
        <w:rPr>
          <w:rFonts w:hint="eastAsia"/>
          <w:color w:val="auto"/>
          <w:sz w:val="24"/>
          <w:szCs w:val="24"/>
        </w:rPr>
        <w:t>、售后服务：（按招标文件及投标文件等相应条款制订）</w:t>
      </w:r>
    </w:p>
    <w:p>
      <w:pPr>
        <w:widowControl w:val="0"/>
        <w:snapToGrid w:val="0"/>
        <w:spacing w:before="56" w:after="56" w:line="360" w:lineRule="auto"/>
        <w:ind w:right="85" w:firstLine="555"/>
        <w:rPr>
          <w:color w:val="auto"/>
          <w:sz w:val="24"/>
          <w:szCs w:val="24"/>
        </w:rPr>
      </w:pPr>
      <w:r>
        <w:rPr>
          <w:rFonts w:hint="eastAsia"/>
          <w:color w:val="auto"/>
          <w:sz w:val="24"/>
          <w:szCs w:val="24"/>
        </w:rPr>
        <w:t>三、交货时间、地点、方式：</w:t>
      </w:r>
    </w:p>
    <w:p>
      <w:pPr>
        <w:widowControl w:val="0"/>
        <w:snapToGrid w:val="0"/>
        <w:spacing w:line="360" w:lineRule="auto"/>
        <w:ind w:right="85" w:firstLine="537" w:firstLineChars="192"/>
        <w:rPr>
          <w:color w:val="auto"/>
          <w:spacing w:val="20"/>
          <w:sz w:val="24"/>
          <w:szCs w:val="24"/>
        </w:rPr>
      </w:pPr>
      <w:r>
        <w:rPr>
          <w:rFonts w:hint="eastAsia"/>
          <w:color w:val="auto"/>
          <w:spacing w:val="20"/>
          <w:sz w:val="24"/>
          <w:szCs w:val="24"/>
        </w:rPr>
        <w:t>合同生效后，乙方应于</w:t>
      </w:r>
      <w:r>
        <w:rPr>
          <w:color w:val="auto"/>
          <w:spacing w:val="20"/>
          <w:sz w:val="24"/>
          <w:szCs w:val="24"/>
        </w:rPr>
        <w:t>202</w:t>
      </w:r>
      <w:r>
        <w:rPr>
          <w:rFonts w:hint="eastAsia"/>
          <w:color w:val="auto"/>
          <w:spacing w:val="20"/>
          <w:sz w:val="24"/>
          <w:szCs w:val="24"/>
        </w:rPr>
        <w:t>2年</w:t>
      </w:r>
      <w:r>
        <w:rPr>
          <w:rFonts w:hint="eastAsia"/>
          <w:color w:val="auto"/>
          <w:spacing w:val="20"/>
          <w:sz w:val="24"/>
          <w:szCs w:val="24"/>
          <w:u w:val="single"/>
        </w:rPr>
        <w:t xml:space="preserve">  </w:t>
      </w:r>
      <w:r>
        <w:rPr>
          <w:rFonts w:hint="eastAsia"/>
          <w:color w:val="auto"/>
          <w:spacing w:val="20"/>
          <w:sz w:val="24"/>
          <w:szCs w:val="24"/>
        </w:rPr>
        <w:t>月</w:t>
      </w:r>
      <w:r>
        <w:rPr>
          <w:rFonts w:hint="eastAsia"/>
          <w:color w:val="auto"/>
          <w:spacing w:val="20"/>
          <w:sz w:val="24"/>
          <w:szCs w:val="24"/>
          <w:u w:val="single"/>
        </w:rPr>
        <w:t xml:space="preserve">  </w:t>
      </w:r>
      <w:r>
        <w:rPr>
          <w:rFonts w:hint="eastAsia"/>
          <w:color w:val="auto"/>
          <w:spacing w:val="20"/>
          <w:sz w:val="24"/>
          <w:szCs w:val="24"/>
        </w:rPr>
        <w:t>日前将货物带包装送达甲方指定地点（安阳市），并于</w:t>
      </w:r>
      <w:r>
        <w:rPr>
          <w:color w:val="auto"/>
          <w:spacing w:val="20"/>
          <w:sz w:val="24"/>
          <w:szCs w:val="24"/>
        </w:rPr>
        <w:t>202</w:t>
      </w:r>
      <w:r>
        <w:rPr>
          <w:rFonts w:hint="eastAsia"/>
          <w:color w:val="auto"/>
          <w:spacing w:val="20"/>
          <w:sz w:val="24"/>
          <w:szCs w:val="24"/>
        </w:rPr>
        <w:t>2年</w:t>
      </w:r>
      <w:r>
        <w:rPr>
          <w:rFonts w:hint="eastAsia"/>
          <w:color w:val="auto"/>
          <w:spacing w:val="20"/>
          <w:sz w:val="24"/>
          <w:szCs w:val="24"/>
          <w:u w:val="single"/>
        </w:rPr>
        <w:t xml:space="preserve">  </w:t>
      </w:r>
      <w:r>
        <w:rPr>
          <w:rFonts w:hint="eastAsia"/>
          <w:color w:val="auto"/>
          <w:spacing w:val="20"/>
          <w:sz w:val="24"/>
          <w:szCs w:val="24"/>
        </w:rPr>
        <w:t>月</w:t>
      </w:r>
      <w:r>
        <w:rPr>
          <w:rFonts w:hint="eastAsia"/>
          <w:color w:val="auto"/>
          <w:spacing w:val="20"/>
          <w:sz w:val="24"/>
          <w:szCs w:val="24"/>
          <w:u w:val="single"/>
        </w:rPr>
        <w:t xml:space="preserve">  </w:t>
      </w:r>
      <w:r>
        <w:rPr>
          <w:rFonts w:hint="eastAsia"/>
          <w:color w:val="auto"/>
          <w:spacing w:val="20"/>
          <w:sz w:val="24"/>
          <w:szCs w:val="24"/>
        </w:rPr>
        <w:t>日前安装调试完毕，具备正常使用及验收条件。</w:t>
      </w:r>
    </w:p>
    <w:p>
      <w:pPr>
        <w:widowControl w:val="0"/>
        <w:snapToGrid w:val="0"/>
        <w:spacing w:line="360" w:lineRule="auto"/>
        <w:ind w:right="85" w:firstLine="537" w:firstLineChars="192"/>
        <w:rPr>
          <w:color w:val="auto"/>
          <w:spacing w:val="20"/>
          <w:sz w:val="24"/>
          <w:szCs w:val="24"/>
        </w:rPr>
      </w:pPr>
      <w:r>
        <w:rPr>
          <w:rFonts w:hint="eastAsia"/>
          <w:color w:val="auto"/>
          <w:spacing w:val="20"/>
          <w:sz w:val="24"/>
          <w:szCs w:val="24"/>
        </w:rPr>
        <w:t>货物运送产生的费用由乙方负责。乙方在交付货物时应向甲方提供货物的使用说明书、合格证书及其他相关的资料。</w:t>
      </w:r>
    </w:p>
    <w:p>
      <w:pPr>
        <w:widowControl w:val="0"/>
        <w:snapToGrid w:val="0"/>
        <w:spacing w:before="56" w:after="56" w:line="360" w:lineRule="auto"/>
        <w:ind w:right="85" w:firstLine="555"/>
        <w:rPr>
          <w:color w:val="auto"/>
          <w:sz w:val="24"/>
          <w:szCs w:val="24"/>
        </w:rPr>
      </w:pPr>
      <w:r>
        <w:rPr>
          <w:rFonts w:hint="eastAsia"/>
          <w:color w:val="auto"/>
          <w:sz w:val="24"/>
          <w:szCs w:val="24"/>
        </w:rPr>
        <w:t>四、验收程序和要求</w:t>
      </w:r>
    </w:p>
    <w:p>
      <w:pPr>
        <w:widowControl w:val="0"/>
        <w:adjustRightInd w:val="0"/>
        <w:snapToGrid w:val="0"/>
        <w:spacing w:beforeLines="50" w:line="300" w:lineRule="auto"/>
        <w:ind w:firstLine="561"/>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、验收时间：所供货物安装调试结束、具备正常使用及验收条件时，由采购</w:t>
      </w:r>
      <w:r>
        <w:rPr>
          <w:rFonts w:hint="eastAsia" w:ascii="宋体" w:hAnsi="宋体" w:cs="楷体_GB2312"/>
          <w:color w:val="auto"/>
          <w:sz w:val="24"/>
        </w:rPr>
        <w:t>人</w:t>
      </w:r>
      <w:r>
        <w:rPr>
          <w:rFonts w:hint="eastAsia" w:ascii="宋体" w:hAnsi="宋体" w:cs="楷体_GB2312"/>
          <w:color w:val="auto"/>
          <w:sz w:val="24"/>
          <w:lang w:val="zh-CN"/>
        </w:rPr>
        <w:t>成立验收工作组负责验收。</w:t>
      </w:r>
      <w:r>
        <w:rPr>
          <w:rFonts w:hint="eastAsia" w:ascii="宋体" w:hAnsi="宋体" w:cs="楷体_GB2312"/>
          <w:color w:val="auto"/>
          <w:sz w:val="24"/>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pPr>
        <w:widowControl w:val="0"/>
        <w:adjustRightInd w:val="0"/>
        <w:snapToGrid w:val="0"/>
        <w:spacing w:beforeLines="50" w:line="300" w:lineRule="auto"/>
        <w:ind w:firstLine="561"/>
        <w:rPr>
          <w:rFonts w:ascii="宋体" w:hAnsi="宋体" w:cs="楷体_GB2312"/>
          <w:color w:val="auto"/>
          <w:sz w:val="24"/>
          <w:lang w:val="zh-CN"/>
        </w:rPr>
      </w:pPr>
      <w:r>
        <w:rPr>
          <w:rFonts w:ascii="宋体" w:hAnsi="宋体" w:cs="楷体_GB2312"/>
          <w:color w:val="auto"/>
          <w:sz w:val="24"/>
          <w:lang w:val="zh-CN"/>
        </w:rPr>
        <w:t>2</w:t>
      </w:r>
      <w:r>
        <w:rPr>
          <w:rFonts w:hint="eastAsia" w:ascii="宋体" w:hAnsi="宋体" w:cs="楷体_GB2312"/>
          <w:color w:val="auto"/>
          <w:sz w:val="24"/>
          <w:lang w:val="zh-CN"/>
        </w:rPr>
        <w:t>、验收工作组：合同履约验收工作应成立验收工作组专门负责。</w:t>
      </w:r>
    </w:p>
    <w:p>
      <w:pPr>
        <w:widowControl w:val="0"/>
        <w:adjustRightInd w:val="0"/>
        <w:snapToGrid w:val="0"/>
        <w:spacing w:beforeLines="50" w:line="300" w:lineRule="auto"/>
        <w:ind w:firstLine="561"/>
        <w:rPr>
          <w:rFonts w:ascii="宋体" w:hAnsi="宋体" w:cs="楷体_GB2312"/>
          <w:color w:val="auto"/>
          <w:sz w:val="24"/>
          <w:lang w:val="zh-CN"/>
        </w:rPr>
      </w:pPr>
      <w:r>
        <w:rPr>
          <w:rFonts w:hint="eastAsia" w:ascii="宋体" w:hAnsi="宋体" w:cs="楷体_GB2312"/>
          <w:color w:val="auto"/>
          <w:sz w:val="24"/>
          <w:lang w:val="zh-CN"/>
        </w:rPr>
        <w:t>直接参与该项目政府采购活动的主要负责人不得作为验收工作的主要负责人。</w:t>
      </w:r>
      <w:r>
        <w:rPr>
          <w:rFonts w:hint="eastAsia" w:ascii="宋体" w:hAnsi="宋体" w:cs="楷体_GB2312"/>
          <w:color w:val="auto"/>
          <w:sz w:val="24"/>
        </w:rPr>
        <w:t>对于采购人和使用人分离的采购项目，应当邀请实际使用人参与验收；政府向社会公众提供的公共服务项目，验收时应当邀请服务对象参与并出具意见，验收结果应当向社会公告。</w:t>
      </w:r>
    </w:p>
    <w:p>
      <w:pPr>
        <w:widowControl w:val="0"/>
        <w:adjustRightInd w:val="0"/>
        <w:snapToGrid w:val="0"/>
        <w:spacing w:beforeLines="50" w:line="300" w:lineRule="auto"/>
        <w:ind w:firstLine="561"/>
        <w:rPr>
          <w:rFonts w:ascii="宋体" w:hAnsi="宋体" w:cs="楷体_GB2312"/>
          <w:color w:val="auto"/>
          <w:sz w:val="24"/>
        </w:rPr>
      </w:pPr>
      <w:r>
        <w:rPr>
          <w:rFonts w:hint="eastAsia" w:ascii="宋体" w:hAnsi="宋体" w:cs="楷体_GB2312"/>
          <w:color w:val="auto"/>
          <w:sz w:val="24"/>
        </w:rPr>
        <w:t>2.1、</w:t>
      </w:r>
      <w:r>
        <w:rPr>
          <w:rFonts w:hint="eastAsia" w:ascii="宋体" w:hAnsi="宋体" w:cs="楷体_GB2312"/>
          <w:color w:val="auto"/>
          <w:sz w:val="24"/>
          <w:lang w:val="zh-CN"/>
        </w:rPr>
        <w:t>政府采购合同金额</w:t>
      </w:r>
      <w:r>
        <w:rPr>
          <w:rFonts w:hint="eastAsia" w:ascii="宋体" w:hAnsi="宋体" w:cs="楷体_GB2312"/>
          <w:color w:val="auto"/>
          <w:sz w:val="24"/>
        </w:rPr>
        <w:t>在</w:t>
      </w:r>
      <w:r>
        <w:rPr>
          <w:rFonts w:hint="eastAsia" w:ascii="宋体" w:hAnsi="宋体" w:cs="楷体_GB2312"/>
          <w:color w:val="auto"/>
          <w:sz w:val="24"/>
          <w:lang w:val="zh-CN"/>
        </w:rPr>
        <w:t>10万元以下（</w:t>
      </w:r>
      <w:r>
        <w:rPr>
          <w:rFonts w:hint="eastAsia" w:ascii="宋体" w:hAnsi="宋体" w:cs="楷体_GB2312"/>
          <w:color w:val="auto"/>
          <w:sz w:val="24"/>
        </w:rPr>
        <w:t>含10万元</w:t>
      </w:r>
      <w:r>
        <w:rPr>
          <w:rFonts w:hint="eastAsia" w:ascii="宋体" w:hAnsi="宋体" w:cs="楷体_GB2312"/>
          <w:color w:val="auto"/>
          <w:sz w:val="24"/>
          <w:lang w:val="zh-CN"/>
        </w:rPr>
        <w:t>）的项目，原则上可以不邀请评审专家参加，组织方成立验收小组自行验收。</w:t>
      </w:r>
      <w:r>
        <w:rPr>
          <w:rFonts w:hint="eastAsia" w:ascii="宋体" w:hAnsi="宋体" w:cs="楷体_GB2312"/>
          <w:color w:val="auto"/>
          <w:sz w:val="24"/>
        </w:rPr>
        <w:t>自行验收时，验收小组应仔细对照采购文件及合同，对标的物的数量、质量、规格、型号等参数逐一核对，并编制验收报告。组织方认为不能独立完成验收任务的，可以邀请评审专家参与验收。</w:t>
      </w:r>
    </w:p>
    <w:p>
      <w:pPr>
        <w:widowControl w:val="0"/>
        <w:adjustRightInd w:val="0"/>
        <w:snapToGrid w:val="0"/>
        <w:spacing w:beforeLines="50" w:line="300" w:lineRule="auto"/>
        <w:ind w:firstLine="561"/>
        <w:rPr>
          <w:rFonts w:ascii="宋体" w:hAnsi="宋体" w:cs="楷体_GB2312"/>
          <w:color w:val="auto"/>
          <w:sz w:val="24"/>
        </w:rPr>
      </w:pPr>
      <w:r>
        <w:rPr>
          <w:rFonts w:hint="eastAsia" w:ascii="宋体" w:hAnsi="宋体" w:cs="楷体_GB2312"/>
          <w:color w:val="auto"/>
          <w:sz w:val="24"/>
        </w:rPr>
        <w:t>2.2、</w:t>
      </w:r>
      <w:r>
        <w:rPr>
          <w:rFonts w:hint="eastAsia" w:ascii="宋体" w:hAnsi="宋体" w:cs="楷体_GB2312"/>
          <w:color w:val="auto"/>
          <w:sz w:val="24"/>
          <w:lang w:val="zh-CN"/>
        </w:rPr>
        <w:t>政府采购合同金额50万元以下的（含50万元）的项目，验收工作组应不少于三人；政府采购合同金额50万元以上的项目，验收工作组应由</w:t>
      </w:r>
      <w:r>
        <w:rPr>
          <w:rFonts w:hint="eastAsia" w:ascii="宋体" w:hAnsi="宋体" w:cs="楷体_GB2312"/>
          <w:color w:val="auto"/>
          <w:sz w:val="24"/>
        </w:rPr>
        <w:t>采购人</w:t>
      </w:r>
      <w:r>
        <w:rPr>
          <w:rFonts w:hint="eastAsia" w:ascii="宋体" w:hAnsi="宋体" w:cs="楷体_GB2312"/>
          <w:color w:val="auto"/>
          <w:sz w:val="24"/>
          <w:lang w:val="zh-CN"/>
        </w:rPr>
        <w:t>领导牵头，财务、审计、监察、资产管理、技术等部门人员参与，成员不少于五人。验收工作</w:t>
      </w:r>
      <w:r>
        <w:rPr>
          <w:rFonts w:hint="eastAsia" w:ascii="宋体" w:hAnsi="宋体" w:cs="楷体_GB2312"/>
          <w:color w:val="auto"/>
          <w:sz w:val="24"/>
        </w:rPr>
        <w:t>原则上</w:t>
      </w:r>
      <w:r>
        <w:rPr>
          <w:rFonts w:hint="eastAsia" w:ascii="宋体" w:hAnsi="宋体" w:cs="楷体_GB2312"/>
          <w:color w:val="auto"/>
          <w:sz w:val="24"/>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楷体_GB2312"/>
          <w:color w:val="auto"/>
          <w:sz w:val="24"/>
        </w:rPr>
        <w:t>采购人</w:t>
      </w:r>
      <w:r>
        <w:rPr>
          <w:rFonts w:hint="eastAsia" w:ascii="宋体" w:hAnsi="宋体" w:cs="楷体_GB2312"/>
          <w:color w:val="auto"/>
          <w:sz w:val="24"/>
          <w:lang w:val="zh-CN"/>
        </w:rPr>
        <w:t>必须委托国家认可专业检测机构进行验收。</w:t>
      </w:r>
    </w:p>
    <w:p>
      <w:pPr>
        <w:widowControl w:val="0"/>
        <w:adjustRightInd w:val="0"/>
        <w:snapToGrid w:val="0"/>
        <w:spacing w:beforeLines="50" w:line="300" w:lineRule="auto"/>
        <w:ind w:firstLine="561"/>
        <w:rPr>
          <w:rFonts w:ascii="宋体" w:hAnsi="宋体" w:cs="楷体_GB2312"/>
          <w:color w:val="auto"/>
          <w:sz w:val="24"/>
        </w:rPr>
      </w:pPr>
      <w:r>
        <w:rPr>
          <w:rFonts w:hint="eastAsia" w:ascii="宋体" w:hAnsi="宋体" w:cs="楷体_GB2312"/>
          <w:color w:val="auto"/>
          <w:sz w:val="24"/>
        </w:rPr>
        <w:t>3、验收时，验收小组按照采购合同的约定对每一项技术、服务、安全标准的履约情况进行确认。</w:t>
      </w:r>
      <w:r>
        <w:rPr>
          <w:rFonts w:hint="eastAsia" w:ascii="宋体" w:hAnsi="宋体" w:cs="楷体_GB2312"/>
          <w:color w:val="auto"/>
          <w:sz w:val="24"/>
          <w:lang w:val="zh-CN"/>
        </w:rPr>
        <w:t>验收时需要进行破坏性试验的，供应商应进行充分的配合并提供备品备件。</w:t>
      </w:r>
    </w:p>
    <w:p>
      <w:pPr>
        <w:widowControl w:val="0"/>
        <w:adjustRightInd w:val="0"/>
        <w:snapToGrid w:val="0"/>
        <w:spacing w:beforeLines="50" w:line="300" w:lineRule="auto"/>
        <w:ind w:firstLine="561"/>
        <w:rPr>
          <w:rFonts w:ascii="宋体" w:hAnsi="宋体" w:cs="楷体_GB2312"/>
          <w:color w:val="auto"/>
          <w:sz w:val="24"/>
        </w:rPr>
      </w:pPr>
      <w:r>
        <w:rPr>
          <w:rFonts w:hint="eastAsia" w:ascii="宋体" w:hAnsi="宋体" w:cs="楷体_GB2312"/>
          <w:color w:val="auto"/>
          <w:sz w:val="24"/>
        </w:rPr>
        <w:t>4</w:t>
      </w:r>
      <w:r>
        <w:rPr>
          <w:rFonts w:hint="eastAsia" w:ascii="宋体" w:hAnsi="宋体" w:cs="楷体_GB2312"/>
          <w:color w:val="auto"/>
          <w:sz w:val="24"/>
          <w:lang w:val="zh-CN"/>
        </w:rPr>
        <w:t>、验收报告：验收后，由采购</w:t>
      </w:r>
      <w:r>
        <w:rPr>
          <w:rFonts w:hint="eastAsia" w:ascii="宋体" w:hAnsi="宋体" w:cs="楷体_GB2312"/>
          <w:color w:val="auto"/>
          <w:sz w:val="24"/>
        </w:rPr>
        <w:t>人</w:t>
      </w:r>
      <w:r>
        <w:rPr>
          <w:rFonts w:hint="eastAsia" w:ascii="宋体" w:hAnsi="宋体" w:cs="楷体_GB2312"/>
          <w:color w:val="auto"/>
          <w:sz w:val="24"/>
          <w:lang w:val="zh-CN"/>
        </w:rPr>
        <w:t>及专家等出具验收报告（</w:t>
      </w:r>
      <w:r>
        <w:rPr>
          <w:rFonts w:hint="eastAsia" w:ascii="宋体" w:hAnsi="宋体" w:cs="楷体_GB2312"/>
          <w:color w:val="auto"/>
          <w:sz w:val="24"/>
        </w:rPr>
        <w:t>自行验收的，由采购人出具</w:t>
      </w:r>
      <w:r>
        <w:rPr>
          <w:rFonts w:hint="eastAsia" w:ascii="宋体" w:hAnsi="宋体" w:cs="楷体_GB2312"/>
          <w:color w:val="auto"/>
          <w:sz w:val="24"/>
          <w:lang w:val="zh-CN"/>
        </w:rPr>
        <w:t>），国家规定强制性检测的采购项目应附国家认可的专业检测机构出具的验收报告。</w:t>
      </w:r>
    </w:p>
    <w:p>
      <w:pPr>
        <w:widowControl w:val="0"/>
        <w:snapToGrid w:val="0"/>
        <w:spacing w:before="56" w:after="56" w:line="360" w:lineRule="auto"/>
        <w:ind w:right="85" w:firstLine="555"/>
        <w:rPr>
          <w:color w:val="auto"/>
          <w:sz w:val="24"/>
          <w:szCs w:val="24"/>
        </w:rPr>
      </w:pPr>
      <w:r>
        <w:rPr>
          <w:rFonts w:hint="eastAsia" w:ascii="宋体" w:hAnsi="宋体" w:cs="楷体_GB2312"/>
          <w:color w:val="auto"/>
          <w:sz w:val="24"/>
        </w:rPr>
        <w:t>5、</w:t>
      </w:r>
      <w:r>
        <w:rPr>
          <w:rFonts w:hint="eastAsia" w:ascii="宋体" w:hAnsi="宋体" w:cs="楷体_GB2312"/>
          <w:color w:val="auto"/>
          <w:sz w:val="24"/>
          <w:lang w:val="zh-CN"/>
        </w:rPr>
        <w:t>验收中发现</w:t>
      </w:r>
      <w:r>
        <w:rPr>
          <w:rFonts w:hint="eastAsia" w:ascii="宋体" w:hAnsi="宋体" w:cs="楷体_GB2312"/>
          <w:color w:val="auto"/>
          <w:sz w:val="24"/>
        </w:rPr>
        <w:t>中标单位</w:t>
      </w:r>
      <w:r>
        <w:rPr>
          <w:rFonts w:hint="eastAsia" w:ascii="宋体" w:hAnsi="宋体" w:cs="楷体_GB2312"/>
          <w:color w:val="auto"/>
          <w:sz w:val="24"/>
          <w:lang w:val="zh-CN"/>
        </w:rPr>
        <w:t>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pPr>
        <w:widowControl w:val="0"/>
        <w:snapToGrid w:val="0"/>
        <w:spacing w:before="56" w:after="56" w:line="360" w:lineRule="auto"/>
        <w:ind w:right="85" w:firstLine="555"/>
        <w:rPr>
          <w:color w:val="auto"/>
          <w:sz w:val="24"/>
          <w:szCs w:val="24"/>
        </w:rPr>
      </w:pPr>
      <w:r>
        <w:rPr>
          <w:rFonts w:hint="eastAsia"/>
          <w:color w:val="auto"/>
          <w:sz w:val="24"/>
          <w:szCs w:val="24"/>
        </w:rPr>
        <w:t>五、履约保证金</w:t>
      </w:r>
      <w:r>
        <w:rPr>
          <w:rFonts w:hint="eastAsia"/>
          <w:color w:val="auto"/>
          <w:sz w:val="24"/>
          <w:szCs w:val="24"/>
          <w:u w:val="single"/>
        </w:rPr>
        <w:t xml:space="preserve">：                                                   。 </w:t>
      </w:r>
    </w:p>
    <w:p>
      <w:pPr>
        <w:widowControl w:val="0"/>
        <w:snapToGrid w:val="0"/>
        <w:spacing w:before="56" w:after="56" w:line="360" w:lineRule="auto"/>
        <w:ind w:right="85" w:firstLine="555"/>
        <w:rPr>
          <w:color w:val="auto"/>
          <w:sz w:val="24"/>
          <w:szCs w:val="24"/>
        </w:rPr>
      </w:pPr>
      <w:r>
        <w:rPr>
          <w:rFonts w:hint="eastAsia"/>
          <w:color w:val="auto"/>
          <w:sz w:val="24"/>
          <w:szCs w:val="24"/>
        </w:rPr>
        <w:t>六、付款程序：按投标人须知相关条款编列。</w:t>
      </w:r>
    </w:p>
    <w:p>
      <w:pPr>
        <w:widowControl w:val="0"/>
        <w:snapToGrid w:val="0"/>
        <w:spacing w:before="56" w:after="56" w:line="360" w:lineRule="auto"/>
        <w:ind w:right="85" w:firstLine="555"/>
        <w:rPr>
          <w:color w:val="auto"/>
          <w:sz w:val="24"/>
          <w:szCs w:val="24"/>
        </w:rPr>
      </w:pPr>
      <w:r>
        <w:rPr>
          <w:rFonts w:hint="eastAsia" w:ascii="宋体" w:hAnsi="宋体"/>
          <w:color w:val="auto"/>
          <w:sz w:val="24"/>
          <w:szCs w:val="24"/>
        </w:rPr>
        <w:t>七、合同遵行《保障中小企业款项支付条例》。</w:t>
      </w:r>
    </w:p>
    <w:p>
      <w:pPr>
        <w:widowControl w:val="0"/>
        <w:snapToGrid w:val="0"/>
        <w:spacing w:before="56" w:after="56" w:line="360" w:lineRule="auto"/>
        <w:ind w:right="85" w:firstLine="555"/>
        <w:rPr>
          <w:color w:val="auto"/>
          <w:sz w:val="24"/>
          <w:szCs w:val="24"/>
        </w:rPr>
      </w:pPr>
      <w:r>
        <w:rPr>
          <w:rFonts w:hint="eastAsia"/>
          <w:color w:val="auto"/>
          <w:sz w:val="24"/>
          <w:szCs w:val="24"/>
        </w:rPr>
        <w:t>八、责任和义务</w:t>
      </w:r>
    </w:p>
    <w:p>
      <w:pPr>
        <w:widowControl w:val="0"/>
        <w:snapToGrid w:val="0"/>
        <w:spacing w:before="56" w:after="56" w:line="360" w:lineRule="auto"/>
        <w:ind w:right="85" w:firstLine="555"/>
        <w:rPr>
          <w:color w:val="auto"/>
          <w:sz w:val="24"/>
          <w:szCs w:val="24"/>
        </w:rPr>
      </w:pPr>
      <w:r>
        <w:rPr>
          <w:color w:val="auto"/>
          <w:sz w:val="24"/>
          <w:szCs w:val="24"/>
        </w:rPr>
        <w:t>1</w:t>
      </w:r>
      <w:r>
        <w:rPr>
          <w:rFonts w:hint="eastAsia"/>
          <w:color w:val="auto"/>
          <w:sz w:val="24"/>
          <w:szCs w:val="24"/>
        </w:rPr>
        <w:t>、甲方的责任和义务</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1</w:t>
      </w:r>
      <w:r>
        <w:rPr>
          <w:rFonts w:hint="eastAsia"/>
          <w:color w:val="auto"/>
          <w:sz w:val="24"/>
          <w:szCs w:val="24"/>
        </w:rPr>
        <w:t>）对乙方供货安装调试工作提供必要的场地、给予必要的协助。</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2</w:t>
      </w:r>
      <w:r>
        <w:rPr>
          <w:rFonts w:hint="eastAsia"/>
          <w:color w:val="auto"/>
          <w:sz w:val="24"/>
          <w:szCs w:val="24"/>
        </w:rPr>
        <w:t>）按时验收、及时支付资金；</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3</w:t>
      </w:r>
      <w:r>
        <w:rPr>
          <w:rFonts w:hint="eastAsia"/>
          <w:color w:val="auto"/>
          <w:sz w:val="24"/>
          <w:szCs w:val="24"/>
        </w:rPr>
        <w:t>）遵守国家法律法规，不得要求乙方虚开发票，不得向乙方索要“好处”、“回扣”、“礼品”，或要求乙方提供合同以外的其他物品或服务；</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4</w:t>
      </w:r>
      <w:r>
        <w:rPr>
          <w:rFonts w:hint="eastAsia"/>
          <w:color w:val="auto"/>
          <w:sz w:val="24"/>
          <w:szCs w:val="24"/>
        </w:rPr>
        <w:t>）对乙方未按合同约定履约在验收报告中注明违约情形和事项，并应及时通知财政部门。属假冒伪劣产品的，同时向工商管理、质量监督等行政执法部门举报。</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5</w:t>
      </w:r>
      <w:r>
        <w:rPr>
          <w:rFonts w:hint="eastAsia"/>
          <w:color w:val="auto"/>
          <w:sz w:val="24"/>
          <w:szCs w:val="24"/>
        </w:rPr>
        <w:t>）其他法律法规规定应尽的义务。</w:t>
      </w:r>
    </w:p>
    <w:p>
      <w:pPr>
        <w:widowControl w:val="0"/>
        <w:snapToGrid w:val="0"/>
        <w:spacing w:before="56" w:after="56" w:line="360" w:lineRule="auto"/>
        <w:ind w:right="85" w:firstLine="555"/>
        <w:rPr>
          <w:color w:val="auto"/>
          <w:sz w:val="24"/>
          <w:szCs w:val="24"/>
        </w:rPr>
      </w:pPr>
      <w:r>
        <w:rPr>
          <w:color w:val="auto"/>
          <w:sz w:val="24"/>
          <w:szCs w:val="24"/>
        </w:rPr>
        <w:t>2</w:t>
      </w:r>
      <w:r>
        <w:rPr>
          <w:rFonts w:hint="eastAsia"/>
          <w:color w:val="auto"/>
          <w:sz w:val="24"/>
          <w:szCs w:val="24"/>
        </w:rPr>
        <w:t>、乙方的责任和义务</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1</w:t>
      </w:r>
      <w:r>
        <w:rPr>
          <w:rFonts w:hint="eastAsia"/>
          <w:color w:val="auto"/>
          <w:sz w:val="24"/>
          <w:szCs w:val="24"/>
        </w:rPr>
        <w:t>）严格按招标文件要求与投标文件的质量及服务承诺执行，保质、按期履行。保证提供全新正规产品，不得以次充好；提供优质服务，出现故障及时响应、上门维修。</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2</w:t>
      </w:r>
      <w:r>
        <w:rPr>
          <w:rFonts w:hint="eastAsia"/>
          <w:color w:val="auto"/>
          <w:sz w:val="24"/>
          <w:szCs w:val="24"/>
        </w:rPr>
        <w:t>）不得将合同权利义务全部或部分转让给第三人。</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3</w:t>
      </w:r>
      <w:r>
        <w:rPr>
          <w:rFonts w:hint="eastAsia"/>
          <w:color w:val="auto"/>
          <w:sz w:val="24"/>
          <w:szCs w:val="24"/>
        </w:rPr>
        <w:t>）货物验收合格前，对货物和人员的安全负责，应采取安全措施，确保人员、材料、设备和设施的安全，防止货物验收合格前的人身伤害和财产损失；应对其履行合同所雇佣的全部人员的工伤事故承担责任。</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4</w:t>
      </w:r>
      <w:r>
        <w:rPr>
          <w:rFonts w:hint="eastAsia"/>
          <w:color w:val="auto"/>
          <w:sz w:val="24"/>
          <w:szCs w:val="24"/>
        </w:rPr>
        <w:t>）遵守法律、依法纳税</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5</w:t>
      </w:r>
      <w:r>
        <w:rPr>
          <w:rFonts w:hint="eastAsia"/>
          <w:color w:val="auto"/>
          <w:sz w:val="24"/>
          <w:szCs w:val="24"/>
        </w:rPr>
        <w:t>）遵守职业道德和行业规范，坚决杜绝送礼、回扣、报销费用等一切不正当竞争行为和商业贿赂行为；对甲方索要回扣、礼品等违规行为，向同级财政局政府采购监督管理部门及相关执法机关举报。</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6</w:t>
      </w:r>
      <w:r>
        <w:rPr>
          <w:rFonts w:hint="eastAsia"/>
          <w:color w:val="auto"/>
          <w:sz w:val="24"/>
          <w:szCs w:val="24"/>
        </w:rPr>
        <w:t>）其他法律法规规定应尽的义务。</w:t>
      </w:r>
    </w:p>
    <w:p>
      <w:pPr>
        <w:widowControl w:val="0"/>
        <w:snapToGrid w:val="0"/>
        <w:spacing w:before="56" w:after="56" w:line="360" w:lineRule="auto"/>
        <w:ind w:right="85" w:firstLine="555"/>
        <w:rPr>
          <w:color w:val="auto"/>
          <w:sz w:val="24"/>
          <w:szCs w:val="24"/>
        </w:rPr>
      </w:pPr>
      <w:r>
        <w:rPr>
          <w:rFonts w:hint="eastAsia"/>
          <w:color w:val="auto"/>
          <w:sz w:val="24"/>
          <w:szCs w:val="24"/>
        </w:rPr>
        <w:t>九、违约责任：</w:t>
      </w:r>
    </w:p>
    <w:p>
      <w:pPr>
        <w:widowControl w:val="0"/>
        <w:snapToGrid w:val="0"/>
        <w:spacing w:before="56" w:after="56" w:line="360" w:lineRule="auto"/>
        <w:ind w:right="85" w:firstLine="555"/>
        <w:rPr>
          <w:color w:val="auto"/>
          <w:sz w:val="24"/>
          <w:szCs w:val="24"/>
        </w:rPr>
      </w:pPr>
      <w:r>
        <w:rPr>
          <w:color w:val="auto"/>
          <w:sz w:val="24"/>
          <w:szCs w:val="24"/>
        </w:rPr>
        <w:t>1</w:t>
      </w:r>
      <w:r>
        <w:rPr>
          <w:rFonts w:hint="eastAsia"/>
          <w:color w:val="auto"/>
          <w:sz w:val="24"/>
          <w:szCs w:val="24"/>
        </w:rPr>
        <w:t>、甲方无正当理由拒收货物、拒付货款的，向乙方偿付拒收拒付部分货物款总额</w:t>
      </w:r>
      <w:r>
        <w:rPr>
          <w:color w:val="auto"/>
          <w:sz w:val="24"/>
          <w:szCs w:val="24"/>
        </w:rPr>
        <w:t>%</w:t>
      </w:r>
      <w:r>
        <w:rPr>
          <w:rFonts w:hint="eastAsia"/>
          <w:color w:val="auto"/>
          <w:sz w:val="24"/>
          <w:szCs w:val="24"/>
        </w:rPr>
        <w:t>的违约金。</w:t>
      </w:r>
    </w:p>
    <w:p>
      <w:pPr>
        <w:widowControl w:val="0"/>
        <w:snapToGrid w:val="0"/>
        <w:spacing w:before="56" w:after="56" w:line="360" w:lineRule="auto"/>
        <w:ind w:right="85" w:firstLine="555"/>
        <w:rPr>
          <w:color w:val="auto"/>
          <w:sz w:val="24"/>
          <w:szCs w:val="24"/>
        </w:rPr>
      </w:pPr>
      <w:r>
        <w:rPr>
          <w:color w:val="auto"/>
          <w:sz w:val="24"/>
          <w:szCs w:val="24"/>
        </w:rPr>
        <w:t>2</w:t>
      </w:r>
      <w:r>
        <w:rPr>
          <w:rFonts w:hint="eastAsia"/>
          <w:color w:val="auto"/>
          <w:sz w:val="24"/>
          <w:szCs w:val="24"/>
        </w:rPr>
        <w:t>、乙方所交货物的规格型号、技术要求、质量品质等不符合合同规定，甲方有权拒收货物，乙方应负责更换并承担因更换而支付的全部实际费用。因更换而造成逾期交货，则按逾期交货处理。</w:t>
      </w:r>
    </w:p>
    <w:p>
      <w:pPr>
        <w:widowControl w:val="0"/>
        <w:snapToGrid w:val="0"/>
        <w:spacing w:before="56" w:after="56" w:line="360" w:lineRule="auto"/>
        <w:ind w:right="85" w:firstLine="555"/>
        <w:rPr>
          <w:color w:val="auto"/>
          <w:sz w:val="24"/>
          <w:szCs w:val="24"/>
        </w:rPr>
      </w:pPr>
      <w:r>
        <w:rPr>
          <w:color w:val="auto"/>
          <w:sz w:val="24"/>
          <w:szCs w:val="24"/>
        </w:rPr>
        <w:t>3</w:t>
      </w:r>
      <w:r>
        <w:rPr>
          <w:rFonts w:hint="eastAsia"/>
          <w:color w:val="auto"/>
          <w:sz w:val="24"/>
          <w:szCs w:val="24"/>
        </w:rPr>
        <w:t>、乙方不能交付货物的，乙方向甲方支付未交付部分货物款总额</w:t>
      </w:r>
      <w:r>
        <w:rPr>
          <w:color w:val="auto"/>
          <w:sz w:val="24"/>
          <w:szCs w:val="24"/>
        </w:rPr>
        <w:t xml:space="preserve"> %</w:t>
      </w:r>
      <w:r>
        <w:rPr>
          <w:rFonts w:hint="eastAsia"/>
          <w:color w:val="auto"/>
          <w:sz w:val="24"/>
          <w:szCs w:val="24"/>
        </w:rPr>
        <w:t>违约金。</w:t>
      </w:r>
    </w:p>
    <w:p>
      <w:pPr>
        <w:widowControl w:val="0"/>
        <w:snapToGrid w:val="0"/>
        <w:spacing w:before="56" w:after="56" w:line="360" w:lineRule="auto"/>
        <w:ind w:right="85" w:firstLine="472" w:firstLineChars="197"/>
        <w:jc w:val="distribute"/>
        <w:rPr>
          <w:color w:val="auto"/>
          <w:sz w:val="24"/>
          <w:szCs w:val="24"/>
        </w:rPr>
      </w:pPr>
      <w:r>
        <w:rPr>
          <w:color w:val="auto"/>
          <w:sz w:val="24"/>
          <w:szCs w:val="24"/>
        </w:rPr>
        <w:t>4</w:t>
      </w:r>
      <w:r>
        <w:rPr>
          <w:rFonts w:hint="eastAsia"/>
          <w:color w:val="auto"/>
          <w:sz w:val="24"/>
          <w:szCs w:val="24"/>
        </w:rPr>
        <w:t>、乙方逾期交付货物，乙方向甲方每日偿付逾期交货部分货款总值</w:t>
      </w:r>
    </w:p>
    <w:p>
      <w:pPr>
        <w:widowControl w:val="0"/>
        <w:snapToGrid w:val="0"/>
        <w:spacing w:before="56" w:after="56" w:line="360" w:lineRule="auto"/>
        <w:ind w:right="85"/>
        <w:rPr>
          <w:color w:val="auto"/>
          <w:sz w:val="24"/>
          <w:szCs w:val="24"/>
        </w:rPr>
      </w:pPr>
      <w:r>
        <w:rPr>
          <w:color w:val="auto"/>
          <w:sz w:val="24"/>
          <w:szCs w:val="24"/>
        </w:rPr>
        <w:t>%</w:t>
      </w:r>
      <w:r>
        <w:rPr>
          <w:rFonts w:hint="eastAsia"/>
          <w:color w:val="auto"/>
          <w:sz w:val="24"/>
          <w:szCs w:val="24"/>
        </w:rPr>
        <w:t>赔偿费。</w:t>
      </w:r>
    </w:p>
    <w:p>
      <w:pPr>
        <w:widowControl w:val="0"/>
        <w:snapToGrid w:val="0"/>
        <w:spacing w:before="56" w:after="56" w:line="360" w:lineRule="auto"/>
        <w:ind w:right="85" w:firstLine="555"/>
        <w:rPr>
          <w:color w:val="auto"/>
          <w:sz w:val="24"/>
          <w:szCs w:val="24"/>
        </w:rPr>
      </w:pPr>
      <w:r>
        <w:rPr>
          <w:rFonts w:hint="eastAsia"/>
          <w:color w:val="auto"/>
          <w:sz w:val="24"/>
          <w:szCs w:val="24"/>
        </w:rPr>
        <w:t>十、《招标文件》及其修改补充、投标文件及其修改补充澄清均为本合同的组成部分。</w:t>
      </w:r>
    </w:p>
    <w:p>
      <w:pPr>
        <w:widowControl w:val="0"/>
        <w:snapToGrid w:val="0"/>
        <w:spacing w:before="56" w:after="56" w:line="360" w:lineRule="auto"/>
        <w:ind w:right="85" w:firstLine="555"/>
        <w:rPr>
          <w:color w:val="auto"/>
          <w:sz w:val="24"/>
          <w:szCs w:val="24"/>
        </w:rPr>
      </w:pPr>
      <w:r>
        <w:rPr>
          <w:rFonts w:hint="eastAsia"/>
          <w:color w:val="auto"/>
          <w:sz w:val="24"/>
          <w:szCs w:val="24"/>
        </w:rPr>
        <w:t>十一、因货物的质量问题发生争议，由甲方所在地市级技术监督单位进行质量鉴定。</w:t>
      </w:r>
    </w:p>
    <w:p>
      <w:pPr>
        <w:widowControl w:val="0"/>
        <w:snapToGrid w:val="0"/>
        <w:spacing w:before="56" w:after="56" w:line="360" w:lineRule="auto"/>
        <w:ind w:right="85" w:firstLine="555"/>
        <w:rPr>
          <w:color w:val="auto"/>
          <w:sz w:val="24"/>
          <w:szCs w:val="24"/>
        </w:rPr>
      </w:pPr>
      <w:r>
        <w:rPr>
          <w:rFonts w:hint="eastAsia"/>
          <w:color w:val="auto"/>
          <w:sz w:val="24"/>
          <w:szCs w:val="24"/>
        </w:rPr>
        <w:t>十二、本合同发生争议时双方应按合同条款协商解决。双方协商不成的，可以根据仲裁协议向当地仲裁机构申请仲裁。当事人没有订立仲裁协议或者仲裁协议无效的，可以向当地人民法院起诉。</w:t>
      </w:r>
    </w:p>
    <w:p>
      <w:pPr>
        <w:widowControl w:val="0"/>
        <w:snapToGrid w:val="0"/>
        <w:spacing w:before="56" w:after="56" w:line="360" w:lineRule="auto"/>
        <w:ind w:right="85" w:firstLine="555"/>
        <w:rPr>
          <w:color w:val="auto"/>
          <w:sz w:val="24"/>
          <w:szCs w:val="24"/>
        </w:rPr>
      </w:pPr>
      <w:r>
        <w:rPr>
          <w:rFonts w:hint="eastAsia"/>
          <w:color w:val="auto"/>
          <w:sz w:val="24"/>
          <w:szCs w:val="24"/>
        </w:rPr>
        <w:t>十三、合同生效及其它：</w:t>
      </w:r>
    </w:p>
    <w:p>
      <w:pPr>
        <w:widowControl w:val="0"/>
        <w:snapToGrid w:val="0"/>
        <w:spacing w:before="56" w:after="56" w:line="360" w:lineRule="auto"/>
        <w:ind w:right="85" w:firstLine="555"/>
        <w:rPr>
          <w:color w:val="auto"/>
          <w:sz w:val="24"/>
          <w:szCs w:val="24"/>
        </w:rPr>
      </w:pPr>
      <w:r>
        <w:rPr>
          <w:rFonts w:hint="eastAsia"/>
          <w:color w:val="auto"/>
          <w:sz w:val="24"/>
          <w:szCs w:val="24"/>
        </w:rPr>
        <w:t>本合同经甲乙双方代表签字、加盖公章和骑缝章后生效。本合同一式</w:t>
      </w:r>
      <w:r>
        <w:rPr>
          <w:rFonts w:hint="eastAsia"/>
          <w:color w:val="auto"/>
          <w:sz w:val="24"/>
          <w:szCs w:val="24"/>
          <w:u w:val="single"/>
        </w:rPr>
        <w:t xml:space="preserve">  </w:t>
      </w:r>
      <w:r>
        <w:rPr>
          <w:rFonts w:hint="eastAsia"/>
          <w:color w:val="auto"/>
          <w:sz w:val="24"/>
          <w:szCs w:val="24"/>
        </w:rPr>
        <w:t>份，甲乙双方各持</w:t>
      </w:r>
      <w:r>
        <w:rPr>
          <w:rFonts w:hint="eastAsia"/>
          <w:color w:val="auto"/>
          <w:sz w:val="24"/>
          <w:szCs w:val="24"/>
          <w:u w:val="single"/>
        </w:rPr>
        <w:t xml:space="preserve">   </w:t>
      </w:r>
      <w:r>
        <w:rPr>
          <w:rFonts w:hint="eastAsia"/>
          <w:color w:val="auto"/>
          <w:sz w:val="24"/>
          <w:szCs w:val="24"/>
        </w:rPr>
        <w:t>份。</w:t>
      </w:r>
    </w:p>
    <w:p>
      <w:pPr>
        <w:widowControl w:val="0"/>
        <w:adjustRightInd w:val="0"/>
        <w:snapToGrid w:val="0"/>
        <w:spacing w:beforeLines="50" w:line="300" w:lineRule="auto"/>
        <w:ind w:firstLine="566"/>
        <w:rPr>
          <w:color w:val="auto"/>
          <w:sz w:val="24"/>
          <w:szCs w:val="24"/>
        </w:rPr>
      </w:pPr>
      <w:r>
        <w:rPr>
          <w:rFonts w:hint="eastAsia" w:ascii="宋体" w:hAnsi="宋体"/>
          <w:color w:val="auto"/>
          <w:sz w:val="24"/>
          <w:szCs w:val="24"/>
        </w:rPr>
        <w:t>甲方要在合同签订后1个工作日内登陆安阳市政府采购网进行备案并公告。</w:t>
      </w:r>
    </w:p>
    <w:p>
      <w:pPr>
        <w:widowControl w:val="0"/>
        <w:snapToGrid w:val="0"/>
        <w:spacing w:before="56" w:after="56" w:line="360" w:lineRule="auto"/>
        <w:ind w:right="85" w:firstLine="555"/>
        <w:rPr>
          <w:color w:val="auto"/>
          <w:sz w:val="24"/>
          <w:szCs w:val="24"/>
        </w:rPr>
      </w:pPr>
    </w:p>
    <w:p>
      <w:pPr>
        <w:widowControl w:val="0"/>
        <w:snapToGrid w:val="0"/>
        <w:spacing w:before="56" w:after="56" w:line="360" w:lineRule="auto"/>
        <w:ind w:right="85" w:firstLine="555"/>
        <w:rPr>
          <w:color w:val="auto"/>
          <w:sz w:val="24"/>
          <w:szCs w:val="24"/>
        </w:rPr>
      </w:pPr>
      <w:r>
        <w:rPr>
          <w:rFonts w:hint="eastAsia"/>
          <w:color w:val="auto"/>
          <w:sz w:val="24"/>
          <w:szCs w:val="24"/>
        </w:rPr>
        <w:t>甲方：</w:t>
      </w:r>
      <w:r>
        <w:rPr>
          <w:color w:val="auto"/>
          <w:sz w:val="24"/>
          <w:szCs w:val="24"/>
        </w:rPr>
        <w:tab/>
      </w:r>
      <w:r>
        <w:rPr>
          <w:color w:val="auto"/>
          <w:sz w:val="24"/>
          <w:szCs w:val="24"/>
        </w:rPr>
        <w:tab/>
      </w:r>
      <w:r>
        <w:rPr>
          <w:color w:val="auto"/>
          <w:sz w:val="24"/>
          <w:szCs w:val="24"/>
        </w:rPr>
        <w:tab/>
      </w:r>
      <w:r>
        <w:rPr>
          <w:color w:val="auto"/>
          <w:sz w:val="24"/>
          <w:szCs w:val="24"/>
        </w:rPr>
        <w:tab/>
      </w:r>
      <w:r>
        <w:rPr>
          <w:rFonts w:hint="eastAsia"/>
          <w:color w:val="auto"/>
          <w:sz w:val="24"/>
          <w:szCs w:val="24"/>
        </w:rPr>
        <w:t>乙方：</w:t>
      </w:r>
    </w:p>
    <w:p>
      <w:pPr>
        <w:widowControl w:val="0"/>
        <w:snapToGrid w:val="0"/>
        <w:spacing w:before="56" w:after="56" w:line="360" w:lineRule="auto"/>
        <w:ind w:right="85" w:firstLine="555"/>
        <w:rPr>
          <w:color w:val="auto"/>
          <w:sz w:val="24"/>
          <w:szCs w:val="24"/>
        </w:rPr>
      </w:pPr>
      <w:r>
        <w:rPr>
          <w:rFonts w:hint="eastAsia"/>
          <w:color w:val="auto"/>
          <w:sz w:val="24"/>
          <w:szCs w:val="24"/>
        </w:rPr>
        <w:t>地址：</w:t>
      </w:r>
      <w:r>
        <w:rPr>
          <w:color w:val="auto"/>
          <w:sz w:val="24"/>
          <w:szCs w:val="24"/>
        </w:rPr>
        <w:tab/>
      </w:r>
      <w:r>
        <w:rPr>
          <w:color w:val="auto"/>
          <w:sz w:val="24"/>
          <w:szCs w:val="24"/>
        </w:rPr>
        <w:tab/>
      </w:r>
      <w:r>
        <w:rPr>
          <w:color w:val="auto"/>
          <w:sz w:val="24"/>
          <w:szCs w:val="24"/>
        </w:rPr>
        <w:tab/>
      </w:r>
      <w:r>
        <w:rPr>
          <w:color w:val="auto"/>
          <w:sz w:val="24"/>
          <w:szCs w:val="24"/>
        </w:rPr>
        <w:tab/>
      </w:r>
      <w:r>
        <w:rPr>
          <w:rFonts w:hint="eastAsia"/>
          <w:color w:val="auto"/>
          <w:sz w:val="24"/>
          <w:szCs w:val="24"/>
        </w:rPr>
        <w:t>地址：</w:t>
      </w:r>
    </w:p>
    <w:p>
      <w:pPr>
        <w:widowControl w:val="0"/>
        <w:snapToGrid w:val="0"/>
        <w:spacing w:before="56" w:after="56" w:line="360" w:lineRule="auto"/>
        <w:ind w:right="85" w:firstLine="555"/>
        <w:rPr>
          <w:color w:val="auto"/>
          <w:sz w:val="24"/>
          <w:szCs w:val="24"/>
        </w:rPr>
      </w:pPr>
      <w:r>
        <w:rPr>
          <w:rFonts w:hint="eastAsia"/>
          <w:color w:val="auto"/>
          <w:sz w:val="24"/>
          <w:szCs w:val="24"/>
        </w:rPr>
        <w:t>法定代表人：</w:t>
      </w:r>
      <w:r>
        <w:rPr>
          <w:color w:val="auto"/>
          <w:sz w:val="24"/>
          <w:szCs w:val="24"/>
        </w:rPr>
        <w:tab/>
      </w:r>
      <w:r>
        <w:rPr>
          <w:color w:val="auto"/>
          <w:sz w:val="24"/>
          <w:szCs w:val="24"/>
        </w:rPr>
        <w:tab/>
      </w:r>
      <w:r>
        <w:rPr>
          <w:color w:val="auto"/>
          <w:sz w:val="24"/>
          <w:szCs w:val="24"/>
        </w:rPr>
        <w:tab/>
      </w:r>
      <w:r>
        <w:rPr>
          <w:rFonts w:hint="eastAsia"/>
          <w:color w:val="auto"/>
          <w:sz w:val="24"/>
          <w:szCs w:val="24"/>
        </w:rPr>
        <w:t>法定代表人：</w:t>
      </w:r>
    </w:p>
    <w:p>
      <w:pPr>
        <w:widowControl w:val="0"/>
        <w:snapToGrid w:val="0"/>
        <w:spacing w:before="56" w:after="56" w:line="360" w:lineRule="auto"/>
        <w:ind w:right="85" w:firstLine="555"/>
        <w:rPr>
          <w:color w:val="auto"/>
          <w:sz w:val="24"/>
          <w:szCs w:val="24"/>
        </w:rPr>
      </w:pPr>
      <w:r>
        <w:rPr>
          <w:rFonts w:hint="eastAsia"/>
          <w:color w:val="auto"/>
          <w:sz w:val="24"/>
          <w:szCs w:val="24"/>
        </w:rPr>
        <w:t>委托代理人：</w:t>
      </w:r>
      <w:r>
        <w:rPr>
          <w:color w:val="auto"/>
          <w:sz w:val="24"/>
          <w:szCs w:val="24"/>
        </w:rPr>
        <w:tab/>
      </w:r>
      <w:r>
        <w:rPr>
          <w:color w:val="auto"/>
          <w:sz w:val="24"/>
          <w:szCs w:val="24"/>
        </w:rPr>
        <w:tab/>
      </w:r>
      <w:r>
        <w:rPr>
          <w:color w:val="auto"/>
          <w:sz w:val="24"/>
          <w:szCs w:val="24"/>
        </w:rPr>
        <w:tab/>
      </w:r>
      <w:r>
        <w:rPr>
          <w:rFonts w:hint="eastAsia"/>
          <w:color w:val="auto"/>
          <w:sz w:val="24"/>
          <w:szCs w:val="24"/>
        </w:rPr>
        <w:t>委托代理人：</w:t>
      </w:r>
    </w:p>
    <w:p>
      <w:pPr>
        <w:widowControl w:val="0"/>
        <w:snapToGrid w:val="0"/>
        <w:spacing w:before="56" w:after="56" w:line="360" w:lineRule="auto"/>
        <w:ind w:right="85" w:firstLine="555"/>
        <w:rPr>
          <w:color w:val="auto"/>
          <w:sz w:val="24"/>
          <w:szCs w:val="24"/>
        </w:rPr>
      </w:pPr>
      <w:r>
        <w:rPr>
          <w:rFonts w:hint="eastAsia"/>
          <w:color w:val="auto"/>
          <w:sz w:val="24"/>
          <w:szCs w:val="24"/>
        </w:rPr>
        <w:t>电话：</w:t>
      </w:r>
      <w:r>
        <w:rPr>
          <w:color w:val="auto"/>
          <w:sz w:val="24"/>
          <w:szCs w:val="24"/>
        </w:rPr>
        <w:tab/>
      </w:r>
      <w:r>
        <w:rPr>
          <w:color w:val="auto"/>
          <w:sz w:val="24"/>
          <w:szCs w:val="24"/>
        </w:rPr>
        <w:tab/>
      </w:r>
      <w:r>
        <w:rPr>
          <w:color w:val="auto"/>
          <w:sz w:val="24"/>
          <w:szCs w:val="24"/>
        </w:rPr>
        <w:tab/>
      </w:r>
      <w:r>
        <w:rPr>
          <w:color w:val="auto"/>
          <w:sz w:val="24"/>
          <w:szCs w:val="24"/>
        </w:rPr>
        <w:tab/>
      </w:r>
      <w:r>
        <w:rPr>
          <w:rFonts w:hint="eastAsia"/>
          <w:color w:val="auto"/>
          <w:sz w:val="24"/>
          <w:szCs w:val="24"/>
        </w:rPr>
        <w:t>电话：</w:t>
      </w:r>
    </w:p>
    <w:p>
      <w:pPr>
        <w:widowControl w:val="0"/>
        <w:snapToGrid w:val="0"/>
        <w:spacing w:before="56" w:after="56" w:line="360" w:lineRule="auto"/>
        <w:ind w:right="85" w:firstLine="555"/>
        <w:rPr>
          <w:color w:val="auto"/>
          <w:sz w:val="24"/>
          <w:szCs w:val="24"/>
        </w:rPr>
      </w:pPr>
      <w:r>
        <w:rPr>
          <w:rFonts w:hint="eastAsia"/>
          <w:color w:val="auto"/>
          <w:sz w:val="24"/>
          <w:szCs w:val="24"/>
        </w:rPr>
        <w:t>开户银行：</w:t>
      </w:r>
      <w:r>
        <w:rPr>
          <w:color w:val="auto"/>
          <w:sz w:val="24"/>
          <w:szCs w:val="24"/>
        </w:rPr>
        <w:tab/>
      </w:r>
      <w:r>
        <w:rPr>
          <w:color w:val="auto"/>
          <w:sz w:val="24"/>
          <w:szCs w:val="24"/>
        </w:rPr>
        <w:tab/>
      </w:r>
      <w:r>
        <w:rPr>
          <w:color w:val="auto"/>
          <w:sz w:val="24"/>
          <w:szCs w:val="24"/>
        </w:rPr>
        <w:tab/>
      </w:r>
      <w:r>
        <w:rPr>
          <w:rFonts w:hint="eastAsia"/>
          <w:color w:val="auto"/>
          <w:sz w:val="24"/>
          <w:szCs w:val="24"/>
        </w:rPr>
        <w:t>开户银行：</w:t>
      </w:r>
    </w:p>
    <w:p>
      <w:pPr>
        <w:widowControl w:val="0"/>
        <w:snapToGrid w:val="0"/>
        <w:spacing w:before="56" w:after="56" w:line="360" w:lineRule="auto"/>
        <w:ind w:right="85" w:firstLine="555"/>
        <w:rPr>
          <w:color w:val="auto"/>
          <w:sz w:val="24"/>
          <w:szCs w:val="24"/>
        </w:rPr>
      </w:pPr>
      <w:r>
        <w:rPr>
          <w:rFonts w:hint="eastAsia"/>
          <w:color w:val="auto"/>
          <w:sz w:val="24"/>
          <w:szCs w:val="24"/>
        </w:rPr>
        <w:t>银行账号：</w:t>
      </w:r>
      <w:r>
        <w:rPr>
          <w:color w:val="auto"/>
          <w:sz w:val="24"/>
          <w:szCs w:val="24"/>
        </w:rPr>
        <w:tab/>
      </w:r>
      <w:r>
        <w:rPr>
          <w:color w:val="auto"/>
          <w:sz w:val="24"/>
          <w:szCs w:val="24"/>
        </w:rPr>
        <w:tab/>
      </w:r>
      <w:r>
        <w:rPr>
          <w:color w:val="auto"/>
          <w:sz w:val="24"/>
          <w:szCs w:val="24"/>
        </w:rPr>
        <w:tab/>
      </w:r>
      <w:r>
        <w:rPr>
          <w:rFonts w:hint="eastAsia"/>
          <w:color w:val="auto"/>
          <w:sz w:val="24"/>
          <w:szCs w:val="24"/>
        </w:rPr>
        <w:t>银行账号：</w:t>
      </w:r>
    </w:p>
    <w:p>
      <w:pPr>
        <w:widowControl w:val="0"/>
        <w:snapToGrid w:val="0"/>
        <w:spacing w:before="56" w:after="56" w:line="360" w:lineRule="auto"/>
        <w:ind w:right="85" w:firstLine="555"/>
        <w:rPr>
          <w:color w:val="auto"/>
          <w:sz w:val="24"/>
          <w:szCs w:val="24"/>
        </w:rPr>
      </w:pPr>
    </w:p>
    <w:p>
      <w:pPr>
        <w:widowControl w:val="0"/>
        <w:snapToGrid w:val="0"/>
        <w:spacing w:before="56" w:after="56" w:line="360" w:lineRule="auto"/>
        <w:ind w:right="85" w:firstLine="555"/>
        <w:rPr>
          <w:color w:val="auto"/>
          <w:sz w:val="24"/>
          <w:szCs w:val="24"/>
        </w:rPr>
      </w:pPr>
    </w:p>
    <w:p>
      <w:pPr>
        <w:widowControl w:val="0"/>
        <w:tabs>
          <w:tab w:val="left" w:pos="4678"/>
        </w:tabs>
        <w:snapToGrid w:val="0"/>
        <w:spacing w:before="56" w:after="56" w:line="360" w:lineRule="auto"/>
        <w:ind w:right="85" w:firstLine="555"/>
        <w:rPr>
          <w:color w:val="auto"/>
          <w:sz w:val="24"/>
          <w:szCs w:val="24"/>
        </w:rPr>
      </w:pPr>
      <w:r>
        <w:rPr>
          <w:rFonts w:hint="eastAsia"/>
          <w:color w:val="auto"/>
          <w:sz w:val="24"/>
          <w:szCs w:val="24"/>
        </w:rPr>
        <w:t>签约时间：</w:t>
      </w:r>
      <w:r>
        <w:rPr>
          <w:color w:val="auto"/>
          <w:sz w:val="24"/>
          <w:szCs w:val="24"/>
        </w:rPr>
        <w:t xml:space="preserve">          </w:t>
      </w:r>
      <w:r>
        <w:rPr>
          <w:rFonts w:hint="eastAsia"/>
          <w:color w:val="auto"/>
          <w:sz w:val="24"/>
          <w:szCs w:val="24"/>
        </w:rPr>
        <w:t>签约地点：</w:t>
      </w:r>
    </w:p>
    <w:p>
      <w:pPr>
        <w:widowControl w:val="0"/>
        <w:snapToGrid w:val="0"/>
        <w:spacing w:line="360" w:lineRule="auto"/>
        <w:ind w:firstLine="480" w:firstLineChars="200"/>
        <w:rPr>
          <w:color w:val="auto"/>
          <w:sz w:val="24"/>
          <w:szCs w:val="24"/>
          <w:u w:val="single"/>
        </w:rPr>
      </w:pPr>
    </w:p>
    <w:p>
      <w:pPr>
        <w:widowControl w:val="0"/>
        <w:snapToGrid w:val="0"/>
        <w:spacing w:line="540" w:lineRule="exact"/>
        <w:ind w:right="476"/>
        <w:rPr>
          <w:color w:val="auto"/>
          <w:sz w:val="24"/>
          <w:szCs w:val="24"/>
        </w:rPr>
      </w:pPr>
    </w:p>
    <w:p>
      <w:pPr>
        <w:spacing w:line="240" w:lineRule="auto"/>
        <w:jc w:val="left"/>
        <w:textAlignment w:val="auto"/>
        <w:rPr>
          <w:color w:val="auto"/>
        </w:rPr>
      </w:pPr>
    </w:p>
    <w:p>
      <w:pPr>
        <w:widowControl w:val="0"/>
        <w:snapToGrid w:val="0"/>
        <w:spacing w:line="360" w:lineRule="auto"/>
        <w:rPr>
          <w:color w:val="auto"/>
          <w:sz w:val="24"/>
          <w:szCs w:val="24"/>
        </w:rPr>
      </w:pPr>
    </w:p>
    <w:p>
      <w:pPr>
        <w:autoSpaceDE w:val="0"/>
        <w:autoSpaceDN w:val="0"/>
        <w:adjustRightInd w:val="0"/>
        <w:spacing w:line="360" w:lineRule="auto"/>
        <w:jc w:val="center"/>
        <w:outlineLvl w:val="0"/>
        <w:rPr>
          <w:rFonts w:ascii="黑体" w:hAnsi="黑体" w:eastAsia="黑体"/>
          <w:b/>
          <w:color w:val="auto"/>
          <w:sz w:val="36"/>
          <w:szCs w:val="36"/>
          <w:lang w:val="zh-CN"/>
        </w:rPr>
      </w:pPr>
      <w:r>
        <w:rPr>
          <w:rFonts w:ascii="宋体"/>
          <w:b/>
          <w:color w:val="auto"/>
          <w:sz w:val="36"/>
          <w:szCs w:val="36"/>
          <w:lang w:val="zh-CN"/>
        </w:rPr>
        <w:br w:type="page"/>
      </w:r>
      <w:bookmarkStart w:id="50" w:name="_Toc114740106"/>
      <w:r>
        <w:rPr>
          <w:rFonts w:hint="eastAsia" w:ascii="黑体" w:hAnsi="黑体" w:eastAsia="黑体"/>
          <w:b/>
          <w:color w:val="auto"/>
          <w:sz w:val="36"/>
          <w:szCs w:val="36"/>
          <w:lang w:val="zh-CN"/>
        </w:rPr>
        <w:t>第六章</w:t>
      </w:r>
      <w:r>
        <w:rPr>
          <w:rFonts w:ascii="黑体" w:hAnsi="黑体" w:eastAsia="黑体"/>
          <w:b/>
          <w:color w:val="auto"/>
          <w:sz w:val="36"/>
          <w:szCs w:val="36"/>
          <w:lang w:val="zh-CN"/>
        </w:rPr>
        <w:t xml:space="preserve">  </w:t>
      </w:r>
      <w:r>
        <w:rPr>
          <w:rFonts w:hint="eastAsia" w:ascii="黑体" w:hAnsi="黑体" w:eastAsia="黑体"/>
          <w:b/>
          <w:color w:val="auto"/>
          <w:sz w:val="36"/>
          <w:szCs w:val="36"/>
          <w:lang w:val="zh-CN"/>
        </w:rPr>
        <w:t>投标文件格式</w:t>
      </w:r>
      <w:bookmarkEnd w:id="50"/>
    </w:p>
    <w:p>
      <w:pPr>
        <w:autoSpaceDE w:val="0"/>
        <w:autoSpaceDN w:val="0"/>
        <w:adjustRightInd w:val="0"/>
        <w:spacing w:line="276" w:lineRule="auto"/>
        <w:ind w:firstLine="514" w:firstLineChars="245"/>
        <w:jc w:val="left"/>
        <w:rPr>
          <w:rFonts w:ascii="宋体"/>
          <w:color w:val="auto"/>
          <w:sz w:val="36"/>
          <w:szCs w:val="36"/>
          <w:lang w:val="zh-CN"/>
        </w:rPr>
      </w:pPr>
      <w:r>
        <w:rPr>
          <w:rFonts w:hint="eastAsia" w:ascii="宋体" w:hAnsi="宋体"/>
          <w:color w:val="auto"/>
          <w:szCs w:val="21"/>
          <w:lang w:val="zh-CN"/>
        </w:rPr>
        <w:t>投标人应按“投标人须知</w:t>
      </w:r>
      <w:r>
        <w:rPr>
          <w:rFonts w:ascii="宋体"/>
          <w:color w:val="auto"/>
          <w:szCs w:val="21"/>
          <w:lang w:val="zh-CN"/>
        </w:rPr>
        <w:t>--</w:t>
      </w:r>
      <w:r>
        <w:rPr>
          <w:rFonts w:hint="eastAsia" w:ascii="宋体" w:hAnsi="宋体"/>
          <w:color w:val="auto"/>
          <w:szCs w:val="21"/>
          <w:lang w:val="zh-CN"/>
        </w:rPr>
        <w:t>投标文件的组成”列示内容编制投标文件，本章“投标文件格式”仅为对投标文件部分内容的格式化规范，并非投标文件所应具备的全部内容</w:t>
      </w:r>
      <w:r>
        <w:rPr>
          <w:rFonts w:hint="eastAsia" w:ascii="宋体" w:hAnsi="宋体"/>
          <w:color w:val="auto"/>
          <w:sz w:val="36"/>
          <w:szCs w:val="36"/>
          <w:lang w:val="zh-CN"/>
        </w:rPr>
        <w:t>。</w:t>
      </w:r>
    </w:p>
    <w:p>
      <w:pPr>
        <w:spacing w:beforeLines="300" w:afterLines="100" w:line="360" w:lineRule="auto"/>
        <w:jc w:val="center"/>
        <w:rPr>
          <w:rFonts w:ascii="宋体" w:hAnsi="宋体"/>
          <w:b/>
          <w:bCs/>
          <w:color w:val="auto"/>
          <w:spacing w:val="100"/>
          <w:sz w:val="72"/>
          <w:szCs w:val="72"/>
        </w:rPr>
      </w:pPr>
      <w:r>
        <w:rPr>
          <w:rFonts w:hint="eastAsia" w:ascii="宋体" w:hAnsi="宋体"/>
          <w:b/>
          <w:bCs/>
          <w:color w:val="auto"/>
          <w:spacing w:val="100"/>
          <w:sz w:val="36"/>
          <w:szCs w:val="36"/>
          <w:u w:val="single"/>
        </w:rPr>
        <w:t xml:space="preserve">             </w:t>
      </w:r>
      <w:r>
        <w:rPr>
          <w:rFonts w:ascii="宋体" w:hAnsi="宋体"/>
          <w:b/>
          <w:bCs/>
          <w:color w:val="auto"/>
          <w:spacing w:val="100"/>
          <w:sz w:val="36"/>
          <w:szCs w:val="36"/>
          <w:u w:val="single"/>
        </w:rPr>
        <w:t xml:space="preserve">   </w:t>
      </w:r>
      <w:r>
        <w:rPr>
          <w:rFonts w:hint="eastAsia" w:ascii="宋体" w:hAnsi="宋体"/>
          <w:b/>
          <w:bCs/>
          <w:color w:val="auto"/>
          <w:spacing w:val="100"/>
          <w:sz w:val="36"/>
          <w:szCs w:val="36"/>
          <w:u w:val="single"/>
        </w:rPr>
        <w:t xml:space="preserve"> </w:t>
      </w:r>
      <w:r>
        <w:rPr>
          <w:rFonts w:hint="eastAsia" w:ascii="黑体" w:hAnsi="黑体" w:eastAsia="黑体"/>
          <w:b/>
          <w:color w:val="auto"/>
          <w:spacing w:val="60"/>
          <w:sz w:val="72"/>
          <w:szCs w:val="72"/>
        </w:rPr>
        <w:t>项目</w:t>
      </w:r>
    </w:p>
    <w:p>
      <w:pPr>
        <w:spacing w:beforeLines="300" w:afterLines="100" w:line="360" w:lineRule="auto"/>
        <w:ind w:firstLine="3339" w:firstLineChars="396"/>
        <w:rPr>
          <w:rFonts w:ascii="宋体" w:hAnsi="宋体"/>
          <w:b/>
          <w:bCs/>
          <w:color w:val="auto"/>
          <w:spacing w:val="100"/>
          <w:sz w:val="36"/>
          <w:szCs w:val="36"/>
        </w:rPr>
      </w:pPr>
      <w:r>
        <w:rPr>
          <w:rFonts w:hint="eastAsia" w:ascii="黑体" w:hAnsi="黑体" w:eastAsia="黑体"/>
          <w:b/>
          <w:color w:val="auto"/>
          <w:sz w:val="84"/>
          <w:szCs w:val="84"/>
        </w:rPr>
        <w:t>包</w:t>
      </w:r>
      <w:r>
        <w:rPr>
          <w:rFonts w:hint="eastAsia" w:ascii="黑体" w:hAnsi="黑体" w:eastAsia="黑体"/>
          <w:b/>
          <w:color w:val="auto"/>
          <w:sz w:val="84"/>
          <w:szCs w:val="84"/>
          <w:u w:val="single"/>
        </w:rPr>
        <w:t xml:space="preserve">   </w:t>
      </w:r>
      <w:r>
        <w:rPr>
          <w:rFonts w:hint="eastAsia" w:ascii="黑体" w:hAnsi="黑体" w:eastAsia="黑体"/>
          <w:b/>
          <w:color w:val="auto"/>
          <w:sz w:val="84"/>
          <w:szCs w:val="84"/>
        </w:rPr>
        <w:t xml:space="preserve"> </w:t>
      </w:r>
    </w:p>
    <w:p>
      <w:pPr>
        <w:spacing w:afterLines="200" w:line="360" w:lineRule="auto"/>
        <w:ind w:left="5678" w:leftChars="299" w:hanging="5050" w:hangingChars="466"/>
        <w:jc w:val="center"/>
        <w:rPr>
          <w:rFonts w:ascii="黑体" w:hAnsi="黑体" w:eastAsia="黑体"/>
          <w:b/>
          <w:color w:val="auto"/>
          <w:spacing w:val="60"/>
          <w:sz w:val="96"/>
          <w:szCs w:val="96"/>
        </w:rPr>
      </w:pPr>
      <w:r>
        <w:rPr>
          <w:rFonts w:hint="eastAsia" w:ascii="黑体" w:hAnsi="黑体" w:eastAsia="黑体"/>
          <w:b/>
          <w:color w:val="auto"/>
          <w:spacing w:val="60"/>
          <w:sz w:val="96"/>
          <w:szCs w:val="96"/>
        </w:rPr>
        <w:t>符合性响应文件</w:t>
      </w:r>
    </w:p>
    <w:p>
      <w:pPr>
        <w:spacing w:beforeLines="50" w:afterLines="50" w:line="360" w:lineRule="auto"/>
        <w:ind w:firstLine="1744" w:firstLineChars="545"/>
        <w:rPr>
          <w:rFonts w:ascii="宋体" w:hAnsi="宋体"/>
          <w:b/>
          <w:color w:val="auto"/>
          <w:sz w:val="36"/>
          <w:szCs w:val="36"/>
        </w:rPr>
      </w:pPr>
      <w:r>
        <w:rPr>
          <w:rFonts w:hint="eastAsia" w:ascii="宋体" w:hAnsi="宋体"/>
          <w:color w:val="auto"/>
          <w:sz w:val="32"/>
          <w:szCs w:val="32"/>
        </w:rPr>
        <w:t>项目编号：</w:t>
      </w:r>
      <w:r>
        <w:rPr>
          <w:rFonts w:hint="eastAsia" w:ascii="宋体" w:hAnsi="宋体"/>
          <w:b/>
          <w:color w:val="auto"/>
          <w:sz w:val="36"/>
          <w:szCs w:val="36"/>
          <w:u w:val="single"/>
        </w:rPr>
        <w:t xml:space="preserve">                      </w:t>
      </w:r>
    </w:p>
    <w:p>
      <w:pPr>
        <w:spacing w:line="360" w:lineRule="auto"/>
        <w:rPr>
          <w:rFonts w:ascii="宋体" w:hAnsi="宋体"/>
          <w:b/>
          <w:color w:val="auto"/>
          <w:sz w:val="36"/>
          <w:szCs w:val="36"/>
        </w:rPr>
      </w:pPr>
    </w:p>
    <w:p>
      <w:pPr>
        <w:spacing w:line="360" w:lineRule="auto"/>
        <w:rPr>
          <w:rFonts w:ascii="宋体" w:hAnsi="宋体"/>
          <w:b/>
          <w:color w:val="auto"/>
          <w:sz w:val="36"/>
          <w:szCs w:val="36"/>
        </w:rPr>
      </w:pPr>
    </w:p>
    <w:p>
      <w:pPr>
        <w:pStyle w:val="54"/>
        <w:spacing w:beforeLines="150" w:afterLines="150" w:line="360" w:lineRule="auto"/>
        <w:jc w:val="both"/>
        <w:rPr>
          <w:rFonts w:hAnsi="宋体"/>
          <w:color w:val="auto"/>
          <w:sz w:val="28"/>
          <w:szCs w:val="28"/>
        </w:rPr>
      </w:pPr>
      <w:r>
        <w:rPr>
          <w:rFonts w:hint="eastAsia" w:hAnsi="宋体"/>
          <w:color w:val="auto"/>
          <w:sz w:val="28"/>
          <w:szCs w:val="28"/>
        </w:rPr>
        <w:t>投标人：</w:t>
      </w:r>
      <w:r>
        <w:rPr>
          <w:rFonts w:hint="eastAsia" w:hAnsi="宋体"/>
          <w:color w:val="auto"/>
          <w:sz w:val="28"/>
          <w:szCs w:val="28"/>
          <w:u w:val="single"/>
        </w:rPr>
        <w:t xml:space="preserve">                                    </w:t>
      </w:r>
      <w:r>
        <w:rPr>
          <w:rFonts w:hint="eastAsia" w:hAnsi="宋体"/>
          <w:color w:val="auto"/>
          <w:sz w:val="28"/>
          <w:szCs w:val="28"/>
        </w:rPr>
        <w:t>（加盖电子签章）</w:t>
      </w:r>
    </w:p>
    <w:p>
      <w:pPr>
        <w:pStyle w:val="54"/>
        <w:spacing w:beforeLines="150" w:afterLines="150" w:line="360" w:lineRule="auto"/>
        <w:jc w:val="both"/>
        <w:rPr>
          <w:rFonts w:hAnsi="宋体"/>
          <w:color w:val="auto"/>
          <w:sz w:val="28"/>
          <w:szCs w:val="28"/>
          <w:u w:val="single"/>
        </w:rPr>
      </w:pPr>
      <w:r>
        <w:rPr>
          <w:rFonts w:hint="eastAsia" w:hAnsi="宋体"/>
          <w:color w:val="auto"/>
          <w:sz w:val="28"/>
          <w:szCs w:val="28"/>
        </w:rPr>
        <w:t>法定代表人：</w:t>
      </w:r>
      <w:r>
        <w:rPr>
          <w:rFonts w:hAnsi="宋体"/>
          <w:color w:val="auto"/>
          <w:sz w:val="28"/>
          <w:szCs w:val="28"/>
          <w:u w:val="single"/>
        </w:rPr>
        <w:t xml:space="preserve">                       </w:t>
      </w:r>
      <w:r>
        <w:rPr>
          <w:rFonts w:hint="eastAsia" w:hAnsi="宋体"/>
          <w:color w:val="auto"/>
          <w:sz w:val="28"/>
          <w:szCs w:val="28"/>
          <w:u w:val="single"/>
        </w:rPr>
        <w:t xml:space="preserve">      </w:t>
      </w:r>
      <w:r>
        <w:rPr>
          <w:rFonts w:hAnsi="宋体"/>
          <w:color w:val="auto"/>
          <w:sz w:val="28"/>
          <w:szCs w:val="28"/>
          <w:u w:val="single"/>
        </w:rPr>
        <w:t xml:space="preserve">   </w:t>
      </w:r>
      <w:r>
        <w:rPr>
          <w:rFonts w:hint="eastAsia" w:hAnsi="宋体"/>
          <w:color w:val="auto"/>
          <w:sz w:val="28"/>
          <w:szCs w:val="28"/>
        </w:rPr>
        <w:t>（加盖电子签名）</w:t>
      </w:r>
    </w:p>
    <w:p>
      <w:pPr>
        <w:spacing w:beforeLines="150" w:afterLines="150" w:line="586" w:lineRule="atLeast"/>
        <w:rPr>
          <w:rFonts w:ascii="宋体" w:hAnsi="宋体"/>
          <w:color w:val="auto"/>
          <w:sz w:val="28"/>
          <w:szCs w:val="28"/>
        </w:rPr>
      </w:pPr>
      <w:r>
        <w:rPr>
          <w:rFonts w:hint="eastAsia" w:ascii="宋体" w:hAnsi="宋体"/>
          <w:color w:val="auto"/>
          <w:sz w:val="28"/>
          <w:szCs w:val="28"/>
        </w:rPr>
        <w:t>投标日期：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autoSpaceDE w:val="0"/>
        <w:autoSpaceDN w:val="0"/>
        <w:adjustRightInd w:val="0"/>
        <w:spacing w:line="360" w:lineRule="auto"/>
        <w:jc w:val="center"/>
        <w:outlineLvl w:val="0"/>
        <w:rPr>
          <w:rFonts w:ascii="黑体" w:hAnsi="黑体" w:eastAsia="黑体"/>
          <w:b/>
          <w:color w:val="auto"/>
          <w:sz w:val="36"/>
          <w:szCs w:val="36"/>
          <w:lang w:val="zh-CN"/>
        </w:rPr>
      </w:pPr>
    </w:p>
    <w:p>
      <w:pPr>
        <w:widowControl w:val="0"/>
        <w:snapToGrid w:val="0"/>
        <w:spacing w:line="560" w:lineRule="exact"/>
        <w:rPr>
          <w:rFonts w:eastAsia="方正黑体简体"/>
          <w:b/>
          <w:color w:val="auto"/>
          <w:sz w:val="30"/>
          <w:szCs w:val="30"/>
        </w:rPr>
      </w:pPr>
    </w:p>
    <w:p>
      <w:pPr>
        <w:spacing w:line="351" w:lineRule="atLeast"/>
        <w:ind w:left="419"/>
        <w:jc w:val="center"/>
        <w:rPr>
          <w:rFonts w:ascii="黑体" w:eastAsia="黑体"/>
          <w:b/>
          <w:color w:val="auto"/>
          <w:spacing w:val="60"/>
          <w:sz w:val="36"/>
          <w:szCs w:val="36"/>
        </w:rPr>
      </w:pPr>
      <w:r>
        <w:rPr>
          <w:rFonts w:hint="eastAsia" w:ascii="黑体" w:eastAsia="黑体"/>
          <w:b/>
          <w:color w:val="auto"/>
          <w:spacing w:val="60"/>
          <w:sz w:val="36"/>
          <w:szCs w:val="36"/>
        </w:rPr>
        <w:t>目录</w:t>
      </w:r>
    </w:p>
    <w:p>
      <w:pPr>
        <w:snapToGrid w:val="0"/>
        <w:spacing w:line="560" w:lineRule="atLeast"/>
        <w:textAlignment w:val="top"/>
        <w:rPr>
          <w:rFonts w:ascii="宋体" w:hAnsi="宋体"/>
          <w:color w:val="auto"/>
          <w:sz w:val="24"/>
          <w:szCs w:val="24"/>
        </w:rPr>
      </w:pPr>
      <w:r>
        <w:rPr>
          <w:rFonts w:hint="eastAsia" w:ascii="宋体" w:hAnsi="宋体"/>
          <w:color w:val="auto"/>
          <w:sz w:val="24"/>
          <w:szCs w:val="24"/>
        </w:rPr>
        <w:t>1.投标书</w:t>
      </w:r>
    </w:p>
    <w:p>
      <w:pPr>
        <w:snapToGrid w:val="0"/>
        <w:spacing w:line="560" w:lineRule="atLeast"/>
        <w:textAlignment w:val="top"/>
        <w:rPr>
          <w:rFonts w:ascii="宋体" w:hAnsi="宋体"/>
          <w:color w:val="auto"/>
          <w:sz w:val="24"/>
          <w:szCs w:val="24"/>
        </w:rPr>
      </w:pPr>
      <w:r>
        <w:rPr>
          <w:rFonts w:hint="eastAsia" w:ascii="宋体" w:hAnsi="宋体"/>
          <w:color w:val="auto"/>
          <w:sz w:val="24"/>
          <w:szCs w:val="24"/>
        </w:rPr>
        <w:t>2. 开标一览表</w:t>
      </w:r>
    </w:p>
    <w:p>
      <w:pPr>
        <w:snapToGrid w:val="0"/>
        <w:spacing w:line="560" w:lineRule="atLeast"/>
        <w:textAlignment w:val="top"/>
        <w:rPr>
          <w:rFonts w:ascii="宋体" w:hAnsi="宋体"/>
          <w:color w:val="auto"/>
          <w:sz w:val="24"/>
          <w:szCs w:val="24"/>
        </w:rPr>
      </w:pPr>
      <w:r>
        <w:rPr>
          <w:rFonts w:hint="eastAsia" w:ascii="宋体" w:hAnsi="宋体"/>
          <w:color w:val="auto"/>
          <w:sz w:val="24"/>
          <w:szCs w:val="24"/>
        </w:rPr>
        <w:t>3. 分项报价</w:t>
      </w:r>
      <w:r>
        <w:rPr>
          <w:rFonts w:hint="eastAsia" w:ascii="宋体" w:hAnsi="宋体"/>
          <w:color w:val="auto"/>
          <w:sz w:val="24"/>
        </w:rPr>
        <w:t>（即</w:t>
      </w:r>
      <w:r>
        <w:rPr>
          <w:rFonts w:ascii="宋体" w:hAnsi="宋体"/>
          <w:color w:val="auto"/>
          <w:sz w:val="24"/>
        </w:rPr>
        <w:t>投标人的</w:t>
      </w:r>
      <w:r>
        <w:rPr>
          <w:rFonts w:hint="eastAsia"/>
          <w:color w:val="auto"/>
          <w:sz w:val="24"/>
        </w:rPr>
        <w:t>投标报价明细表</w:t>
      </w:r>
      <w:r>
        <w:rPr>
          <w:rFonts w:ascii="宋体" w:hAnsi="宋体"/>
          <w:color w:val="auto"/>
          <w:sz w:val="24"/>
        </w:rPr>
        <w:t>）</w:t>
      </w:r>
    </w:p>
    <w:p>
      <w:pPr>
        <w:snapToGrid w:val="0"/>
        <w:spacing w:line="560" w:lineRule="atLeast"/>
        <w:textAlignment w:val="top"/>
        <w:rPr>
          <w:rFonts w:ascii="宋体" w:hAnsi="宋体"/>
          <w:color w:val="auto"/>
          <w:sz w:val="24"/>
          <w:szCs w:val="24"/>
        </w:rPr>
      </w:pPr>
      <w:r>
        <w:rPr>
          <w:rFonts w:hint="eastAsia" w:ascii="宋体" w:hAnsi="宋体"/>
          <w:color w:val="auto"/>
          <w:sz w:val="24"/>
          <w:szCs w:val="24"/>
        </w:rPr>
        <w:t>4.投标产品清单及其技术参数，安装调试方案</w:t>
      </w:r>
    </w:p>
    <w:p>
      <w:pPr>
        <w:snapToGrid w:val="0"/>
        <w:spacing w:line="560" w:lineRule="atLeast"/>
        <w:textAlignment w:val="top"/>
        <w:rPr>
          <w:color w:val="auto"/>
          <w:sz w:val="24"/>
        </w:rPr>
      </w:pPr>
      <w:r>
        <w:rPr>
          <w:rFonts w:hint="eastAsia" w:ascii="宋体" w:hAnsi="宋体"/>
          <w:color w:val="auto"/>
          <w:sz w:val="24"/>
          <w:szCs w:val="24"/>
        </w:rPr>
        <w:t>5. 技术偏差表</w:t>
      </w:r>
    </w:p>
    <w:p>
      <w:pPr>
        <w:snapToGrid w:val="0"/>
        <w:spacing w:line="560" w:lineRule="atLeast"/>
        <w:textAlignment w:val="top"/>
        <w:rPr>
          <w:rFonts w:ascii="宋体" w:hAnsi="宋体"/>
          <w:color w:val="auto"/>
          <w:sz w:val="24"/>
          <w:szCs w:val="24"/>
        </w:rPr>
      </w:pPr>
      <w:r>
        <w:rPr>
          <w:rFonts w:hint="eastAsia" w:ascii="宋体" w:hAnsi="宋体"/>
          <w:color w:val="auto"/>
          <w:sz w:val="24"/>
          <w:szCs w:val="24"/>
        </w:rPr>
        <w:t>6.其他偏差表（除技术偏差外）</w:t>
      </w:r>
    </w:p>
    <w:p>
      <w:pPr>
        <w:snapToGrid w:val="0"/>
        <w:spacing w:line="560" w:lineRule="atLeast"/>
        <w:textAlignment w:val="top"/>
        <w:rPr>
          <w:rFonts w:ascii="宋体" w:hAnsi="宋体"/>
          <w:color w:val="auto"/>
          <w:sz w:val="24"/>
          <w:szCs w:val="24"/>
        </w:rPr>
      </w:pPr>
      <w:r>
        <w:rPr>
          <w:rFonts w:hint="eastAsia" w:ascii="宋体" w:hAnsi="宋体"/>
          <w:color w:val="auto"/>
          <w:sz w:val="24"/>
          <w:szCs w:val="24"/>
        </w:rPr>
        <w:t>7.</w:t>
      </w:r>
      <w:r>
        <w:rPr>
          <w:rFonts w:hint="eastAsia"/>
          <w:color w:val="auto"/>
          <w:sz w:val="24"/>
          <w:szCs w:val="24"/>
        </w:rPr>
        <w:t xml:space="preserve"> </w:t>
      </w:r>
      <w:r>
        <w:rPr>
          <w:rFonts w:hint="eastAsia" w:ascii="宋体" w:hAnsi="宋体"/>
          <w:color w:val="auto"/>
          <w:sz w:val="24"/>
          <w:szCs w:val="24"/>
        </w:rPr>
        <w:t>售后服务计划</w:t>
      </w:r>
    </w:p>
    <w:p>
      <w:pPr>
        <w:snapToGrid w:val="0"/>
        <w:spacing w:line="560" w:lineRule="atLeast"/>
        <w:textAlignment w:val="top"/>
        <w:rPr>
          <w:color w:val="auto"/>
          <w:sz w:val="24"/>
        </w:rPr>
      </w:pPr>
      <w:r>
        <w:rPr>
          <w:rFonts w:ascii="宋体" w:hAnsi="宋体" w:cs="楷体_GB2312"/>
          <w:color w:val="auto"/>
          <w:sz w:val="24"/>
          <w:lang w:val="zh-CN"/>
        </w:rPr>
        <w:t>8</w:t>
      </w:r>
      <w:r>
        <w:rPr>
          <w:rFonts w:hint="eastAsia" w:ascii="宋体" w:hAnsi="宋体" w:cs="楷体_GB2312"/>
          <w:color w:val="auto"/>
          <w:sz w:val="24"/>
          <w:lang w:val="zh-CN"/>
        </w:rPr>
        <w:t>．</w:t>
      </w:r>
      <w:r>
        <w:rPr>
          <w:rFonts w:hint="eastAsia"/>
          <w:color w:val="auto"/>
          <w:sz w:val="24"/>
        </w:rPr>
        <w:t>反商业贿赂承诺书</w:t>
      </w:r>
    </w:p>
    <w:p>
      <w:pPr>
        <w:snapToGrid w:val="0"/>
        <w:spacing w:line="560" w:lineRule="atLeast"/>
        <w:textAlignment w:val="top"/>
        <w:rPr>
          <w:rFonts w:ascii="宋体" w:hAnsi="宋体"/>
          <w:color w:val="auto"/>
          <w:sz w:val="24"/>
          <w:szCs w:val="24"/>
        </w:rPr>
      </w:pPr>
      <w:r>
        <w:rPr>
          <w:rFonts w:hint="eastAsia" w:ascii="宋体" w:hAnsi="宋体"/>
          <w:color w:val="auto"/>
          <w:sz w:val="24"/>
          <w:szCs w:val="24"/>
        </w:rPr>
        <w:t>9.</w:t>
      </w:r>
      <w:r>
        <w:rPr>
          <w:rFonts w:hint="eastAsia"/>
          <w:color w:val="auto"/>
          <w:sz w:val="24"/>
          <w:szCs w:val="24"/>
        </w:rPr>
        <w:t xml:space="preserve"> </w:t>
      </w:r>
      <w:r>
        <w:rPr>
          <w:rFonts w:hint="eastAsia" w:ascii="宋体" w:hAnsi="宋体"/>
          <w:color w:val="auto"/>
          <w:sz w:val="24"/>
          <w:szCs w:val="24"/>
        </w:rPr>
        <w:t>履约承诺书</w:t>
      </w:r>
    </w:p>
    <w:p>
      <w:pPr>
        <w:snapToGrid w:val="0"/>
        <w:spacing w:line="560" w:lineRule="atLeast"/>
        <w:textAlignment w:val="top"/>
        <w:rPr>
          <w:rFonts w:ascii="宋体" w:hAnsi="宋体"/>
          <w:color w:val="auto"/>
          <w:sz w:val="24"/>
          <w:szCs w:val="24"/>
        </w:rPr>
      </w:pPr>
      <w:r>
        <w:rPr>
          <w:rFonts w:hint="eastAsia" w:ascii="宋体" w:hAnsi="宋体"/>
          <w:color w:val="auto"/>
          <w:sz w:val="24"/>
          <w:szCs w:val="24"/>
        </w:rPr>
        <w:t>1</w:t>
      </w:r>
      <w:r>
        <w:rPr>
          <w:rFonts w:ascii="宋体" w:hAnsi="宋体"/>
          <w:color w:val="auto"/>
          <w:sz w:val="24"/>
          <w:szCs w:val="24"/>
        </w:rPr>
        <w:t>0</w:t>
      </w:r>
      <w:r>
        <w:rPr>
          <w:rFonts w:hint="eastAsia" w:ascii="宋体" w:hAnsi="宋体"/>
          <w:color w:val="auto"/>
          <w:sz w:val="24"/>
          <w:szCs w:val="24"/>
        </w:rPr>
        <w:t xml:space="preserve">. </w:t>
      </w:r>
      <w:r>
        <w:rPr>
          <w:rFonts w:hint="eastAsia"/>
          <w:color w:val="auto"/>
          <w:sz w:val="24"/>
        </w:rPr>
        <w:t>招标项目要求及采购需求</w:t>
      </w:r>
      <w:r>
        <w:rPr>
          <w:rFonts w:hint="eastAsia" w:ascii="宋体" w:hAnsi="宋体"/>
          <w:color w:val="auto"/>
          <w:sz w:val="24"/>
          <w:szCs w:val="24"/>
        </w:rPr>
        <w:t>所需的其他材料</w:t>
      </w:r>
    </w:p>
    <w:p>
      <w:pPr>
        <w:snapToGrid w:val="0"/>
        <w:spacing w:line="560" w:lineRule="atLeast"/>
        <w:textAlignment w:val="top"/>
        <w:rPr>
          <w:rFonts w:ascii="宋体" w:hAnsi="宋体"/>
          <w:color w:val="auto"/>
          <w:sz w:val="24"/>
          <w:szCs w:val="24"/>
        </w:rPr>
      </w:pPr>
      <w:r>
        <w:rPr>
          <w:rFonts w:hint="eastAsia" w:ascii="宋体" w:hAnsi="宋体"/>
          <w:color w:val="auto"/>
          <w:sz w:val="24"/>
          <w:szCs w:val="24"/>
        </w:rPr>
        <w:t>1</w:t>
      </w:r>
      <w:r>
        <w:rPr>
          <w:rFonts w:ascii="宋体" w:hAnsi="宋体"/>
          <w:color w:val="auto"/>
          <w:sz w:val="24"/>
          <w:szCs w:val="24"/>
        </w:rPr>
        <w:t>1</w:t>
      </w:r>
      <w:r>
        <w:rPr>
          <w:rFonts w:hint="eastAsia" w:ascii="宋体" w:hAnsi="宋体"/>
          <w:color w:val="auto"/>
          <w:sz w:val="24"/>
          <w:szCs w:val="24"/>
        </w:rPr>
        <w:t>.投标人须知所需的其他材料</w:t>
      </w:r>
    </w:p>
    <w:p>
      <w:pPr>
        <w:snapToGrid w:val="0"/>
        <w:spacing w:line="560" w:lineRule="atLeast"/>
        <w:textAlignment w:val="top"/>
        <w:rPr>
          <w:rFonts w:ascii="宋体" w:hAnsi="宋体"/>
          <w:color w:val="auto"/>
          <w:sz w:val="24"/>
          <w:szCs w:val="24"/>
        </w:rPr>
      </w:pPr>
      <w:r>
        <w:rPr>
          <w:rFonts w:hint="eastAsia" w:ascii="宋体" w:hAnsi="宋体"/>
          <w:color w:val="auto"/>
          <w:sz w:val="24"/>
          <w:szCs w:val="24"/>
        </w:rPr>
        <w:t>1</w:t>
      </w:r>
      <w:r>
        <w:rPr>
          <w:rFonts w:ascii="宋体" w:hAnsi="宋体"/>
          <w:color w:val="auto"/>
          <w:sz w:val="24"/>
          <w:szCs w:val="24"/>
        </w:rPr>
        <w:t>2</w:t>
      </w:r>
      <w:r>
        <w:rPr>
          <w:rFonts w:hint="eastAsia" w:ascii="宋体" w:hAnsi="宋体"/>
          <w:color w:val="auto"/>
          <w:sz w:val="24"/>
          <w:szCs w:val="24"/>
        </w:rPr>
        <w:t>.评标办法所需的其他材料</w:t>
      </w:r>
    </w:p>
    <w:p>
      <w:pPr>
        <w:snapToGrid w:val="0"/>
        <w:spacing w:line="560" w:lineRule="atLeast"/>
        <w:textAlignment w:val="top"/>
        <w:rPr>
          <w:rFonts w:ascii="宋体" w:hAnsi="宋体"/>
          <w:color w:val="auto"/>
          <w:sz w:val="24"/>
          <w:szCs w:val="24"/>
        </w:rPr>
      </w:pPr>
      <w:r>
        <w:rPr>
          <w:rFonts w:hint="eastAsia" w:ascii="宋体" w:hAnsi="宋体"/>
          <w:color w:val="auto"/>
          <w:sz w:val="24"/>
          <w:szCs w:val="24"/>
        </w:rPr>
        <w:t>1</w:t>
      </w:r>
      <w:r>
        <w:rPr>
          <w:rFonts w:ascii="宋体" w:hAnsi="宋体"/>
          <w:color w:val="auto"/>
          <w:sz w:val="24"/>
          <w:szCs w:val="24"/>
        </w:rPr>
        <w:t>3</w:t>
      </w:r>
      <w:r>
        <w:rPr>
          <w:rFonts w:hint="eastAsia" w:ascii="宋体" w:hAnsi="宋体"/>
          <w:color w:val="auto"/>
          <w:sz w:val="24"/>
          <w:szCs w:val="24"/>
        </w:rPr>
        <w:t>.投标人认为有必要提交的其它材料</w:t>
      </w:r>
    </w:p>
    <w:p>
      <w:pPr>
        <w:snapToGrid w:val="0"/>
        <w:spacing w:line="560" w:lineRule="atLeast"/>
        <w:textAlignment w:val="top"/>
        <w:rPr>
          <w:rFonts w:ascii="宋体" w:hAnsi="宋体"/>
          <w:color w:val="auto"/>
          <w:sz w:val="24"/>
          <w:szCs w:val="24"/>
        </w:rPr>
      </w:pPr>
      <w:r>
        <w:rPr>
          <w:rFonts w:hint="eastAsia" w:ascii="宋体" w:hAnsi="宋体"/>
          <w:color w:val="auto"/>
          <w:sz w:val="24"/>
          <w:szCs w:val="24"/>
        </w:rPr>
        <w:t>13</w:t>
      </w:r>
      <w:r>
        <w:rPr>
          <w:rFonts w:hint="eastAsia" w:asciiTheme="minorEastAsia" w:hAnsiTheme="minorEastAsia" w:eastAsiaTheme="minorEastAsia"/>
          <w:color w:val="auto"/>
          <w:sz w:val="24"/>
          <w:szCs w:val="24"/>
        </w:rPr>
        <w:t>-</w:t>
      </w:r>
      <w:r>
        <w:rPr>
          <w:rFonts w:hint="eastAsia" w:ascii="宋体" w:hAnsi="宋体"/>
          <w:color w:val="auto"/>
          <w:sz w:val="24"/>
          <w:szCs w:val="24"/>
        </w:rPr>
        <w:t>1.中小企业声明函(如有)、残疾人福利性单位声明函（如符合条件时填写*）</w:t>
      </w:r>
    </w:p>
    <w:p>
      <w:pPr>
        <w:widowControl w:val="0"/>
        <w:snapToGrid w:val="0"/>
        <w:spacing w:line="560" w:lineRule="exact"/>
        <w:rPr>
          <w:rFonts w:eastAsia="方正黑体简体"/>
          <w:b/>
          <w:color w:val="auto"/>
          <w:sz w:val="30"/>
          <w:szCs w:val="30"/>
        </w:rPr>
      </w:pPr>
      <w:r>
        <w:rPr>
          <w:rFonts w:hint="eastAsia" w:ascii="宋体" w:hAnsi="宋体"/>
          <w:color w:val="auto"/>
          <w:sz w:val="24"/>
          <w:szCs w:val="24"/>
        </w:rPr>
        <w:t>13</w:t>
      </w:r>
      <w:r>
        <w:rPr>
          <w:rFonts w:hint="eastAsia" w:asciiTheme="minorEastAsia" w:hAnsiTheme="minorEastAsia" w:eastAsiaTheme="minorEastAsia"/>
          <w:color w:val="auto"/>
          <w:sz w:val="24"/>
          <w:szCs w:val="24"/>
        </w:rPr>
        <w:t>-</w:t>
      </w:r>
      <w:r>
        <w:rPr>
          <w:rFonts w:hint="eastAsia" w:ascii="宋体" w:hAnsi="宋体"/>
          <w:color w:val="auto"/>
          <w:sz w:val="24"/>
          <w:szCs w:val="24"/>
        </w:rPr>
        <w:t>2.投标人如果申报小微企业产品价格扣除的，需在“安阳市政府采购投标文件编制系统”填列。</w:t>
      </w:r>
    </w:p>
    <w:p>
      <w:pPr>
        <w:snapToGrid w:val="0"/>
        <w:spacing w:line="560" w:lineRule="atLeast"/>
        <w:textAlignment w:val="top"/>
        <w:rPr>
          <w:rFonts w:ascii="宋体" w:hAnsi="宋体"/>
          <w:color w:val="auto"/>
          <w:sz w:val="24"/>
          <w:szCs w:val="24"/>
        </w:rPr>
      </w:pPr>
      <w:r>
        <w:rPr>
          <w:rFonts w:hint="eastAsia" w:ascii="宋体" w:hAnsi="宋体"/>
          <w:color w:val="auto"/>
          <w:sz w:val="24"/>
          <w:szCs w:val="24"/>
        </w:rPr>
        <w:t>13</w:t>
      </w:r>
      <w:r>
        <w:rPr>
          <w:rFonts w:hint="eastAsia" w:asciiTheme="minorEastAsia" w:hAnsiTheme="minorEastAsia" w:eastAsiaTheme="minorEastAsia"/>
          <w:color w:val="auto"/>
          <w:sz w:val="24"/>
          <w:szCs w:val="24"/>
        </w:rPr>
        <w:t>-</w:t>
      </w:r>
      <w:r>
        <w:rPr>
          <w:rFonts w:hint="eastAsia" w:ascii="宋体" w:hAnsi="宋体"/>
          <w:color w:val="auto"/>
          <w:sz w:val="24"/>
          <w:szCs w:val="24"/>
        </w:rPr>
        <w:t>3.其它材料</w:t>
      </w:r>
    </w:p>
    <w:p>
      <w:pPr>
        <w:snapToGrid w:val="0"/>
        <w:spacing w:line="560" w:lineRule="atLeast"/>
        <w:textAlignment w:val="top"/>
        <w:rPr>
          <w:rFonts w:ascii="仿宋_GB2312" w:eastAsia="仿宋_GB2312"/>
          <w:color w:val="auto"/>
          <w:sz w:val="32"/>
          <w:szCs w:val="32"/>
        </w:rPr>
      </w:pPr>
    </w:p>
    <w:p>
      <w:pPr>
        <w:spacing w:line="351" w:lineRule="atLeast"/>
        <w:ind w:left="419"/>
        <w:jc w:val="center"/>
        <w:rPr>
          <w:rFonts w:ascii="黑体" w:eastAsia="黑体"/>
          <w:b/>
          <w:color w:val="auto"/>
          <w:spacing w:val="60"/>
          <w:sz w:val="36"/>
          <w:szCs w:val="36"/>
        </w:rPr>
      </w:pPr>
      <w:r>
        <w:rPr>
          <w:rFonts w:ascii="黑体" w:eastAsia="黑体"/>
          <w:b/>
          <w:color w:val="auto"/>
          <w:spacing w:val="60"/>
          <w:sz w:val="36"/>
          <w:szCs w:val="36"/>
        </w:rPr>
        <w:br w:type="page"/>
      </w:r>
    </w:p>
    <w:p>
      <w:pPr>
        <w:spacing w:line="351" w:lineRule="atLeast"/>
        <w:ind w:left="419"/>
        <w:jc w:val="center"/>
        <w:rPr>
          <w:rFonts w:ascii="黑体" w:eastAsia="黑体"/>
          <w:b/>
          <w:color w:val="auto"/>
          <w:spacing w:val="60"/>
          <w:sz w:val="36"/>
          <w:szCs w:val="36"/>
        </w:rPr>
      </w:pPr>
      <w:r>
        <w:rPr>
          <w:rFonts w:hint="eastAsia" w:ascii="黑体" w:eastAsia="黑体"/>
          <w:b/>
          <w:color w:val="auto"/>
          <w:spacing w:val="60"/>
          <w:sz w:val="36"/>
          <w:szCs w:val="36"/>
        </w:rPr>
        <w:t>1、投标书</w:t>
      </w:r>
    </w:p>
    <w:p>
      <w:pPr>
        <w:widowControl w:val="0"/>
        <w:snapToGrid w:val="0"/>
        <w:spacing w:line="560" w:lineRule="exact"/>
        <w:rPr>
          <w:color w:val="auto"/>
          <w:sz w:val="28"/>
        </w:rPr>
      </w:pPr>
    </w:p>
    <w:p>
      <w:pPr>
        <w:widowControl w:val="0"/>
        <w:snapToGrid w:val="0"/>
        <w:spacing w:line="360" w:lineRule="auto"/>
        <w:rPr>
          <w:color w:val="auto"/>
          <w:sz w:val="24"/>
          <w:szCs w:val="24"/>
        </w:rPr>
      </w:pPr>
      <w:r>
        <w:rPr>
          <w:rFonts w:hint="eastAsia"/>
          <w:color w:val="auto"/>
          <w:sz w:val="24"/>
          <w:szCs w:val="24"/>
        </w:rPr>
        <w:t>致：安阳市方正招标采购服务有限责任公司</w:t>
      </w:r>
    </w:p>
    <w:p>
      <w:pPr>
        <w:widowControl w:val="0"/>
        <w:snapToGrid w:val="0"/>
        <w:spacing w:line="360" w:lineRule="auto"/>
        <w:ind w:firstLine="578"/>
        <w:textAlignment w:val="top"/>
        <w:rPr>
          <w:color w:val="auto"/>
          <w:sz w:val="24"/>
          <w:szCs w:val="24"/>
        </w:rPr>
      </w:pPr>
      <w:r>
        <w:rPr>
          <w:rFonts w:hint="eastAsia"/>
          <w:color w:val="auto"/>
          <w:sz w:val="24"/>
          <w:szCs w:val="24"/>
        </w:rPr>
        <w:t>根据贵方公开招标</w:t>
      </w:r>
      <w:r>
        <w:rPr>
          <w:rFonts w:hint="eastAsia"/>
          <w:color w:val="auto"/>
          <w:sz w:val="18"/>
          <w:szCs w:val="18"/>
          <w:u w:val="single"/>
        </w:rPr>
        <w:t>（项目名称）</w:t>
      </w:r>
      <w:r>
        <w:rPr>
          <w:color w:val="auto"/>
          <w:sz w:val="18"/>
          <w:szCs w:val="18"/>
          <w:u w:val="single"/>
        </w:rPr>
        <w:t xml:space="preserve">               </w:t>
      </w:r>
      <w:r>
        <w:rPr>
          <w:rFonts w:hint="eastAsia"/>
          <w:color w:val="auto"/>
          <w:sz w:val="24"/>
          <w:szCs w:val="24"/>
        </w:rPr>
        <w:t>的招标文件（项目编号：</w:t>
      </w:r>
      <w:r>
        <w:rPr>
          <w:color w:val="auto"/>
          <w:sz w:val="24"/>
          <w:szCs w:val="24"/>
          <w:u w:val="single"/>
        </w:rPr>
        <w:t xml:space="preserve">         </w:t>
      </w:r>
      <w:r>
        <w:rPr>
          <w:rFonts w:hint="eastAsia"/>
          <w:color w:val="auto"/>
          <w:sz w:val="24"/>
          <w:szCs w:val="24"/>
        </w:rPr>
        <w:t>），经详细研究，我们决定参加该项目的采购活动并按要求提交投标文件。我们郑重声明对我单位提交的所有投标资料的真实准确完整承担完全责任、并对之负法律责任。</w:t>
      </w:r>
    </w:p>
    <w:p>
      <w:pPr>
        <w:adjustRightInd w:val="0"/>
        <w:snapToGrid w:val="0"/>
        <w:spacing w:beforeLines="50" w:line="300" w:lineRule="auto"/>
        <w:ind w:firstLine="539"/>
        <w:textAlignment w:val="top"/>
        <w:rPr>
          <w:rFonts w:ascii="黑体" w:hAnsi="黑体" w:eastAsia="黑体"/>
          <w:b/>
          <w:color w:val="auto"/>
        </w:rPr>
      </w:pPr>
      <w:r>
        <w:rPr>
          <w:rFonts w:hint="eastAsia" w:ascii="黑体" w:hAnsi="黑体" w:eastAsia="黑体" w:cs="楷体_GB2312"/>
          <w:b/>
          <w:color w:val="auto"/>
          <w:sz w:val="24"/>
          <w:lang w:val="zh-CN"/>
        </w:rPr>
        <w:t>符</w:t>
      </w:r>
      <w:r>
        <w:rPr>
          <w:rFonts w:ascii="黑体" w:hAnsi="黑体" w:eastAsia="黑体" w:cs="楷体_GB2312"/>
          <w:b/>
          <w:color w:val="auto"/>
          <w:sz w:val="24"/>
          <w:lang w:val="zh-CN"/>
        </w:rPr>
        <w:t>合性</w:t>
      </w:r>
      <w:r>
        <w:rPr>
          <w:rFonts w:hint="eastAsia" w:ascii="黑体" w:hAnsi="黑体" w:eastAsia="黑体" w:cs="楷体_GB2312"/>
          <w:b/>
          <w:color w:val="auto"/>
          <w:sz w:val="24"/>
          <w:lang w:val="zh-CN"/>
        </w:rPr>
        <w:t>响应</w:t>
      </w:r>
      <w:r>
        <w:rPr>
          <w:rFonts w:ascii="黑体" w:hAnsi="黑体" w:eastAsia="黑体" w:cs="楷体_GB2312"/>
          <w:b/>
          <w:color w:val="auto"/>
          <w:sz w:val="24"/>
          <w:lang w:val="zh-CN"/>
        </w:rPr>
        <w:t>文件</w:t>
      </w:r>
    </w:p>
    <w:p>
      <w:pPr>
        <w:adjustRightInd w:val="0"/>
        <w:snapToGrid w:val="0"/>
        <w:spacing w:line="300" w:lineRule="auto"/>
        <w:ind w:firstLine="539"/>
        <w:textAlignment w:val="top"/>
        <w:rPr>
          <w:color w:val="auto"/>
          <w:sz w:val="24"/>
        </w:rPr>
      </w:pPr>
      <w:r>
        <w:rPr>
          <w:rFonts w:hint="eastAsia"/>
          <w:color w:val="auto"/>
          <w:sz w:val="24"/>
        </w:rPr>
        <w:t>（</w:t>
      </w:r>
      <w:r>
        <w:rPr>
          <w:color w:val="auto"/>
          <w:sz w:val="24"/>
        </w:rPr>
        <w:t>1</w:t>
      </w:r>
      <w:r>
        <w:rPr>
          <w:rFonts w:hint="eastAsia"/>
          <w:color w:val="auto"/>
          <w:sz w:val="24"/>
        </w:rPr>
        <w:t>）投标书。</w:t>
      </w:r>
    </w:p>
    <w:p>
      <w:pPr>
        <w:adjustRightInd w:val="0"/>
        <w:snapToGrid w:val="0"/>
        <w:spacing w:line="300" w:lineRule="auto"/>
        <w:ind w:firstLine="539"/>
        <w:textAlignment w:val="top"/>
        <w:rPr>
          <w:color w:val="auto"/>
          <w:sz w:val="24"/>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w:t>
      </w:r>
      <w:r>
        <w:rPr>
          <w:rFonts w:hint="eastAsia"/>
          <w:color w:val="auto"/>
          <w:sz w:val="24"/>
        </w:rPr>
        <w:t>开标一览表</w:t>
      </w:r>
    </w:p>
    <w:p>
      <w:pPr>
        <w:adjustRightInd w:val="0"/>
        <w:snapToGrid w:val="0"/>
        <w:spacing w:line="300" w:lineRule="auto"/>
        <w:ind w:firstLine="539"/>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w:t>
      </w:r>
      <w:r>
        <w:rPr>
          <w:rFonts w:hint="eastAsia" w:ascii="宋体" w:hAnsi="宋体"/>
          <w:color w:val="auto"/>
          <w:sz w:val="24"/>
        </w:rPr>
        <w:t>分项报价（即</w:t>
      </w:r>
      <w:r>
        <w:rPr>
          <w:rFonts w:ascii="宋体" w:hAnsi="宋体"/>
          <w:color w:val="auto"/>
          <w:sz w:val="24"/>
        </w:rPr>
        <w:t>投标人的</w:t>
      </w:r>
      <w:r>
        <w:rPr>
          <w:rFonts w:hint="eastAsia"/>
          <w:color w:val="auto"/>
          <w:sz w:val="24"/>
        </w:rPr>
        <w:t>投标报价明细表</w:t>
      </w:r>
      <w:r>
        <w:rPr>
          <w:rFonts w:ascii="宋体" w:hAnsi="宋体"/>
          <w:color w:val="auto"/>
          <w:sz w:val="24"/>
        </w:rPr>
        <w:t>）</w:t>
      </w:r>
    </w:p>
    <w:p>
      <w:pPr>
        <w:adjustRightInd w:val="0"/>
        <w:snapToGrid w:val="0"/>
        <w:spacing w:line="300" w:lineRule="auto"/>
        <w:ind w:firstLine="539"/>
        <w:textAlignment w:val="top"/>
        <w:rPr>
          <w:color w:val="auto"/>
          <w:sz w:val="24"/>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w:t>
      </w:r>
      <w:r>
        <w:rPr>
          <w:rFonts w:hint="eastAsia"/>
          <w:color w:val="auto"/>
          <w:sz w:val="24"/>
        </w:rPr>
        <w:t>投标产品清单及其技术参数，安装调试方案</w:t>
      </w:r>
    </w:p>
    <w:p>
      <w:pPr>
        <w:adjustRightInd w:val="0"/>
        <w:snapToGrid w:val="0"/>
        <w:spacing w:line="300" w:lineRule="auto"/>
        <w:ind w:firstLine="539"/>
        <w:textAlignment w:val="top"/>
        <w:rPr>
          <w:color w:val="auto"/>
          <w:sz w:val="24"/>
        </w:rPr>
      </w:pPr>
      <w:r>
        <w:rPr>
          <w:rFonts w:hint="eastAsia"/>
          <w:color w:val="auto"/>
          <w:sz w:val="24"/>
        </w:rPr>
        <w:t>（</w:t>
      </w:r>
      <w:r>
        <w:rPr>
          <w:color w:val="auto"/>
          <w:sz w:val="24"/>
        </w:rPr>
        <w:t>5</w:t>
      </w:r>
      <w:r>
        <w:rPr>
          <w:rFonts w:hint="eastAsia"/>
          <w:color w:val="auto"/>
          <w:sz w:val="24"/>
        </w:rPr>
        <w:t>）技术偏差表。</w:t>
      </w:r>
    </w:p>
    <w:p>
      <w:pPr>
        <w:adjustRightInd w:val="0"/>
        <w:snapToGrid w:val="0"/>
        <w:spacing w:line="300" w:lineRule="auto"/>
        <w:ind w:firstLine="539"/>
        <w:rPr>
          <w:color w:val="auto"/>
          <w:sz w:val="24"/>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w:t>
      </w:r>
      <w:r>
        <w:rPr>
          <w:rFonts w:hint="eastAsia"/>
          <w:color w:val="auto"/>
          <w:sz w:val="24"/>
        </w:rPr>
        <w:t>其他偏差表</w:t>
      </w:r>
    </w:p>
    <w:p>
      <w:pPr>
        <w:adjustRightInd w:val="0"/>
        <w:snapToGrid w:val="0"/>
        <w:spacing w:line="300" w:lineRule="auto"/>
        <w:ind w:firstLine="539"/>
        <w:textAlignment w:val="top"/>
        <w:rPr>
          <w:color w:val="auto"/>
          <w:sz w:val="24"/>
        </w:rPr>
      </w:pPr>
      <w:r>
        <w:rPr>
          <w:rFonts w:hint="eastAsia" w:ascii="宋体" w:hAnsi="宋体" w:cs="楷体_GB2312"/>
          <w:color w:val="auto"/>
          <w:sz w:val="24"/>
          <w:lang w:val="zh-CN"/>
        </w:rPr>
        <w:t>（</w:t>
      </w:r>
      <w:r>
        <w:rPr>
          <w:rFonts w:ascii="宋体" w:hAnsi="宋体" w:cs="楷体_GB2312"/>
          <w:color w:val="auto"/>
          <w:sz w:val="24"/>
          <w:lang w:val="zh-CN"/>
        </w:rPr>
        <w:t>7</w:t>
      </w:r>
      <w:r>
        <w:rPr>
          <w:rFonts w:hint="eastAsia" w:ascii="宋体" w:hAnsi="宋体" w:cs="楷体_GB2312"/>
          <w:color w:val="auto"/>
          <w:sz w:val="24"/>
          <w:lang w:val="zh-CN"/>
        </w:rPr>
        <w:t>）</w:t>
      </w:r>
      <w:r>
        <w:rPr>
          <w:rFonts w:hint="eastAsia"/>
          <w:color w:val="auto"/>
          <w:sz w:val="24"/>
        </w:rPr>
        <w:t>售后服务计划</w:t>
      </w:r>
    </w:p>
    <w:p>
      <w:pPr>
        <w:adjustRightInd w:val="0"/>
        <w:snapToGrid w:val="0"/>
        <w:spacing w:line="300" w:lineRule="auto"/>
        <w:ind w:firstLine="539"/>
        <w:rPr>
          <w:color w:val="auto"/>
          <w:sz w:val="24"/>
        </w:rPr>
      </w:pPr>
      <w:r>
        <w:rPr>
          <w:rFonts w:hint="eastAsia" w:ascii="宋体" w:hAnsi="宋体" w:cs="楷体_GB2312"/>
          <w:color w:val="auto"/>
          <w:sz w:val="24"/>
          <w:lang w:val="zh-CN"/>
        </w:rPr>
        <w:t>（</w:t>
      </w:r>
      <w:r>
        <w:rPr>
          <w:rFonts w:ascii="宋体" w:hAnsi="宋体" w:cs="楷体_GB2312"/>
          <w:color w:val="auto"/>
          <w:sz w:val="24"/>
          <w:lang w:val="zh-CN"/>
        </w:rPr>
        <w:t>8</w:t>
      </w:r>
      <w:r>
        <w:rPr>
          <w:rFonts w:hint="eastAsia" w:ascii="宋体" w:hAnsi="宋体" w:cs="楷体_GB2312"/>
          <w:color w:val="auto"/>
          <w:sz w:val="24"/>
          <w:lang w:val="zh-CN"/>
        </w:rPr>
        <w:t>）</w:t>
      </w:r>
      <w:r>
        <w:rPr>
          <w:rFonts w:hint="eastAsia"/>
          <w:color w:val="auto"/>
          <w:sz w:val="24"/>
        </w:rPr>
        <w:t>反商业贿赂承诺书。</w:t>
      </w:r>
    </w:p>
    <w:p>
      <w:pPr>
        <w:adjustRightInd w:val="0"/>
        <w:snapToGrid w:val="0"/>
        <w:spacing w:line="300" w:lineRule="auto"/>
        <w:ind w:firstLine="539"/>
        <w:rPr>
          <w:color w:val="auto"/>
          <w:sz w:val="24"/>
        </w:rPr>
      </w:pPr>
      <w:r>
        <w:rPr>
          <w:rFonts w:hint="eastAsia" w:ascii="宋体" w:hAnsi="宋体" w:cs="楷体_GB2312"/>
          <w:color w:val="auto"/>
          <w:sz w:val="24"/>
          <w:lang w:val="zh-CN"/>
        </w:rPr>
        <w:t>（</w:t>
      </w:r>
      <w:r>
        <w:rPr>
          <w:rFonts w:ascii="宋体" w:hAnsi="宋体" w:cs="楷体_GB2312"/>
          <w:color w:val="auto"/>
          <w:sz w:val="24"/>
          <w:lang w:val="zh-CN"/>
        </w:rPr>
        <w:t>9</w:t>
      </w:r>
      <w:r>
        <w:rPr>
          <w:rFonts w:hint="eastAsia" w:ascii="宋体" w:hAnsi="宋体" w:cs="楷体_GB2312"/>
          <w:color w:val="auto"/>
          <w:sz w:val="24"/>
          <w:lang w:val="zh-CN"/>
        </w:rPr>
        <w:t>）</w:t>
      </w:r>
      <w:r>
        <w:rPr>
          <w:rFonts w:hint="eastAsia"/>
          <w:color w:val="auto"/>
          <w:sz w:val="24"/>
        </w:rPr>
        <w:t>履约承诺书。</w:t>
      </w:r>
    </w:p>
    <w:p>
      <w:pPr>
        <w:widowControl w:val="0"/>
        <w:adjustRightInd w:val="0"/>
        <w:snapToGrid w:val="0"/>
        <w:spacing w:line="300" w:lineRule="auto"/>
        <w:ind w:firstLine="539"/>
        <w:textAlignment w:val="top"/>
        <w:rPr>
          <w:color w:val="auto"/>
          <w:sz w:val="24"/>
        </w:rPr>
      </w:pPr>
      <w:r>
        <w:rPr>
          <w:rFonts w:hint="eastAsia"/>
          <w:color w:val="auto"/>
          <w:sz w:val="24"/>
        </w:rPr>
        <w:t>（</w:t>
      </w:r>
      <w:r>
        <w:rPr>
          <w:color w:val="auto"/>
          <w:sz w:val="24"/>
        </w:rPr>
        <w:t>10</w:t>
      </w:r>
      <w:r>
        <w:rPr>
          <w:rFonts w:hint="eastAsia"/>
          <w:color w:val="auto"/>
          <w:sz w:val="24"/>
        </w:rPr>
        <w:t>）招标项目要求及采购需求所需的其他材料（按条款需要）</w:t>
      </w:r>
    </w:p>
    <w:p>
      <w:pPr>
        <w:widowControl w:val="0"/>
        <w:adjustRightInd w:val="0"/>
        <w:snapToGrid w:val="0"/>
        <w:spacing w:line="300" w:lineRule="auto"/>
        <w:ind w:firstLine="539"/>
        <w:textAlignment w:val="top"/>
        <w:rPr>
          <w:color w:val="auto"/>
          <w:sz w:val="24"/>
        </w:rPr>
      </w:pPr>
      <w:r>
        <w:rPr>
          <w:rFonts w:hint="eastAsia"/>
          <w:color w:val="auto"/>
          <w:sz w:val="24"/>
        </w:rPr>
        <w:t>（</w:t>
      </w:r>
      <w:r>
        <w:rPr>
          <w:color w:val="auto"/>
          <w:sz w:val="24"/>
        </w:rPr>
        <w:t>11</w:t>
      </w:r>
      <w:r>
        <w:rPr>
          <w:rFonts w:hint="eastAsia"/>
          <w:color w:val="auto"/>
          <w:sz w:val="24"/>
        </w:rPr>
        <w:t>）投标人须知所需的其他材料（按条款需要）</w:t>
      </w:r>
    </w:p>
    <w:p>
      <w:pPr>
        <w:widowControl w:val="0"/>
        <w:adjustRightInd w:val="0"/>
        <w:snapToGrid w:val="0"/>
        <w:spacing w:line="300" w:lineRule="auto"/>
        <w:ind w:firstLine="539"/>
        <w:textAlignment w:val="top"/>
        <w:rPr>
          <w:color w:val="auto"/>
          <w:sz w:val="24"/>
        </w:rPr>
      </w:pPr>
      <w:r>
        <w:rPr>
          <w:rFonts w:hint="eastAsia"/>
          <w:color w:val="auto"/>
          <w:sz w:val="24"/>
        </w:rPr>
        <w:t>（</w:t>
      </w:r>
      <w:r>
        <w:rPr>
          <w:color w:val="auto"/>
          <w:sz w:val="24"/>
        </w:rPr>
        <w:t>12</w:t>
      </w:r>
      <w:r>
        <w:rPr>
          <w:rFonts w:hint="eastAsia"/>
          <w:color w:val="auto"/>
          <w:sz w:val="24"/>
        </w:rPr>
        <w:t>）评标办法所需的其他材料（按条款需要）</w:t>
      </w:r>
    </w:p>
    <w:p>
      <w:pPr>
        <w:autoSpaceDE w:val="0"/>
        <w:autoSpaceDN w:val="0"/>
        <w:adjustRightInd w:val="0"/>
        <w:snapToGrid w:val="0"/>
        <w:spacing w:line="300" w:lineRule="auto"/>
        <w:ind w:firstLine="520" w:firstLineChars="217"/>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13</w:t>
      </w:r>
      <w:r>
        <w:rPr>
          <w:rFonts w:hint="eastAsia" w:ascii="宋体" w:hAnsi="宋体" w:cs="楷体_GB2312"/>
          <w:color w:val="auto"/>
          <w:sz w:val="24"/>
          <w:lang w:val="zh-CN"/>
        </w:rPr>
        <w:t>）</w:t>
      </w:r>
      <w:r>
        <w:rPr>
          <w:rFonts w:hint="eastAsia" w:ascii="宋体" w:hAnsi="宋体"/>
          <w:color w:val="auto"/>
          <w:sz w:val="24"/>
        </w:rPr>
        <w:t>投标人认为有必要提交的其它材料</w:t>
      </w:r>
    </w:p>
    <w:p>
      <w:pPr>
        <w:autoSpaceDE w:val="0"/>
        <w:autoSpaceDN w:val="0"/>
        <w:adjustRightInd w:val="0"/>
        <w:snapToGrid w:val="0"/>
        <w:spacing w:line="300" w:lineRule="auto"/>
        <w:ind w:firstLine="520" w:firstLineChars="217"/>
        <w:rPr>
          <w:rFonts w:ascii="宋体" w:hAnsi="宋体"/>
          <w:color w:val="auto"/>
          <w:sz w:val="24"/>
        </w:rPr>
      </w:pPr>
    </w:p>
    <w:p>
      <w:pPr>
        <w:adjustRightInd w:val="0"/>
        <w:snapToGrid w:val="0"/>
        <w:spacing w:beforeLines="50" w:line="300" w:lineRule="auto"/>
        <w:ind w:firstLine="539"/>
        <w:textAlignment w:val="top"/>
        <w:rPr>
          <w:rFonts w:ascii="黑体" w:hAnsi="黑体" w:eastAsia="黑体" w:cs="楷体_GB2312"/>
          <w:b/>
          <w:color w:val="auto"/>
          <w:sz w:val="24"/>
          <w:lang w:val="zh-CN"/>
        </w:rPr>
      </w:pPr>
      <w:r>
        <w:rPr>
          <w:rFonts w:hint="eastAsia" w:ascii="黑体" w:hAnsi="黑体" w:eastAsia="黑体" w:cs="楷体_GB2312"/>
          <w:b/>
          <w:color w:val="auto"/>
          <w:sz w:val="24"/>
          <w:lang w:val="zh-CN"/>
        </w:rPr>
        <w:t>资</w:t>
      </w:r>
      <w:r>
        <w:rPr>
          <w:rFonts w:ascii="黑体" w:hAnsi="黑体" w:eastAsia="黑体" w:cs="楷体_GB2312"/>
          <w:b/>
          <w:color w:val="auto"/>
          <w:sz w:val="24"/>
          <w:lang w:val="zh-CN"/>
        </w:rPr>
        <w:t>格性</w:t>
      </w:r>
      <w:r>
        <w:rPr>
          <w:rFonts w:hint="eastAsia" w:ascii="黑体" w:hAnsi="黑体" w:eastAsia="黑体" w:cs="楷体_GB2312"/>
          <w:b/>
          <w:color w:val="auto"/>
          <w:sz w:val="24"/>
          <w:lang w:val="zh-CN"/>
        </w:rPr>
        <w:t>证明文件</w:t>
      </w:r>
    </w:p>
    <w:p>
      <w:pPr>
        <w:adjustRightInd w:val="0"/>
        <w:snapToGrid w:val="0"/>
        <w:spacing w:line="300" w:lineRule="auto"/>
        <w:ind w:firstLine="539"/>
        <w:textAlignment w:val="top"/>
        <w:rPr>
          <w:color w:val="auto"/>
          <w:sz w:val="24"/>
        </w:rPr>
      </w:pPr>
      <w:r>
        <w:rPr>
          <w:rFonts w:hint="eastAsia" w:ascii="宋体" w:hAnsi="宋体" w:cs="楷体_GB2312"/>
          <w:color w:val="auto"/>
          <w:sz w:val="24"/>
          <w:lang w:val="zh-CN"/>
        </w:rPr>
        <w:t>（</w:t>
      </w:r>
      <w:r>
        <w:rPr>
          <w:rFonts w:ascii="宋体" w:hAnsi="宋体" w:cs="楷体_GB2312"/>
          <w:color w:val="auto"/>
          <w:sz w:val="24"/>
          <w:lang w:val="zh-CN"/>
        </w:rPr>
        <w:t>14</w:t>
      </w:r>
      <w:r>
        <w:rPr>
          <w:rFonts w:hint="eastAsia" w:ascii="宋体" w:hAnsi="宋体" w:cs="楷体_GB2312"/>
          <w:color w:val="auto"/>
          <w:sz w:val="24"/>
          <w:lang w:val="zh-CN"/>
        </w:rPr>
        <w:t>）</w:t>
      </w:r>
      <w:r>
        <w:rPr>
          <w:rFonts w:hint="eastAsia"/>
          <w:color w:val="auto"/>
          <w:sz w:val="24"/>
        </w:rPr>
        <w:t>关于资格的声明函</w:t>
      </w:r>
    </w:p>
    <w:p>
      <w:pPr>
        <w:autoSpaceDE w:val="0"/>
        <w:autoSpaceDN w:val="0"/>
        <w:adjustRightInd w:val="0"/>
        <w:snapToGrid w:val="0"/>
        <w:spacing w:line="300" w:lineRule="auto"/>
        <w:ind w:firstLine="520" w:firstLineChars="217"/>
        <w:rPr>
          <w:rFonts w:ascii="宋体" w:cs="楷体_GB2312"/>
          <w:color w:val="auto"/>
          <w:sz w:val="24"/>
          <w:lang w:val="zh-CN"/>
        </w:rPr>
      </w:pPr>
      <w:r>
        <w:rPr>
          <w:rFonts w:hint="eastAsia"/>
          <w:color w:val="auto"/>
          <w:sz w:val="24"/>
        </w:rPr>
        <w:t>（</w:t>
      </w:r>
      <w:r>
        <w:rPr>
          <w:color w:val="auto"/>
          <w:sz w:val="24"/>
        </w:rPr>
        <w:t>15</w:t>
      </w:r>
      <w:r>
        <w:rPr>
          <w:rFonts w:hint="eastAsia"/>
          <w:color w:val="auto"/>
          <w:sz w:val="24"/>
        </w:rPr>
        <w:t>）资格要求相关证明材料（文件）</w:t>
      </w:r>
    </w:p>
    <w:p>
      <w:pPr>
        <w:widowControl w:val="0"/>
        <w:snapToGrid w:val="0"/>
        <w:spacing w:line="360" w:lineRule="auto"/>
        <w:ind w:firstLine="578"/>
        <w:textAlignment w:val="top"/>
        <w:rPr>
          <w:color w:val="auto"/>
          <w:sz w:val="24"/>
          <w:szCs w:val="24"/>
        </w:rPr>
      </w:pPr>
    </w:p>
    <w:p>
      <w:pPr>
        <w:widowControl w:val="0"/>
        <w:numPr>
          <w:ilvl w:val="0"/>
          <w:numId w:val="3"/>
        </w:numPr>
        <w:snapToGrid w:val="0"/>
        <w:spacing w:line="360" w:lineRule="auto"/>
        <w:textAlignment w:val="top"/>
        <w:rPr>
          <w:color w:val="auto"/>
          <w:sz w:val="24"/>
          <w:szCs w:val="24"/>
        </w:rPr>
      </w:pPr>
      <w:r>
        <w:rPr>
          <w:rFonts w:hint="eastAsia"/>
          <w:color w:val="auto"/>
          <w:sz w:val="24"/>
          <w:szCs w:val="24"/>
        </w:rPr>
        <w:t>愿按照招标文件中规定的条款和要求，提供完成招标文件规定的全部工作，</w:t>
      </w:r>
    </w:p>
    <w:p>
      <w:pPr>
        <w:widowControl w:val="0"/>
        <w:snapToGrid w:val="0"/>
        <w:spacing w:line="360" w:lineRule="auto"/>
        <w:ind w:left="578"/>
        <w:textAlignment w:val="top"/>
        <w:rPr>
          <w:color w:val="auto"/>
          <w:sz w:val="24"/>
          <w:szCs w:val="24"/>
        </w:rPr>
      </w:pPr>
      <w:r>
        <w:rPr>
          <w:rFonts w:hint="eastAsia"/>
          <w:color w:val="auto"/>
          <w:sz w:val="24"/>
          <w:szCs w:val="24"/>
        </w:rPr>
        <w:t>包</w:t>
      </w:r>
      <w:r>
        <w:rPr>
          <w:rFonts w:hint="eastAsia"/>
          <w:color w:val="auto"/>
          <w:sz w:val="24"/>
          <w:szCs w:val="24"/>
          <w:u w:val="single"/>
        </w:rPr>
        <w:t xml:space="preserve">  </w:t>
      </w:r>
      <w:r>
        <w:rPr>
          <w:rFonts w:hint="eastAsia"/>
          <w:color w:val="auto"/>
          <w:sz w:val="24"/>
          <w:szCs w:val="24"/>
        </w:rPr>
        <w:t>投标总价为人民币（大写）</w:t>
      </w:r>
      <w:r>
        <w:rPr>
          <w:rFonts w:hint="eastAsia"/>
          <w:color w:val="auto"/>
          <w:sz w:val="24"/>
          <w:szCs w:val="24"/>
        </w:rPr>
        <w:tab/>
      </w:r>
      <w:r>
        <w:rPr>
          <w:rFonts w:hint="eastAsia"/>
          <w:color w:val="auto"/>
          <w:sz w:val="24"/>
          <w:szCs w:val="24"/>
        </w:rPr>
        <w:t xml:space="preserve">            ，（ RMB¥：       元 ），</w:t>
      </w:r>
    </w:p>
    <w:p>
      <w:pPr>
        <w:widowControl w:val="0"/>
        <w:snapToGrid w:val="0"/>
        <w:spacing w:line="360" w:lineRule="auto"/>
        <w:ind w:left="578"/>
        <w:textAlignment w:val="top"/>
        <w:rPr>
          <w:color w:val="auto"/>
          <w:sz w:val="24"/>
          <w:szCs w:val="24"/>
        </w:rPr>
      </w:pPr>
      <w:r>
        <w:rPr>
          <w:rFonts w:hint="eastAsia"/>
          <w:color w:val="auto"/>
          <w:sz w:val="24"/>
          <w:szCs w:val="24"/>
        </w:rPr>
        <w:t>交付（实施）期：</w:t>
      </w:r>
      <w:r>
        <w:rPr>
          <w:rFonts w:hint="eastAsia"/>
          <w:color w:val="auto"/>
          <w:sz w:val="24"/>
          <w:szCs w:val="24"/>
          <w:u w:val="single"/>
        </w:rPr>
        <w:t xml:space="preserve">             </w:t>
      </w:r>
      <w:r>
        <w:rPr>
          <w:rFonts w:hint="eastAsia"/>
          <w:color w:val="auto"/>
          <w:sz w:val="24"/>
          <w:szCs w:val="24"/>
        </w:rPr>
        <w:t>，交付（实施）地点：</w:t>
      </w:r>
      <w:r>
        <w:rPr>
          <w:rFonts w:hint="eastAsia"/>
          <w:color w:val="auto"/>
          <w:sz w:val="24"/>
          <w:szCs w:val="24"/>
          <w:u w:val="single"/>
        </w:rPr>
        <w:t xml:space="preserve">               </w:t>
      </w:r>
      <w:r>
        <w:rPr>
          <w:rFonts w:hint="eastAsia"/>
          <w:color w:val="auto"/>
          <w:sz w:val="24"/>
          <w:szCs w:val="24"/>
        </w:rPr>
        <w:t>。</w:t>
      </w:r>
    </w:p>
    <w:p>
      <w:pPr>
        <w:widowControl w:val="0"/>
        <w:snapToGrid w:val="0"/>
        <w:spacing w:line="360" w:lineRule="auto"/>
        <w:ind w:firstLine="578"/>
        <w:textAlignment w:val="top"/>
        <w:rPr>
          <w:color w:val="auto"/>
          <w:sz w:val="24"/>
          <w:szCs w:val="24"/>
        </w:rPr>
      </w:pPr>
      <w:r>
        <w:rPr>
          <w:rFonts w:hint="eastAsia"/>
          <w:color w:val="auto"/>
          <w:sz w:val="24"/>
          <w:szCs w:val="24"/>
        </w:rPr>
        <w:t>2.如果我们的投标文件被接受，我们将履行招标文件中规定的每一项要求，按期、按质、按量履行合同。</w:t>
      </w:r>
    </w:p>
    <w:p>
      <w:pPr>
        <w:widowControl w:val="0"/>
        <w:snapToGrid w:val="0"/>
        <w:spacing w:line="360" w:lineRule="auto"/>
        <w:ind w:firstLine="578"/>
        <w:textAlignment w:val="top"/>
        <w:rPr>
          <w:color w:val="auto"/>
          <w:sz w:val="24"/>
          <w:szCs w:val="24"/>
        </w:rPr>
      </w:pPr>
      <w:r>
        <w:rPr>
          <w:rFonts w:hint="eastAsia"/>
          <w:color w:val="auto"/>
          <w:sz w:val="24"/>
          <w:szCs w:val="24"/>
        </w:rPr>
        <w:t>3.我们已详细阅读全部招标文件，包括修改文件以及全部参考资料和有关附件。我们完全理解并同意放弃对这方面有不明及误解的权力。</w:t>
      </w:r>
    </w:p>
    <w:p>
      <w:pPr>
        <w:widowControl w:val="0"/>
        <w:snapToGrid w:val="0"/>
        <w:spacing w:line="360" w:lineRule="auto"/>
        <w:ind w:firstLine="578"/>
        <w:textAlignment w:val="top"/>
        <w:rPr>
          <w:color w:val="auto"/>
          <w:sz w:val="24"/>
          <w:szCs w:val="24"/>
        </w:rPr>
      </w:pPr>
      <w:r>
        <w:rPr>
          <w:rFonts w:hint="eastAsia"/>
          <w:color w:val="auto"/>
          <w:sz w:val="24"/>
          <w:szCs w:val="24"/>
        </w:rPr>
        <w:t>4.我们同意提供按照贵方可能要求的与其投标有关的一切数据或资料，理解贵方不一定要接受最低价的投标或收到的任何投标。</w:t>
      </w:r>
    </w:p>
    <w:p>
      <w:pPr>
        <w:widowControl w:val="0"/>
        <w:snapToGrid w:val="0"/>
        <w:spacing w:line="360" w:lineRule="auto"/>
        <w:ind w:firstLine="578"/>
        <w:textAlignment w:val="top"/>
        <w:rPr>
          <w:color w:val="auto"/>
          <w:sz w:val="24"/>
          <w:szCs w:val="24"/>
        </w:rPr>
      </w:pPr>
      <w:r>
        <w:rPr>
          <w:rFonts w:hint="eastAsia"/>
          <w:color w:val="auto"/>
          <w:sz w:val="24"/>
          <w:szCs w:val="24"/>
        </w:rPr>
        <w:t>5.本投标自开标日起有效期为90日历天。</w:t>
      </w:r>
    </w:p>
    <w:p>
      <w:pPr>
        <w:widowControl w:val="0"/>
        <w:snapToGrid w:val="0"/>
        <w:spacing w:line="360" w:lineRule="auto"/>
        <w:ind w:firstLine="578"/>
        <w:textAlignment w:val="top"/>
        <w:rPr>
          <w:color w:val="auto"/>
          <w:sz w:val="24"/>
          <w:szCs w:val="24"/>
        </w:rPr>
      </w:pPr>
      <w:r>
        <w:rPr>
          <w:rFonts w:hint="eastAsia"/>
          <w:color w:val="auto"/>
          <w:sz w:val="24"/>
          <w:szCs w:val="24"/>
        </w:rPr>
        <w:t>6.我们愿按《中华人民共和国民法典》履行其的全部责任。</w:t>
      </w:r>
    </w:p>
    <w:p>
      <w:pPr>
        <w:widowControl w:val="0"/>
        <w:snapToGrid w:val="0"/>
        <w:spacing w:line="360" w:lineRule="auto"/>
        <w:ind w:firstLine="578"/>
        <w:textAlignment w:val="top"/>
        <w:rPr>
          <w:color w:val="auto"/>
          <w:sz w:val="24"/>
          <w:szCs w:val="24"/>
        </w:rPr>
      </w:pPr>
      <w:r>
        <w:rPr>
          <w:rFonts w:hint="eastAsia"/>
          <w:color w:val="auto"/>
          <w:sz w:val="24"/>
          <w:szCs w:val="24"/>
        </w:rPr>
        <w:t>7.</w:t>
      </w:r>
      <w:r>
        <w:rPr>
          <w:rFonts w:hint="eastAsia"/>
          <w:color w:val="auto"/>
        </w:rPr>
        <w:t xml:space="preserve"> </w:t>
      </w:r>
      <w:r>
        <w:rPr>
          <w:rFonts w:hint="eastAsia"/>
          <w:color w:val="auto"/>
          <w:sz w:val="24"/>
          <w:szCs w:val="24"/>
        </w:rPr>
        <w:t>我们承诺按照《招标文件》规定的付款方式执行。</w:t>
      </w:r>
    </w:p>
    <w:p>
      <w:pPr>
        <w:widowControl w:val="0"/>
        <w:snapToGrid w:val="0"/>
        <w:spacing w:line="360" w:lineRule="auto"/>
        <w:ind w:firstLine="578"/>
        <w:textAlignment w:val="top"/>
        <w:rPr>
          <w:color w:val="auto"/>
          <w:sz w:val="24"/>
          <w:szCs w:val="24"/>
        </w:rPr>
      </w:pPr>
      <w:r>
        <w:rPr>
          <w:rFonts w:hint="eastAsia"/>
          <w:color w:val="auto"/>
          <w:sz w:val="24"/>
          <w:szCs w:val="24"/>
        </w:rPr>
        <w:t>8.如果在规定的开标时间后，我单位在投标有效期内撤回投标的，依据招标文件“第三章3.5.5 违背承诺的责任追究措施”，我单位承担相应法律责任及违约责任。</w:t>
      </w:r>
    </w:p>
    <w:p>
      <w:pPr>
        <w:widowControl w:val="0"/>
        <w:snapToGrid w:val="0"/>
        <w:spacing w:line="360" w:lineRule="auto"/>
        <w:ind w:firstLine="578"/>
        <w:textAlignment w:val="top"/>
        <w:rPr>
          <w:color w:val="auto"/>
          <w:sz w:val="24"/>
          <w:szCs w:val="24"/>
        </w:rPr>
      </w:pPr>
      <w:r>
        <w:rPr>
          <w:rFonts w:hint="eastAsia"/>
          <w:color w:val="auto"/>
          <w:sz w:val="24"/>
          <w:szCs w:val="24"/>
        </w:rPr>
        <w:t>与本投标有关的一切正式往来请寄：</w:t>
      </w:r>
    </w:p>
    <w:p>
      <w:pPr>
        <w:widowControl w:val="0"/>
        <w:snapToGrid w:val="0"/>
        <w:spacing w:line="360" w:lineRule="auto"/>
        <w:ind w:firstLine="578"/>
        <w:textAlignment w:val="top"/>
        <w:rPr>
          <w:color w:val="auto"/>
          <w:sz w:val="24"/>
          <w:szCs w:val="24"/>
        </w:rPr>
      </w:pPr>
    </w:p>
    <w:p>
      <w:pPr>
        <w:widowControl w:val="0"/>
        <w:snapToGrid w:val="0"/>
        <w:spacing w:line="360" w:lineRule="auto"/>
        <w:ind w:firstLine="578"/>
        <w:textAlignment w:val="top"/>
        <w:rPr>
          <w:color w:val="auto"/>
          <w:sz w:val="24"/>
          <w:szCs w:val="24"/>
        </w:rPr>
      </w:pPr>
      <w:r>
        <w:rPr>
          <w:rFonts w:hint="eastAsia"/>
          <w:color w:val="auto"/>
          <w:sz w:val="24"/>
          <w:szCs w:val="24"/>
        </w:rPr>
        <w:t>地址：</w:t>
      </w:r>
      <w:r>
        <w:rPr>
          <w:rFonts w:hint="eastAsia"/>
          <w:color w:val="auto"/>
          <w:sz w:val="24"/>
          <w:szCs w:val="24"/>
        </w:rPr>
        <w:tab/>
      </w:r>
      <w:r>
        <w:rPr>
          <w:rFonts w:hint="eastAsia"/>
          <w:color w:val="auto"/>
          <w:sz w:val="24"/>
          <w:szCs w:val="24"/>
        </w:rPr>
        <w:tab/>
      </w:r>
      <w:r>
        <w:rPr>
          <w:rFonts w:hint="eastAsia"/>
          <w:color w:val="auto"/>
          <w:sz w:val="24"/>
          <w:szCs w:val="24"/>
        </w:rPr>
        <w:t xml:space="preserve">                       邮政编码：       </w:t>
      </w:r>
    </w:p>
    <w:p>
      <w:pPr>
        <w:widowControl w:val="0"/>
        <w:snapToGrid w:val="0"/>
        <w:spacing w:line="360" w:lineRule="auto"/>
        <w:ind w:firstLine="578"/>
        <w:textAlignment w:val="top"/>
        <w:rPr>
          <w:color w:val="auto"/>
          <w:sz w:val="24"/>
          <w:szCs w:val="24"/>
        </w:rPr>
      </w:pPr>
      <w:r>
        <w:rPr>
          <w:rFonts w:hint="eastAsia"/>
          <w:color w:val="auto"/>
          <w:sz w:val="24"/>
          <w:szCs w:val="24"/>
        </w:rPr>
        <w:t>电话：</w:t>
      </w:r>
      <w:r>
        <w:rPr>
          <w:rFonts w:hint="eastAsia"/>
          <w:color w:val="auto"/>
          <w:sz w:val="24"/>
          <w:szCs w:val="24"/>
        </w:rPr>
        <w:tab/>
      </w:r>
      <w:r>
        <w:rPr>
          <w:rFonts w:hint="eastAsia"/>
          <w:color w:val="auto"/>
          <w:sz w:val="24"/>
          <w:szCs w:val="24"/>
        </w:rPr>
        <w:tab/>
      </w:r>
      <w:r>
        <w:rPr>
          <w:rFonts w:hint="eastAsia"/>
          <w:color w:val="auto"/>
          <w:sz w:val="24"/>
          <w:szCs w:val="24"/>
        </w:rPr>
        <w:t xml:space="preserve">                       传真：</w:t>
      </w:r>
    </w:p>
    <w:p>
      <w:pPr>
        <w:widowControl w:val="0"/>
        <w:snapToGrid w:val="0"/>
        <w:spacing w:line="360" w:lineRule="auto"/>
        <w:ind w:firstLine="578"/>
        <w:textAlignment w:val="top"/>
        <w:rPr>
          <w:color w:val="auto"/>
          <w:sz w:val="24"/>
          <w:szCs w:val="24"/>
        </w:rPr>
      </w:pPr>
      <w:r>
        <w:rPr>
          <w:rFonts w:hint="eastAsia"/>
          <w:color w:val="auto"/>
          <w:sz w:val="24"/>
          <w:szCs w:val="24"/>
        </w:rPr>
        <w:t>日期：</w:t>
      </w:r>
    </w:p>
    <w:p>
      <w:pPr>
        <w:widowControl w:val="0"/>
        <w:snapToGrid w:val="0"/>
        <w:spacing w:line="360" w:lineRule="auto"/>
        <w:textAlignment w:val="top"/>
        <w:rPr>
          <w:color w:val="auto"/>
          <w:sz w:val="24"/>
          <w:szCs w:val="24"/>
        </w:rPr>
      </w:pPr>
    </w:p>
    <w:p>
      <w:pPr>
        <w:widowControl w:val="0"/>
        <w:snapToGrid w:val="0"/>
        <w:spacing w:line="360" w:lineRule="auto"/>
        <w:textAlignment w:val="top"/>
        <w:rPr>
          <w:color w:val="auto"/>
          <w:sz w:val="24"/>
          <w:szCs w:val="24"/>
        </w:rPr>
      </w:pPr>
      <w:r>
        <w:rPr>
          <w:rFonts w:hint="eastAsia"/>
          <w:color w:val="auto"/>
          <w:sz w:val="24"/>
          <w:szCs w:val="24"/>
        </w:rPr>
        <w:t>投标人（电子签章）：</w:t>
      </w:r>
    </w:p>
    <w:p>
      <w:pPr>
        <w:widowControl w:val="0"/>
        <w:snapToGrid w:val="0"/>
        <w:spacing w:line="360" w:lineRule="auto"/>
        <w:textAlignment w:val="top"/>
        <w:rPr>
          <w:color w:val="auto"/>
          <w:sz w:val="24"/>
          <w:szCs w:val="24"/>
        </w:rPr>
      </w:pPr>
      <w:r>
        <w:rPr>
          <w:rFonts w:hint="eastAsia"/>
          <w:color w:val="auto"/>
          <w:sz w:val="24"/>
          <w:szCs w:val="24"/>
        </w:rPr>
        <w:t>法定代表人（电子签名）：</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widowControl w:val="0"/>
        <w:snapToGrid w:val="0"/>
        <w:spacing w:line="360" w:lineRule="auto"/>
        <w:textAlignment w:val="top"/>
        <w:rPr>
          <w:color w:val="auto"/>
          <w:sz w:val="24"/>
          <w:szCs w:val="24"/>
        </w:rPr>
      </w:pPr>
    </w:p>
    <w:p>
      <w:pPr>
        <w:widowControl w:val="0"/>
        <w:snapToGrid w:val="0"/>
        <w:spacing w:line="560" w:lineRule="exact"/>
        <w:jc w:val="center"/>
        <w:rPr>
          <w:rFonts w:eastAsia="方正黑体简体"/>
          <w:b/>
          <w:color w:val="auto"/>
          <w:sz w:val="30"/>
          <w:szCs w:val="30"/>
        </w:rPr>
      </w:pPr>
      <w:r>
        <w:rPr>
          <w:rFonts w:eastAsia="方正黑体简体"/>
          <w:b/>
          <w:color w:val="auto"/>
          <w:sz w:val="30"/>
          <w:szCs w:val="30"/>
        </w:rPr>
        <w:br w:type="page"/>
      </w:r>
    </w:p>
    <w:p>
      <w:pPr>
        <w:widowControl w:val="0"/>
        <w:snapToGrid w:val="0"/>
        <w:spacing w:line="560" w:lineRule="exact"/>
        <w:jc w:val="center"/>
        <w:rPr>
          <w:rFonts w:eastAsia="方正黑体简体"/>
          <w:b/>
          <w:color w:val="auto"/>
          <w:sz w:val="30"/>
          <w:szCs w:val="30"/>
        </w:rPr>
      </w:pPr>
      <w:r>
        <w:rPr>
          <w:rFonts w:hint="eastAsia" w:eastAsia="方正黑体简体"/>
          <w:b/>
          <w:color w:val="auto"/>
          <w:sz w:val="30"/>
          <w:szCs w:val="30"/>
        </w:rPr>
        <w:t>2、开标一览表</w:t>
      </w:r>
    </w:p>
    <w:p>
      <w:pPr>
        <w:pStyle w:val="16"/>
        <w:adjustRightInd w:val="0"/>
        <w:snapToGrid w:val="0"/>
        <w:spacing w:before="0" w:beforeAutospacing="0" w:after="0" w:afterAutospacing="0"/>
        <w:rPr>
          <w:color w:val="auto"/>
        </w:rPr>
      </w:pPr>
    </w:p>
    <w:p>
      <w:pPr>
        <w:widowControl w:val="0"/>
        <w:snapToGrid w:val="0"/>
        <w:spacing w:line="560" w:lineRule="exact"/>
        <w:ind w:firstLine="482" w:firstLineChars="200"/>
        <w:jc w:val="left"/>
        <w:rPr>
          <w:b/>
          <w:color w:val="auto"/>
          <w:sz w:val="28"/>
        </w:rPr>
      </w:pPr>
      <w:r>
        <w:rPr>
          <w:rFonts w:hint="eastAsia"/>
          <w:b/>
          <w:color w:val="auto"/>
          <w:sz w:val="24"/>
          <w:szCs w:val="24"/>
        </w:rPr>
        <w:t>注：投标人需在“安阳市政府采购投标文件编制系统”中、按系统要求填列开标一览表，系统中填列的开标一览表为投标人《投标文件》的一部分。</w:t>
      </w:r>
    </w:p>
    <w:p>
      <w:pPr>
        <w:widowControl w:val="0"/>
        <w:snapToGrid w:val="0"/>
        <w:spacing w:line="560" w:lineRule="exact"/>
        <w:rPr>
          <w:rFonts w:eastAsia="方正黑体简体"/>
          <w:b/>
          <w:color w:val="auto"/>
          <w:sz w:val="30"/>
          <w:szCs w:val="30"/>
        </w:rPr>
      </w:pPr>
    </w:p>
    <w:p>
      <w:pPr>
        <w:widowControl w:val="0"/>
        <w:snapToGrid w:val="0"/>
        <w:spacing w:line="560" w:lineRule="exact"/>
        <w:jc w:val="center"/>
        <w:rPr>
          <w:rFonts w:eastAsia="方正黑体简体"/>
          <w:b/>
          <w:color w:val="auto"/>
          <w:sz w:val="30"/>
          <w:szCs w:val="30"/>
        </w:rPr>
      </w:pPr>
    </w:p>
    <w:p>
      <w:pPr>
        <w:widowControl w:val="0"/>
        <w:snapToGrid w:val="0"/>
        <w:spacing w:line="560" w:lineRule="exact"/>
        <w:ind w:firstLine="482" w:firstLineChars="200"/>
        <w:jc w:val="left"/>
        <w:rPr>
          <w:b/>
          <w:color w:val="auto"/>
          <w:sz w:val="24"/>
          <w:szCs w:val="24"/>
        </w:rPr>
      </w:pPr>
      <w:r>
        <w:rPr>
          <w:rFonts w:hint="eastAsia"/>
          <w:b/>
          <w:color w:val="auto"/>
          <w:sz w:val="24"/>
          <w:szCs w:val="24"/>
        </w:rPr>
        <w:t>基于电子化交易的特点，投标人上传解密后的《开标一览表》、《分项报价表》、《符合性响应文件》、《资格性证明文件》，构成《投标文件》的组成部分。</w:t>
      </w:r>
    </w:p>
    <w:p>
      <w:pPr>
        <w:widowControl w:val="0"/>
        <w:snapToGrid w:val="0"/>
        <w:spacing w:line="560" w:lineRule="exact"/>
        <w:ind w:firstLine="482" w:firstLineChars="200"/>
        <w:jc w:val="left"/>
        <w:rPr>
          <w:b/>
          <w:color w:val="auto"/>
          <w:sz w:val="24"/>
          <w:szCs w:val="24"/>
        </w:rPr>
      </w:pPr>
      <w:r>
        <w:rPr>
          <w:rFonts w:hint="eastAsia"/>
          <w:b/>
          <w:color w:val="auto"/>
          <w:sz w:val="24"/>
          <w:szCs w:val="24"/>
        </w:rPr>
        <w:t>《开标一览表》、《分项报价表》无需另行填列。</w:t>
      </w:r>
      <w:r>
        <w:rPr>
          <w:b/>
          <w:color w:val="auto"/>
          <w:sz w:val="24"/>
          <w:szCs w:val="24"/>
        </w:rPr>
        <w:br w:type="page"/>
      </w:r>
    </w:p>
    <w:p>
      <w:pPr>
        <w:widowControl w:val="0"/>
        <w:snapToGrid w:val="0"/>
        <w:spacing w:line="560" w:lineRule="exact"/>
        <w:jc w:val="center"/>
        <w:rPr>
          <w:rFonts w:ascii="黑体" w:hAnsi="黑体" w:eastAsia="黑体"/>
          <w:color w:val="auto"/>
          <w:sz w:val="28"/>
        </w:rPr>
      </w:pPr>
      <w:r>
        <w:rPr>
          <w:rFonts w:hint="eastAsia" w:ascii="黑体" w:hAnsi="黑体" w:eastAsia="黑体"/>
          <w:b/>
          <w:color w:val="auto"/>
          <w:sz w:val="30"/>
          <w:szCs w:val="30"/>
        </w:rPr>
        <w:t>3、分项报价</w:t>
      </w:r>
    </w:p>
    <w:p>
      <w:pPr>
        <w:widowControl w:val="0"/>
        <w:snapToGrid w:val="0"/>
        <w:spacing w:line="560" w:lineRule="exact"/>
        <w:jc w:val="left"/>
        <w:rPr>
          <w:color w:val="auto"/>
          <w:sz w:val="28"/>
        </w:rPr>
      </w:pPr>
    </w:p>
    <w:p>
      <w:pPr>
        <w:widowControl w:val="0"/>
        <w:snapToGrid w:val="0"/>
        <w:spacing w:line="560" w:lineRule="exact"/>
        <w:jc w:val="left"/>
        <w:rPr>
          <w:b/>
          <w:color w:val="auto"/>
          <w:sz w:val="24"/>
          <w:szCs w:val="24"/>
        </w:rPr>
      </w:pPr>
    </w:p>
    <w:p>
      <w:pPr>
        <w:widowControl w:val="0"/>
        <w:snapToGrid w:val="0"/>
        <w:spacing w:line="560" w:lineRule="exact"/>
        <w:ind w:firstLine="482" w:firstLineChars="200"/>
        <w:jc w:val="left"/>
        <w:rPr>
          <w:b/>
          <w:color w:val="auto"/>
          <w:sz w:val="28"/>
        </w:rPr>
      </w:pPr>
      <w:r>
        <w:rPr>
          <w:rFonts w:hint="eastAsia"/>
          <w:b/>
          <w:color w:val="auto"/>
          <w:sz w:val="24"/>
          <w:szCs w:val="24"/>
        </w:rPr>
        <w:t>注：投标人需在“安阳市政府采购投标文件编制系统”中、按系统要求填列分项报价，系统中填列的分项报价为投标人《投标文件》的一部分。</w:t>
      </w:r>
    </w:p>
    <w:p>
      <w:pPr>
        <w:spacing w:line="240" w:lineRule="auto"/>
        <w:jc w:val="center"/>
        <w:textAlignment w:val="auto"/>
        <w:rPr>
          <w:rFonts w:eastAsia="方正黑体简体"/>
          <w:b/>
          <w:color w:val="auto"/>
          <w:sz w:val="30"/>
          <w:szCs w:val="30"/>
        </w:rPr>
      </w:pPr>
    </w:p>
    <w:p>
      <w:pPr>
        <w:spacing w:line="240" w:lineRule="auto"/>
        <w:textAlignment w:val="auto"/>
        <w:rPr>
          <w:rFonts w:eastAsia="方正黑体简体"/>
          <w:b/>
          <w:color w:val="auto"/>
          <w:sz w:val="30"/>
          <w:szCs w:val="30"/>
        </w:rPr>
      </w:pPr>
    </w:p>
    <w:p>
      <w:pPr>
        <w:widowControl w:val="0"/>
        <w:snapToGrid w:val="0"/>
        <w:spacing w:line="560" w:lineRule="exact"/>
        <w:ind w:firstLine="482" w:firstLineChars="200"/>
        <w:jc w:val="left"/>
        <w:rPr>
          <w:b/>
          <w:color w:val="auto"/>
          <w:sz w:val="24"/>
          <w:szCs w:val="24"/>
        </w:rPr>
      </w:pPr>
      <w:r>
        <w:rPr>
          <w:rFonts w:hint="eastAsia"/>
          <w:b/>
          <w:color w:val="auto"/>
          <w:sz w:val="24"/>
          <w:szCs w:val="24"/>
        </w:rPr>
        <w:t>基于电子化交易的特点，投标人上传解密后的《开标一览表》、《分项报价表》、《符合性响应文件》、《资格性证明文件》，构成《投标文件》的组成部分。</w:t>
      </w:r>
    </w:p>
    <w:p>
      <w:pPr>
        <w:widowControl w:val="0"/>
        <w:snapToGrid w:val="0"/>
        <w:spacing w:line="560" w:lineRule="exact"/>
        <w:ind w:firstLine="482" w:firstLineChars="200"/>
        <w:jc w:val="left"/>
        <w:rPr>
          <w:rFonts w:eastAsia="方正黑体简体"/>
          <w:b/>
          <w:color w:val="auto"/>
          <w:sz w:val="30"/>
          <w:szCs w:val="30"/>
        </w:rPr>
      </w:pPr>
      <w:r>
        <w:rPr>
          <w:rFonts w:hint="eastAsia"/>
          <w:b/>
          <w:color w:val="auto"/>
          <w:sz w:val="24"/>
          <w:szCs w:val="24"/>
        </w:rPr>
        <w:t>《开标一览表》、《分项报价表》无需另行填列。</w:t>
      </w:r>
      <w:r>
        <w:rPr>
          <w:rFonts w:eastAsia="方正黑体简体"/>
          <w:b/>
          <w:color w:val="auto"/>
          <w:sz w:val="30"/>
          <w:szCs w:val="30"/>
        </w:rPr>
        <w:br w:type="page"/>
      </w:r>
    </w:p>
    <w:p>
      <w:pPr>
        <w:spacing w:line="240" w:lineRule="auto"/>
        <w:jc w:val="center"/>
        <w:textAlignment w:val="auto"/>
        <w:rPr>
          <w:rFonts w:ascii="Adobe 宋体 Std L" w:hAnsi="Adobe 宋体 Std L" w:eastAsia="Adobe 宋体 Std L"/>
          <w:color w:val="auto"/>
          <w:sz w:val="30"/>
          <w:szCs w:val="30"/>
        </w:rPr>
      </w:pPr>
      <w:r>
        <w:rPr>
          <w:rFonts w:hint="eastAsia" w:eastAsia="方正黑体简体"/>
          <w:b/>
          <w:color w:val="auto"/>
          <w:sz w:val="30"/>
          <w:szCs w:val="30"/>
        </w:rPr>
        <w:t>4</w:t>
      </w:r>
      <w:r>
        <w:rPr>
          <w:rFonts w:hint="eastAsia" w:ascii="Adobe 宋体 Std L" w:hAnsi="Adobe 宋体 Std L" w:eastAsia="Adobe 宋体 Std L"/>
          <w:b/>
          <w:color w:val="auto"/>
          <w:sz w:val="30"/>
          <w:szCs w:val="30"/>
        </w:rPr>
        <w:t>、</w:t>
      </w:r>
      <w:r>
        <w:rPr>
          <w:rFonts w:hint="eastAsia" w:eastAsia="方正黑体简体"/>
          <w:b/>
          <w:color w:val="auto"/>
          <w:sz w:val="30"/>
          <w:szCs w:val="30"/>
        </w:rPr>
        <w:t>投标产品清单及具体技术参数</w:t>
      </w:r>
    </w:p>
    <w:p>
      <w:pPr>
        <w:pStyle w:val="16"/>
        <w:adjustRightInd w:val="0"/>
        <w:snapToGrid w:val="0"/>
        <w:spacing w:before="0" w:beforeAutospacing="0" w:after="0" w:afterAutospacing="0"/>
        <w:rPr>
          <w:color w:val="auto"/>
        </w:rPr>
      </w:pPr>
    </w:p>
    <w:p>
      <w:pPr>
        <w:pStyle w:val="16"/>
        <w:adjustRightInd w:val="0"/>
        <w:snapToGrid w:val="0"/>
        <w:spacing w:before="0" w:beforeAutospacing="0" w:after="0" w:afterAutospacing="0"/>
        <w:rPr>
          <w:color w:val="auto"/>
          <w:u w:val="single"/>
        </w:rPr>
      </w:pPr>
      <w:r>
        <w:rPr>
          <w:rFonts w:hint="eastAsia"/>
          <w:color w:val="auto"/>
        </w:rPr>
        <w:t>项目名称：</w:t>
      </w:r>
      <w:r>
        <w:rPr>
          <w:color w:val="auto"/>
          <w:u w:val="single"/>
        </w:rPr>
        <w:t xml:space="preserve">                             </w:t>
      </w:r>
    </w:p>
    <w:p>
      <w:pPr>
        <w:pStyle w:val="16"/>
        <w:adjustRightInd w:val="0"/>
        <w:snapToGrid w:val="0"/>
        <w:spacing w:before="0" w:beforeAutospacing="0" w:after="0" w:afterAutospacing="0"/>
        <w:rPr>
          <w:color w:val="auto"/>
        </w:rPr>
      </w:pPr>
      <w:r>
        <w:rPr>
          <w:rFonts w:hint="eastAsia"/>
          <w:color w:val="auto"/>
        </w:rPr>
        <w:t>项目编号：</w:t>
      </w:r>
      <w:r>
        <w:rPr>
          <w:color w:val="auto"/>
          <w:u w:val="single"/>
        </w:rPr>
        <w:t xml:space="preserve">                             </w:t>
      </w:r>
    </w:p>
    <w:tbl>
      <w:tblPr>
        <w:tblStyle w:val="19"/>
        <w:tblW w:w="10043"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0"/>
        <w:gridCol w:w="1625"/>
        <w:gridCol w:w="540"/>
        <w:gridCol w:w="540"/>
        <w:gridCol w:w="1046"/>
        <w:gridCol w:w="2085"/>
        <w:gridCol w:w="1515"/>
        <w:gridCol w:w="79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trPr>
        <w:tc>
          <w:tcPr>
            <w:tcW w:w="480" w:type="dxa"/>
            <w:tcBorders>
              <w:top w:val="single" w:color="000000" w:sz="8" w:space="0"/>
              <w:bottom w:val="single" w:color="000000" w:sz="4" w:space="0"/>
              <w:right w:val="single" w:color="000000" w:sz="4" w:space="0"/>
            </w:tcBorders>
            <w:vAlign w:val="center"/>
          </w:tcPr>
          <w:p>
            <w:pPr>
              <w:spacing w:line="360" w:lineRule="exact"/>
              <w:jc w:val="center"/>
              <w:rPr>
                <w:color w:val="auto"/>
                <w:sz w:val="28"/>
              </w:rPr>
            </w:pPr>
            <w:r>
              <w:rPr>
                <w:rFonts w:hint="eastAsia"/>
                <w:color w:val="auto"/>
              </w:rPr>
              <w:t>序号</w:t>
            </w:r>
          </w:p>
        </w:tc>
        <w:tc>
          <w:tcPr>
            <w:tcW w:w="1625" w:type="dxa"/>
            <w:tcBorders>
              <w:top w:val="single" w:color="000000" w:sz="8" w:space="0"/>
              <w:bottom w:val="single" w:color="000000" w:sz="4" w:space="0"/>
              <w:right w:val="single" w:color="000000" w:sz="4" w:space="0"/>
            </w:tcBorders>
            <w:vAlign w:val="center"/>
          </w:tcPr>
          <w:p>
            <w:pPr>
              <w:widowControl w:val="0"/>
              <w:snapToGrid w:val="0"/>
              <w:spacing w:line="360" w:lineRule="exact"/>
              <w:jc w:val="center"/>
              <w:rPr>
                <w:color w:val="auto"/>
                <w:sz w:val="28"/>
              </w:rPr>
            </w:pPr>
            <w:r>
              <w:rPr>
                <w:rFonts w:hint="eastAsia"/>
                <w:color w:val="auto"/>
              </w:rPr>
              <w:t>产品名称</w:t>
            </w:r>
          </w:p>
        </w:tc>
        <w:tc>
          <w:tcPr>
            <w:tcW w:w="540" w:type="dxa"/>
            <w:tcBorders>
              <w:top w:val="single" w:color="000000" w:sz="8" w:space="0"/>
              <w:bottom w:val="single" w:color="000000" w:sz="4" w:space="0"/>
              <w:right w:val="single" w:color="000000" w:sz="4" w:space="0"/>
            </w:tcBorders>
            <w:vAlign w:val="center"/>
          </w:tcPr>
          <w:p>
            <w:pPr>
              <w:spacing w:line="360" w:lineRule="exact"/>
              <w:jc w:val="center"/>
              <w:rPr>
                <w:color w:val="auto"/>
                <w:sz w:val="28"/>
              </w:rPr>
            </w:pPr>
            <w:r>
              <w:rPr>
                <w:rFonts w:hint="eastAsia"/>
                <w:color w:val="auto"/>
              </w:rPr>
              <w:t>单位</w:t>
            </w:r>
          </w:p>
        </w:tc>
        <w:tc>
          <w:tcPr>
            <w:tcW w:w="540" w:type="dxa"/>
            <w:tcBorders>
              <w:top w:val="single" w:color="000000" w:sz="8" w:space="0"/>
              <w:bottom w:val="single" w:color="000000" w:sz="4" w:space="0"/>
              <w:right w:val="single" w:color="000000" w:sz="4" w:space="0"/>
            </w:tcBorders>
            <w:vAlign w:val="center"/>
          </w:tcPr>
          <w:p>
            <w:pPr>
              <w:spacing w:line="360" w:lineRule="exact"/>
              <w:jc w:val="center"/>
              <w:rPr>
                <w:color w:val="auto"/>
                <w:sz w:val="28"/>
              </w:rPr>
            </w:pPr>
            <w:r>
              <w:rPr>
                <w:rFonts w:hint="eastAsia"/>
                <w:color w:val="auto"/>
              </w:rPr>
              <w:t>数量</w:t>
            </w:r>
          </w:p>
        </w:tc>
        <w:tc>
          <w:tcPr>
            <w:tcW w:w="1046" w:type="dxa"/>
            <w:tcBorders>
              <w:top w:val="single" w:color="000000" w:sz="8" w:space="0"/>
              <w:bottom w:val="single" w:color="000000" w:sz="4" w:space="0"/>
              <w:right w:val="single" w:color="000000" w:sz="4" w:space="0"/>
            </w:tcBorders>
            <w:vAlign w:val="center"/>
          </w:tcPr>
          <w:p>
            <w:pPr>
              <w:spacing w:line="360" w:lineRule="exact"/>
              <w:jc w:val="center"/>
              <w:rPr>
                <w:color w:val="auto"/>
                <w:sz w:val="28"/>
              </w:rPr>
            </w:pPr>
            <w:r>
              <w:rPr>
                <w:rFonts w:hint="eastAsia"/>
                <w:color w:val="auto"/>
              </w:rPr>
              <w:t>品牌型号</w:t>
            </w:r>
          </w:p>
        </w:tc>
        <w:tc>
          <w:tcPr>
            <w:tcW w:w="2085" w:type="dxa"/>
            <w:tcBorders>
              <w:top w:val="single" w:color="000000" w:sz="8" w:space="0"/>
              <w:bottom w:val="single" w:color="000000" w:sz="4" w:space="0"/>
              <w:right w:val="single" w:color="000000" w:sz="4" w:space="0"/>
            </w:tcBorders>
            <w:vAlign w:val="center"/>
          </w:tcPr>
          <w:p>
            <w:pPr>
              <w:spacing w:line="360" w:lineRule="exact"/>
              <w:jc w:val="center"/>
              <w:rPr>
                <w:color w:val="auto"/>
                <w:sz w:val="28"/>
              </w:rPr>
            </w:pPr>
            <w:r>
              <w:rPr>
                <w:rFonts w:hint="eastAsia"/>
                <w:color w:val="auto"/>
              </w:rPr>
              <w:t>技术参数</w:t>
            </w:r>
          </w:p>
        </w:tc>
        <w:tc>
          <w:tcPr>
            <w:tcW w:w="1515" w:type="dxa"/>
            <w:tcBorders>
              <w:top w:val="single" w:color="000000" w:sz="8" w:space="0"/>
              <w:bottom w:val="single" w:color="000000" w:sz="4" w:space="0"/>
              <w:right w:val="single" w:color="000000" w:sz="4" w:space="0"/>
            </w:tcBorders>
            <w:vAlign w:val="center"/>
          </w:tcPr>
          <w:p>
            <w:pPr>
              <w:spacing w:line="360" w:lineRule="exact"/>
              <w:jc w:val="center"/>
              <w:rPr>
                <w:color w:val="auto"/>
                <w:sz w:val="28"/>
              </w:rPr>
            </w:pPr>
            <w:r>
              <w:rPr>
                <w:rFonts w:hint="eastAsia"/>
                <w:color w:val="auto"/>
              </w:rPr>
              <w:t>原产地及制造商</w:t>
            </w:r>
          </w:p>
        </w:tc>
        <w:tc>
          <w:tcPr>
            <w:tcW w:w="794" w:type="dxa"/>
            <w:tcBorders>
              <w:top w:val="single" w:color="000000" w:sz="8" w:space="0"/>
              <w:bottom w:val="single" w:color="000000" w:sz="4" w:space="0"/>
              <w:right w:val="single" w:color="000000" w:sz="8" w:space="0"/>
            </w:tcBorders>
            <w:vAlign w:val="center"/>
          </w:tcPr>
          <w:p>
            <w:pPr>
              <w:spacing w:line="360" w:lineRule="exact"/>
              <w:jc w:val="center"/>
              <w:rPr>
                <w:color w:val="auto"/>
                <w:sz w:val="28"/>
              </w:rPr>
            </w:pPr>
            <w:r>
              <w:rPr>
                <w:rFonts w:hint="eastAsia"/>
                <w:color w:val="auto"/>
              </w:rPr>
              <w:t>附件</w:t>
            </w:r>
          </w:p>
        </w:tc>
        <w:tc>
          <w:tcPr>
            <w:tcW w:w="1418" w:type="dxa"/>
            <w:tcBorders>
              <w:top w:val="single" w:color="000000" w:sz="8" w:space="0"/>
              <w:bottom w:val="single" w:color="000000" w:sz="4" w:space="0"/>
              <w:right w:val="single" w:color="000000" w:sz="8" w:space="0"/>
            </w:tcBorders>
          </w:tcPr>
          <w:p>
            <w:pPr>
              <w:spacing w:line="360" w:lineRule="exact"/>
              <w:jc w:val="center"/>
              <w:rPr>
                <w:color w:val="auto"/>
                <w:sz w:val="18"/>
                <w:szCs w:val="18"/>
              </w:rPr>
            </w:pPr>
            <w:r>
              <w:rPr>
                <w:rFonts w:hint="eastAsia"/>
                <w:color w:val="auto"/>
                <w:szCs w:val="21"/>
              </w:rPr>
              <w:t>节能产品、环境标志产品的标注</w:t>
            </w:r>
            <w:r>
              <w:rPr>
                <w:color w:val="auto"/>
                <w:sz w:val="18"/>
                <w:szCs w:val="18"/>
              </w:rPr>
              <w:t>(</w:t>
            </w:r>
            <w:r>
              <w:rPr>
                <w:rFonts w:hint="eastAsia"/>
                <w:color w:val="auto"/>
                <w:sz w:val="18"/>
                <w:szCs w:val="18"/>
              </w:rPr>
              <w:t>按需填列</w:t>
            </w:r>
            <w:r>
              <w:rPr>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3" w:hRule="atLeast"/>
        </w:trPr>
        <w:tc>
          <w:tcPr>
            <w:tcW w:w="480" w:type="dxa"/>
            <w:tcBorders>
              <w:bottom w:val="single" w:color="000000" w:sz="4" w:space="0"/>
              <w:right w:val="single" w:color="000000" w:sz="4" w:space="0"/>
            </w:tcBorders>
            <w:vAlign w:val="center"/>
          </w:tcPr>
          <w:p>
            <w:pPr>
              <w:spacing w:line="360" w:lineRule="exact"/>
              <w:jc w:val="center"/>
              <w:rPr>
                <w:color w:val="auto"/>
                <w:sz w:val="28"/>
              </w:rPr>
            </w:pPr>
            <w:r>
              <w:rPr>
                <w:color w:val="auto"/>
              </w:rPr>
              <w:t>1</w:t>
            </w:r>
          </w:p>
        </w:tc>
        <w:tc>
          <w:tcPr>
            <w:tcW w:w="1625" w:type="dxa"/>
            <w:tcBorders>
              <w:bottom w:val="single" w:color="000000" w:sz="4" w:space="0"/>
              <w:right w:val="single" w:color="000000" w:sz="4" w:space="0"/>
            </w:tcBorders>
            <w:vAlign w:val="center"/>
          </w:tcPr>
          <w:p>
            <w:pPr>
              <w:spacing w:line="360" w:lineRule="exact"/>
              <w:jc w:val="center"/>
              <w:rPr>
                <w:color w:val="auto"/>
                <w:sz w:val="28"/>
              </w:rPr>
            </w:pPr>
          </w:p>
        </w:tc>
        <w:tc>
          <w:tcPr>
            <w:tcW w:w="540" w:type="dxa"/>
            <w:tcBorders>
              <w:bottom w:val="single" w:color="000000" w:sz="4" w:space="0"/>
              <w:right w:val="single" w:color="000000" w:sz="4" w:space="0"/>
            </w:tcBorders>
            <w:vAlign w:val="center"/>
          </w:tcPr>
          <w:p>
            <w:pPr>
              <w:spacing w:line="360" w:lineRule="exact"/>
              <w:jc w:val="center"/>
              <w:rPr>
                <w:color w:val="auto"/>
                <w:sz w:val="28"/>
              </w:rPr>
            </w:pPr>
          </w:p>
        </w:tc>
        <w:tc>
          <w:tcPr>
            <w:tcW w:w="540" w:type="dxa"/>
            <w:tcBorders>
              <w:bottom w:val="single" w:color="000000" w:sz="4" w:space="0"/>
              <w:right w:val="single" w:color="000000" w:sz="4" w:space="0"/>
            </w:tcBorders>
            <w:vAlign w:val="center"/>
          </w:tcPr>
          <w:p>
            <w:pPr>
              <w:spacing w:line="360" w:lineRule="exact"/>
              <w:jc w:val="center"/>
              <w:rPr>
                <w:color w:val="auto"/>
                <w:sz w:val="28"/>
              </w:rPr>
            </w:pPr>
          </w:p>
        </w:tc>
        <w:tc>
          <w:tcPr>
            <w:tcW w:w="1046" w:type="dxa"/>
            <w:tcBorders>
              <w:bottom w:val="single" w:color="000000" w:sz="4" w:space="0"/>
              <w:right w:val="single" w:color="000000" w:sz="4" w:space="0"/>
            </w:tcBorders>
            <w:vAlign w:val="center"/>
          </w:tcPr>
          <w:p>
            <w:pPr>
              <w:spacing w:line="360" w:lineRule="exact"/>
              <w:jc w:val="center"/>
              <w:rPr>
                <w:color w:val="auto"/>
                <w:sz w:val="28"/>
              </w:rPr>
            </w:pPr>
          </w:p>
        </w:tc>
        <w:tc>
          <w:tcPr>
            <w:tcW w:w="2085" w:type="dxa"/>
            <w:tcBorders>
              <w:bottom w:val="single" w:color="000000" w:sz="4" w:space="0"/>
              <w:right w:val="single" w:color="000000" w:sz="4" w:space="0"/>
            </w:tcBorders>
            <w:vAlign w:val="center"/>
          </w:tcPr>
          <w:p>
            <w:pPr>
              <w:spacing w:line="360" w:lineRule="exact"/>
              <w:jc w:val="center"/>
              <w:rPr>
                <w:color w:val="auto"/>
                <w:sz w:val="28"/>
              </w:rPr>
            </w:pPr>
          </w:p>
        </w:tc>
        <w:tc>
          <w:tcPr>
            <w:tcW w:w="1515" w:type="dxa"/>
            <w:tcBorders>
              <w:bottom w:val="single" w:color="000000" w:sz="4" w:space="0"/>
              <w:right w:val="single" w:color="000000" w:sz="4" w:space="0"/>
            </w:tcBorders>
            <w:vAlign w:val="center"/>
          </w:tcPr>
          <w:p>
            <w:pPr>
              <w:spacing w:line="360" w:lineRule="exact"/>
              <w:jc w:val="center"/>
              <w:rPr>
                <w:color w:val="auto"/>
                <w:sz w:val="28"/>
              </w:rPr>
            </w:pPr>
          </w:p>
        </w:tc>
        <w:tc>
          <w:tcPr>
            <w:tcW w:w="794" w:type="dxa"/>
            <w:tcBorders>
              <w:bottom w:val="single" w:color="000000" w:sz="4" w:space="0"/>
              <w:right w:val="single" w:color="000000" w:sz="8" w:space="0"/>
            </w:tcBorders>
            <w:vAlign w:val="center"/>
          </w:tcPr>
          <w:p>
            <w:pPr>
              <w:spacing w:line="360" w:lineRule="exact"/>
              <w:jc w:val="center"/>
              <w:rPr>
                <w:color w:val="auto"/>
                <w:sz w:val="28"/>
              </w:rPr>
            </w:pPr>
          </w:p>
        </w:tc>
        <w:tc>
          <w:tcPr>
            <w:tcW w:w="1418" w:type="dxa"/>
            <w:tcBorders>
              <w:bottom w:val="single" w:color="000000" w:sz="4" w:space="0"/>
              <w:right w:val="single" w:color="000000" w:sz="8" w:space="0"/>
            </w:tcBorders>
          </w:tcPr>
          <w:p>
            <w:pPr>
              <w:spacing w:line="3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49" w:hRule="atLeast"/>
        </w:trPr>
        <w:tc>
          <w:tcPr>
            <w:tcW w:w="480" w:type="dxa"/>
            <w:tcBorders>
              <w:left w:val="single" w:color="000000" w:sz="4" w:space="0"/>
              <w:bottom w:val="single" w:color="000000" w:sz="4" w:space="0"/>
              <w:right w:val="single" w:color="000000" w:sz="4" w:space="0"/>
            </w:tcBorders>
            <w:vAlign w:val="center"/>
          </w:tcPr>
          <w:p>
            <w:pPr>
              <w:spacing w:line="360" w:lineRule="exact"/>
              <w:jc w:val="center"/>
              <w:rPr>
                <w:color w:val="auto"/>
                <w:sz w:val="28"/>
              </w:rPr>
            </w:pPr>
            <w:r>
              <w:rPr>
                <w:color w:val="auto"/>
              </w:rPr>
              <w:t>2</w:t>
            </w:r>
          </w:p>
        </w:tc>
        <w:tc>
          <w:tcPr>
            <w:tcW w:w="1625" w:type="dxa"/>
            <w:tcBorders>
              <w:bottom w:val="single" w:color="000000" w:sz="4" w:space="0"/>
              <w:right w:val="single" w:color="000000" w:sz="4" w:space="0"/>
            </w:tcBorders>
            <w:vAlign w:val="center"/>
          </w:tcPr>
          <w:p>
            <w:pPr>
              <w:spacing w:line="360" w:lineRule="exact"/>
              <w:jc w:val="center"/>
              <w:rPr>
                <w:color w:val="auto"/>
                <w:sz w:val="28"/>
              </w:rPr>
            </w:pPr>
          </w:p>
        </w:tc>
        <w:tc>
          <w:tcPr>
            <w:tcW w:w="540" w:type="dxa"/>
            <w:tcBorders>
              <w:bottom w:val="single" w:color="000000" w:sz="4" w:space="0"/>
              <w:right w:val="single" w:color="000000" w:sz="4" w:space="0"/>
            </w:tcBorders>
            <w:vAlign w:val="center"/>
          </w:tcPr>
          <w:p>
            <w:pPr>
              <w:spacing w:line="360" w:lineRule="exact"/>
              <w:jc w:val="center"/>
              <w:rPr>
                <w:color w:val="auto"/>
                <w:sz w:val="28"/>
              </w:rPr>
            </w:pPr>
          </w:p>
        </w:tc>
        <w:tc>
          <w:tcPr>
            <w:tcW w:w="540" w:type="dxa"/>
            <w:tcBorders>
              <w:bottom w:val="single" w:color="000000" w:sz="4" w:space="0"/>
              <w:right w:val="single" w:color="000000" w:sz="4" w:space="0"/>
            </w:tcBorders>
            <w:vAlign w:val="center"/>
          </w:tcPr>
          <w:p>
            <w:pPr>
              <w:spacing w:line="360" w:lineRule="exact"/>
              <w:jc w:val="center"/>
              <w:rPr>
                <w:color w:val="auto"/>
                <w:sz w:val="28"/>
              </w:rPr>
            </w:pPr>
          </w:p>
        </w:tc>
        <w:tc>
          <w:tcPr>
            <w:tcW w:w="1046" w:type="dxa"/>
            <w:tcBorders>
              <w:bottom w:val="single" w:color="000000" w:sz="4" w:space="0"/>
              <w:right w:val="single" w:color="000000" w:sz="4" w:space="0"/>
            </w:tcBorders>
            <w:vAlign w:val="center"/>
          </w:tcPr>
          <w:p>
            <w:pPr>
              <w:spacing w:line="360" w:lineRule="exact"/>
              <w:jc w:val="center"/>
              <w:rPr>
                <w:color w:val="auto"/>
                <w:sz w:val="28"/>
              </w:rPr>
            </w:pPr>
          </w:p>
        </w:tc>
        <w:tc>
          <w:tcPr>
            <w:tcW w:w="2085" w:type="dxa"/>
            <w:tcBorders>
              <w:bottom w:val="single" w:color="000000" w:sz="4" w:space="0"/>
              <w:right w:val="single" w:color="000000" w:sz="4" w:space="0"/>
            </w:tcBorders>
            <w:vAlign w:val="center"/>
          </w:tcPr>
          <w:p>
            <w:pPr>
              <w:spacing w:line="360" w:lineRule="exact"/>
              <w:jc w:val="center"/>
              <w:rPr>
                <w:color w:val="auto"/>
                <w:sz w:val="28"/>
              </w:rPr>
            </w:pPr>
          </w:p>
        </w:tc>
        <w:tc>
          <w:tcPr>
            <w:tcW w:w="1515" w:type="dxa"/>
            <w:tcBorders>
              <w:bottom w:val="single" w:color="000000" w:sz="4" w:space="0"/>
              <w:right w:val="single" w:color="000000" w:sz="4" w:space="0"/>
            </w:tcBorders>
            <w:vAlign w:val="center"/>
          </w:tcPr>
          <w:p>
            <w:pPr>
              <w:spacing w:line="360" w:lineRule="exact"/>
              <w:jc w:val="center"/>
              <w:rPr>
                <w:color w:val="auto"/>
                <w:sz w:val="28"/>
              </w:rPr>
            </w:pPr>
          </w:p>
        </w:tc>
        <w:tc>
          <w:tcPr>
            <w:tcW w:w="794" w:type="dxa"/>
            <w:tcBorders>
              <w:bottom w:val="single" w:color="000000" w:sz="4" w:space="0"/>
              <w:right w:val="single" w:color="000000" w:sz="8" w:space="0"/>
            </w:tcBorders>
            <w:vAlign w:val="center"/>
          </w:tcPr>
          <w:p>
            <w:pPr>
              <w:spacing w:line="360" w:lineRule="exact"/>
              <w:jc w:val="center"/>
              <w:rPr>
                <w:color w:val="auto"/>
                <w:sz w:val="28"/>
              </w:rPr>
            </w:pPr>
          </w:p>
        </w:tc>
        <w:tc>
          <w:tcPr>
            <w:tcW w:w="1418" w:type="dxa"/>
            <w:tcBorders>
              <w:bottom w:val="single" w:color="000000" w:sz="4" w:space="0"/>
              <w:right w:val="single" w:color="000000" w:sz="8" w:space="0"/>
            </w:tcBorders>
          </w:tcPr>
          <w:p>
            <w:pPr>
              <w:spacing w:line="3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9" w:hRule="atLeast"/>
        </w:trPr>
        <w:tc>
          <w:tcPr>
            <w:tcW w:w="480" w:type="dxa"/>
            <w:tcBorders>
              <w:left w:val="single" w:color="000000" w:sz="4" w:space="0"/>
              <w:right w:val="single" w:color="000000" w:sz="4" w:space="0"/>
            </w:tcBorders>
            <w:vAlign w:val="center"/>
          </w:tcPr>
          <w:p>
            <w:pPr>
              <w:spacing w:line="360" w:lineRule="exact"/>
              <w:jc w:val="center"/>
              <w:rPr>
                <w:color w:val="auto"/>
                <w:sz w:val="28"/>
              </w:rPr>
            </w:pPr>
            <w:r>
              <w:rPr>
                <w:color w:val="auto"/>
              </w:rPr>
              <w:t>3</w:t>
            </w:r>
          </w:p>
        </w:tc>
        <w:tc>
          <w:tcPr>
            <w:tcW w:w="1625" w:type="dxa"/>
            <w:tcBorders>
              <w:right w:val="single" w:color="000000" w:sz="4" w:space="0"/>
            </w:tcBorders>
            <w:vAlign w:val="center"/>
          </w:tcPr>
          <w:p>
            <w:pPr>
              <w:spacing w:line="360" w:lineRule="exact"/>
              <w:jc w:val="center"/>
              <w:rPr>
                <w:color w:val="auto"/>
                <w:sz w:val="28"/>
              </w:rPr>
            </w:pPr>
          </w:p>
        </w:tc>
        <w:tc>
          <w:tcPr>
            <w:tcW w:w="540" w:type="dxa"/>
            <w:tcBorders>
              <w:right w:val="single" w:color="000000" w:sz="4" w:space="0"/>
            </w:tcBorders>
            <w:vAlign w:val="center"/>
          </w:tcPr>
          <w:p>
            <w:pPr>
              <w:spacing w:line="360" w:lineRule="exact"/>
              <w:jc w:val="center"/>
              <w:rPr>
                <w:color w:val="auto"/>
                <w:sz w:val="28"/>
              </w:rPr>
            </w:pPr>
          </w:p>
        </w:tc>
        <w:tc>
          <w:tcPr>
            <w:tcW w:w="540" w:type="dxa"/>
            <w:tcBorders>
              <w:right w:val="single" w:color="000000" w:sz="4" w:space="0"/>
            </w:tcBorders>
            <w:vAlign w:val="center"/>
          </w:tcPr>
          <w:p>
            <w:pPr>
              <w:spacing w:line="360" w:lineRule="exact"/>
              <w:jc w:val="center"/>
              <w:rPr>
                <w:color w:val="auto"/>
                <w:sz w:val="28"/>
              </w:rPr>
            </w:pPr>
          </w:p>
        </w:tc>
        <w:tc>
          <w:tcPr>
            <w:tcW w:w="1046" w:type="dxa"/>
            <w:tcBorders>
              <w:right w:val="single" w:color="000000" w:sz="4" w:space="0"/>
            </w:tcBorders>
            <w:vAlign w:val="center"/>
          </w:tcPr>
          <w:p>
            <w:pPr>
              <w:spacing w:line="360" w:lineRule="exact"/>
              <w:jc w:val="center"/>
              <w:rPr>
                <w:color w:val="auto"/>
                <w:sz w:val="28"/>
              </w:rPr>
            </w:pPr>
          </w:p>
        </w:tc>
        <w:tc>
          <w:tcPr>
            <w:tcW w:w="2085" w:type="dxa"/>
            <w:tcBorders>
              <w:right w:val="single" w:color="000000" w:sz="4" w:space="0"/>
            </w:tcBorders>
            <w:vAlign w:val="center"/>
          </w:tcPr>
          <w:p>
            <w:pPr>
              <w:spacing w:line="360" w:lineRule="exact"/>
              <w:jc w:val="center"/>
              <w:rPr>
                <w:color w:val="auto"/>
                <w:sz w:val="28"/>
              </w:rPr>
            </w:pPr>
          </w:p>
        </w:tc>
        <w:tc>
          <w:tcPr>
            <w:tcW w:w="1515" w:type="dxa"/>
            <w:tcBorders>
              <w:right w:val="single" w:color="000000" w:sz="4" w:space="0"/>
            </w:tcBorders>
            <w:vAlign w:val="center"/>
          </w:tcPr>
          <w:p>
            <w:pPr>
              <w:spacing w:line="360" w:lineRule="exact"/>
              <w:jc w:val="center"/>
              <w:rPr>
                <w:color w:val="auto"/>
                <w:sz w:val="28"/>
              </w:rPr>
            </w:pPr>
          </w:p>
        </w:tc>
        <w:tc>
          <w:tcPr>
            <w:tcW w:w="794" w:type="dxa"/>
            <w:tcBorders>
              <w:right w:val="single" w:color="000000" w:sz="8" w:space="0"/>
            </w:tcBorders>
            <w:vAlign w:val="center"/>
          </w:tcPr>
          <w:p>
            <w:pPr>
              <w:spacing w:line="360" w:lineRule="exact"/>
              <w:jc w:val="center"/>
              <w:rPr>
                <w:color w:val="auto"/>
                <w:sz w:val="28"/>
              </w:rPr>
            </w:pPr>
          </w:p>
        </w:tc>
        <w:tc>
          <w:tcPr>
            <w:tcW w:w="1418" w:type="dxa"/>
            <w:tcBorders>
              <w:right w:val="single" w:color="000000" w:sz="8" w:space="0"/>
            </w:tcBorders>
          </w:tcPr>
          <w:p>
            <w:pPr>
              <w:spacing w:line="3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9" w:hRule="atLeast"/>
        </w:trPr>
        <w:tc>
          <w:tcPr>
            <w:tcW w:w="480" w:type="dxa"/>
            <w:tcBorders>
              <w:left w:val="single" w:color="000000" w:sz="4" w:space="0"/>
              <w:right w:val="single" w:color="000000" w:sz="4" w:space="0"/>
            </w:tcBorders>
            <w:vAlign w:val="center"/>
          </w:tcPr>
          <w:p>
            <w:pPr>
              <w:spacing w:line="360" w:lineRule="exact"/>
              <w:jc w:val="center"/>
              <w:rPr>
                <w:color w:val="auto"/>
              </w:rPr>
            </w:pPr>
            <w:r>
              <w:rPr>
                <w:rFonts w:hint="eastAsia"/>
                <w:color w:val="auto"/>
              </w:rPr>
              <w:t>……</w:t>
            </w:r>
          </w:p>
        </w:tc>
        <w:tc>
          <w:tcPr>
            <w:tcW w:w="1625" w:type="dxa"/>
            <w:tcBorders>
              <w:right w:val="single" w:color="000000" w:sz="4" w:space="0"/>
            </w:tcBorders>
            <w:vAlign w:val="center"/>
          </w:tcPr>
          <w:p>
            <w:pPr>
              <w:spacing w:line="360" w:lineRule="exact"/>
              <w:jc w:val="center"/>
              <w:rPr>
                <w:color w:val="auto"/>
                <w:sz w:val="28"/>
              </w:rPr>
            </w:pPr>
          </w:p>
        </w:tc>
        <w:tc>
          <w:tcPr>
            <w:tcW w:w="540" w:type="dxa"/>
            <w:tcBorders>
              <w:right w:val="single" w:color="000000" w:sz="4" w:space="0"/>
            </w:tcBorders>
            <w:vAlign w:val="center"/>
          </w:tcPr>
          <w:p>
            <w:pPr>
              <w:spacing w:line="360" w:lineRule="exact"/>
              <w:jc w:val="center"/>
              <w:rPr>
                <w:color w:val="auto"/>
                <w:sz w:val="28"/>
              </w:rPr>
            </w:pPr>
          </w:p>
        </w:tc>
        <w:tc>
          <w:tcPr>
            <w:tcW w:w="540" w:type="dxa"/>
            <w:tcBorders>
              <w:right w:val="single" w:color="000000" w:sz="4" w:space="0"/>
            </w:tcBorders>
            <w:vAlign w:val="center"/>
          </w:tcPr>
          <w:p>
            <w:pPr>
              <w:spacing w:line="360" w:lineRule="exact"/>
              <w:jc w:val="center"/>
              <w:rPr>
                <w:color w:val="auto"/>
                <w:sz w:val="28"/>
              </w:rPr>
            </w:pPr>
          </w:p>
        </w:tc>
        <w:tc>
          <w:tcPr>
            <w:tcW w:w="1046" w:type="dxa"/>
            <w:tcBorders>
              <w:right w:val="single" w:color="000000" w:sz="4" w:space="0"/>
            </w:tcBorders>
            <w:vAlign w:val="center"/>
          </w:tcPr>
          <w:p>
            <w:pPr>
              <w:spacing w:line="360" w:lineRule="exact"/>
              <w:jc w:val="center"/>
              <w:rPr>
                <w:color w:val="auto"/>
                <w:sz w:val="28"/>
              </w:rPr>
            </w:pPr>
          </w:p>
        </w:tc>
        <w:tc>
          <w:tcPr>
            <w:tcW w:w="2085" w:type="dxa"/>
            <w:tcBorders>
              <w:right w:val="single" w:color="000000" w:sz="4" w:space="0"/>
            </w:tcBorders>
            <w:vAlign w:val="center"/>
          </w:tcPr>
          <w:p>
            <w:pPr>
              <w:spacing w:line="360" w:lineRule="exact"/>
              <w:jc w:val="center"/>
              <w:rPr>
                <w:color w:val="auto"/>
                <w:sz w:val="28"/>
              </w:rPr>
            </w:pPr>
          </w:p>
        </w:tc>
        <w:tc>
          <w:tcPr>
            <w:tcW w:w="1515" w:type="dxa"/>
            <w:tcBorders>
              <w:right w:val="single" w:color="000000" w:sz="4" w:space="0"/>
            </w:tcBorders>
            <w:vAlign w:val="center"/>
          </w:tcPr>
          <w:p>
            <w:pPr>
              <w:spacing w:line="360" w:lineRule="exact"/>
              <w:jc w:val="center"/>
              <w:rPr>
                <w:color w:val="auto"/>
                <w:sz w:val="28"/>
              </w:rPr>
            </w:pPr>
          </w:p>
        </w:tc>
        <w:tc>
          <w:tcPr>
            <w:tcW w:w="794" w:type="dxa"/>
            <w:tcBorders>
              <w:right w:val="single" w:color="000000" w:sz="8" w:space="0"/>
            </w:tcBorders>
            <w:vAlign w:val="center"/>
          </w:tcPr>
          <w:p>
            <w:pPr>
              <w:spacing w:line="360" w:lineRule="exact"/>
              <w:jc w:val="center"/>
              <w:rPr>
                <w:color w:val="auto"/>
                <w:sz w:val="28"/>
              </w:rPr>
            </w:pPr>
          </w:p>
        </w:tc>
        <w:tc>
          <w:tcPr>
            <w:tcW w:w="1418" w:type="dxa"/>
            <w:tcBorders>
              <w:right w:val="single" w:color="000000" w:sz="8" w:space="0"/>
            </w:tcBorders>
          </w:tcPr>
          <w:p>
            <w:pPr>
              <w:spacing w:line="360" w:lineRule="exact"/>
              <w:jc w:val="center"/>
              <w:rPr>
                <w:color w:val="auto"/>
                <w:sz w:val="28"/>
              </w:rPr>
            </w:pPr>
          </w:p>
        </w:tc>
      </w:tr>
    </w:tbl>
    <w:p>
      <w:pPr>
        <w:spacing w:line="240" w:lineRule="auto"/>
        <w:rPr>
          <w:color w:val="auto"/>
        </w:rPr>
      </w:pPr>
      <w:r>
        <w:rPr>
          <w:rFonts w:hint="eastAsia"/>
          <w:color w:val="auto"/>
          <w:sz w:val="24"/>
        </w:rPr>
        <w:t>　</w:t>
      </w:r>
      <w:r>
        <w:rPr>
          <w:rFonts w:hint="eastAsia"/>
          <w:color w:val="auto"/>
        </w:rPr>
        <w:t>注：1、投标人应详细填写投标产品具体技术参数。包括产品的品牌、规格、型号、产地等技术参数。</w:t>
      </w:r>
    </w:p>
    <w:p>
      <w:pPr>
        <w:widowControl w:val="0"/>
        <w:tabs>
          <w:tab w:val="left" w:pos="9365"/>
        </w:tabs>
        <w:snapToGrid w:val="0"/>
        <w:spacing w:after="56" w:line="360" w:lineRule="exact"/>
        <w:ind w:right="85" w:firstLine="601"/>
        <w:textAlignment w:val="top"/>
        <w:rPr>
          <w:rFonts w:ascii="宋体" w:hAnsi="宋体" w:cs="宋体"/>
          <w:color w:val="auto"/>
        </w:rPr>
      </w:pPr>
      <w:r>
        <w:rPr>
          <w:rFonts w:hint="eastAsia" w:ascii="宋体" w:hAnsi="宋体" w:cs="宋体"/>
          <w:color w:val="auto"/>
        </w:rPr>
        <w:t>2、如采购产品属于政府强制采购品目清单的，投标人须在本表对应栏中标明 “为节能产品，节能产品认证证书后附”，认证证书应当为国家确定的认证机构出具、且应处于有效期之内。不符合的、按招标文件规定为无效投标。</w:t>
      </w:r>
    </w:p>
    <w:p>
      <w:pPr>
        <w:widowControl w:val="0"/>
        <w:tabs>
          <w:tab w:val="left" w:pos="9365"/>
        </w:tabs>
        <w:snapToGrid w:val="0"/>
        <w:spacing w:after="56" w:line="360" w:lineRule="exact"/>
        <w:ind w:right="85" w:firstLine="601"/>
        <w:textAlignment w:val="top"/>
        <w:rPr>
          <w:rFonts w:ascii="宋体" w:hAnsi="宋体" w:cs="宋体"/>
          <w:color w:val="auto"/>
        </w:rPr>
      </w:pPr>
      <w:r>
        <w:rPr>
          <w:rFonts w:hint="eastAsia" w:ascii="宋体" w:hAnsi="宋体" w:cs="宋体"/>
          <w:color w:val="auto"/>
        </w:rPr>
        <w:t>3、如采购产品不属于政府强制采购品目清单的，投标人自主填列。</w:t>
      </w:r>
    </w:p>
    <w:p>
      <w:pPr>
        <w:widowControl w:val="0"/>
        <w:snapToGrid w:val="0"/>
        <w:spacing w:line="560" w:lineRule="exact"/>
        <w:ind w:firstLine="532"/>
        <w:jc w:val="left"/>
        <w:textAlignment w:val="top"/>
        <w:rPr>
          <w:color w:val="auto"/>
        </w:rPr>
      </w:pPr>
    </w:p>
    <w:p>
      <w:pPr>
        <w:autoSpaceDE w:val="0"/>
        <w:autoSpaceDN w:val="0"/>
        <w:adjustRightInd w:val="0"/>
        <w:spacing w:line="360" w:lineRule="auto"/>
        <w:jc w:val="center"/>
        <w:rPr>
          <w:color w:val="auto"/>
          <w:sz w:val="28"/>
        </w:rPr>
      </w:pPr>
    </w:p>
    <w:p>
      <w:pPr>
        <w:autoSpaceDE w:val="0"/>
        <w:autoSpaceDN w:val="0"/>
        <w:adjustRightInd w:val="0"/>
        <w:spacing w:line="360" w:lineRule="auto"/>
        <w:rPr>
          <w:rFonts w:ascii="宋体" w:cs="楷体_GB2312"/>
          <w:color w:val="auto"/>
          <w:sz w:val="24"/>
          <w:lang w:val="zh-CN"/>
        </w:rPr>
      </w:pPr>
      <w:r>
        <w:rPr>
          <w:rFonts w:hint="eastAsia" w:ascii="宋体" w:hAnsi="宋体"/>
          <w:color w:val="auto"/>
          <w:sz w:val="24"/>
        </w:rPr>
        <w:t>投标人</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r>
        <w:rPr>
          <w:rFonts w:hint="eastAsia" w:ascii="宋体" w:hAnsi="宋体" w:cs="楷体_GB2312"/>
          <w:color w:val="auto"/>
          <w:sz w:val="24"/>
          <w:lang w:val="zh-CN"/>
        </w:rPr>
        <w:t>：</w:t>
      </w:r>
    </w:p>
    <w:p>
      <w:pPr>
        <w:autoSpaceDE w:val="0"/>
        <w:autoSpaceDN w:val="0"/>
        <w:adjustRightInd w:val="0"/>
        <w:spacing w:line="360" w:lineRule="auto"/>
        <w:ind w:left="-2" w:right="-817" w:firstLine="2"/>
        <w:rPr>
          <w:rFonts w:ascii="宋体" w:cs="楷体_GB2312"/>
          <w:color w:val="auto"/>
          <w:sz w:val="24"/>
          <w:lang w:val="zh-CN"/>
        </w:rPr>
      </w:pPr>
      <w:r>
        <w:rPr>
          <w:rFonts w:hint="eastAsia" w:ascii="宋体" w:hAnsi="宋体" w:cs="楷体_GB2312"/>
          <w:color w:val="auto"/>
          <w:sz w:val="24"/>
          <w:lang w:val="zh-CN"/>
        </w:rPr>
        <w:t>法定代表人</w:t>
      </w:r>
      <w:r>
        <w:rPr>
          <w:rFonts w:hint="eastAsia"/>
          <w:color w:val="auto"/>
          <w:sz w:val="24"/>
          <w:szCs w:val="24"/>
        </w:rPr>
        <w:t>（电子签名）</w:t>
      </w:r>
      <w:r>
        <w:rPr>
          <w:rFonts w:hint="eastAsia" w:ascii="宋体" w:hAnsi="宋体" w:cs="楷体_GB2312"/>
          <w:color w:val="auto"/>
          <w:sz w:val="24"/>
          <w:lang w:val="zh-CN"/>
        </w:rPr>
        <w:t>：</w:t>
      </w:r>
      <w:r>
        <w:rPr>
          <w:rFonts w:ascii="宋体" w:hAnsi="宋体" w:cs="楷体_GB2312"/>
          <w:color w:val="auto"/>
          <w:sz w:val="24"/>
          <w:lang w:val="zh-CN"/>
        </w:rPr>
        <w:t xml:space="preserve">  </w:t>
      </w:r>
    </w:p>
    <w:p>
      <w:pPr>
        <w:widowControl w:val="0"/>
        <w:tabs>
          <w:tab w:val="left" w:pos="9365"/>
        </w:tabs>
        <w:snapToGrid w:val="0"/>
        <w:spacing w:after="56" w:line="560" w:lineRule="exact"/>
        <w:ind w:right="56"/>
        <w:jc w:val="left"/>
        <w:textAlignment w:val="top"/>
        <w:rPr>
          <w:color w:val="auto"/>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widowControl w:val="0"/>
        <w:snapToGrid w:val="0"/>
        <w:spacing w:line="560" w:lineRule="exact"/>
        <w:jc w:val="left"/>
        <w:textAlignment w:val="top"/>
        <w:rPr>
          <w:color w:val="auto"/>
        </w:rPr>
      </w:pPr>
      <w:r>
        <w:rPr>
          <w:rFonts w:eastAsia="方正黑体简体"/>
          <w:b/>
          <w:color w:val="auto"/>
          <w:sz w:val="30"/>
          <w:szCs w:val="30"/>
        </w:rPr>
        <w:br w:type="page"/>
      </w:r>
    </w:p>
    <w:p>
      <w:pPr>
        <w:widowControl w:val="0"/>
        <w:snapToGrid w:val="0"/>
        <w:spacing w:line="560" w:lineRule="exact"/>
        <w:jc w:val="center"/>
        <w:rPr>
          <w:rFonts w:ascii="黑体" w:hAnsi="黑体" w:eastAsia="黑体"/>
          <w:color w:val="auto"/>
          <w:sz w:val="30"/>
          <w:szCs w:val="30"/>
        </w:rPr>
      </w:pPr>
      <w:r>
        <w:rPr>
          <w:rFonts w:hint="eastAsia" w:ascii="黑体" w:hAnsi="黑体" w:eastAsia="黑体"/>
          <w:b/>
          <w:color w:val="auto"/>
          <w:sz w:val="30"/>
          <w:szCs w:val="30"/>
        </w:rPr>
        <w:t>5、技术偏差表</w:t>
      </w:r>
    </w:p>
    <w:p>
      <w:pPr>
        <w:pStyle w:val="16"/>
        <w:adjustRightInd w:val="0"/>
        <w:snapToGrid w:val="0"/>
        <w:spacing w:before="0" w:beforeAutospacing="0" w:after="0" w:afterAutospacing="0"/>
        <w:rPr>
          <w:color w:val="auto"/>
          <w:u w:val="single"/>
        </w:rPr>
      </w:pPr>
      <w:r>
        <w:rPr>
          <w:rFonts w:hint="eastAsia"/>
          <w:color w:val="auto"/>
        </w:rPr>
        <w:t>项目名称：</w:t>
      </w:r>
    </w:p>
    <w:p>
      <w:pPr>
        <w:pStyle w:val="16"/>
        <w:adjustRightInd w:val="0"/>
        <w:snapToGrid w:val="0"/>
        <w:spacing w:before="0" w:beforeAutospacing="0" w:after="0" w:afterAutospacing="0"/>
        <w:rPr>
          <w:color w:val="auto"/>
        </w:rPr>
      </w:pPr>
      <w:r>
        <w:rPr>
          <w:rFonts w:hint="eastAsia"/>
          <w:color w:val="auto"/>
        </w:rPr>
        <w:t>项目编号：</w:t>
      </w:r>
    </w:p>
    <w:tbl>
      <w:tblPr>
        <w:tblStyle w:val="19"/>
        <w:tblW w:w="9468"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8"/>
        <w:gridCol w:w="1640"/>
        <w:gridCol w:w="2184"/>
        <w:gridCol w:w="2077"/>
        <w:gridCol w:w="1859"/>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top w:val="single" w:color="000000" w:sz="8" w:space="0"/>
              <w:left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序号</w:t>
            </w:r>
          </w:p>
        </w:tc>
        <w:tc>
          <w:tcPr>
            <w:tcW w:w="1640"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产品名称</w:t>
            </w:r>
          </w:p>
        </w:tc>
        <w:tc>
          <w:tcPr>
            <w:tcW w:w="2184"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《招标文件》要求</w:t>
            </w:r>
          </w:p>
        </w:tc>
        <w:tc>
          <w:tcPr>
            <w:tcW w:w="2077"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投标产品参数</w:t>
            </w:r>
          </w:p>
        </w:tc>
        <w:tc>
          <w:tcPr>
            <w:tcW w:w="1859" w:type="dxa"/>
            <w:tcBorders>
              <w:top w:val="single" w:color="000000" w:sz="8" w:space="0"/>
              <w:bottom w:val="single" w:color="000000" w:sz="4" w:space="0"/>
              <w:right w:val="single" w:color="000000" w:sz="8" w:space="0"/>
            </w:tcBorders>
            <w:vAlign w:val="center"/>
          </w:tcPr>
          <w:p>
            <w:pPr>
              <w:spacing w:line="560" w:lineRule="exact"/>
              <w:jc w:val="center"/>
              <w:rPr>
                <w:b/>
                <w:color w:val="auto"/>
                <w:sz w:val="28"/>
              </w:rPr>
            </w:pPr>
            <w:r>
              <w:rPr>
                <w:rFonts w:hint="eastAsia"/>
                <w:b/>
                <w:color w:val="auto"/>
              </w:rPr>
              <w:t>偏差描述</w:t>
            </w:r>
          </w:p>
        </w:tc>
        <w:tc>
          <w:tcPr>
            <w:tcW w:w="1260" w:type="dxa"/>
            <w:tcBorders>
              <w:top w:val="single" w:color="000000" w:sz="8" w:space="0"/>
              <w:bottom w:val="single" w:color="000000" w:sz="4" w:space="0"/>
              <w:right w:val="single" w:color="000000" w:sz="8" w:space="0"/>
            </w:tcBorders>
          </w:tcPr>
          <w:p>
            <w:pPr>
              <w:spacing w:line="240" w:lineRule="auto"/>
              <w:jc w:val="center"/>
              <w:rPr>
                <w:b/>
                <w:color w:val="auto"/>
              </w:rPr>
            </w:pPr>
            <w:r>
              <w:rPr>
                <w:rFonts w:hint="eastAsia"/>
                <w:b/>
                <w:color w:val="auto"/>
              </w:rPr>
              <w:t>所对应的产品证明材料的页码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1</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2</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3</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4</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5</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6</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7</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8</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9</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448" w:type="dxa"/>
            <w:tcBorders>
              <w:left w:val="single" w:color="000000" w:sz="8" w:space="0"/>
              <w:bottom w:val="single" w:color="000000" w:sz="8" w:space="0"/>
              <w:right w:val="single" w:color="000000" w:sz="4" w:space="0"/>
            </w:tcBorders>
            <w:vAlign w:val="center"/>
          </w:tcPr>
          <w:p>
            <w:pPr>
              <w:spacing w:line="560" w:lineRule="exact"/>
              <w:jc w:val="center"/>
              <w:rPr>
                <w:color w:val="auto"/>
                <w:sz w:val="28"/>
              </w:rPr>
            </w:pPr>
            <w:r>
              <w:rPr>
                <w:color w:val="auto"/>
              </w:rPr>
              <w:t>......</w:t>
            </w:r>
          </w:p>
        </w:tc>
        <w:tc>
          <w:tcPr>
            <w:tcW w:w="1640" w:type="dxa"/>
            <w:tcBorders>
              <w:bottom w:val="single" w:color="000000" w:sz="8" w:space="0"/>
              <w:right w:val="single" w:color="000000" w:sz="4" w:space="0"/>
            </w:tcBorders>
            <w:vAlign w:val="center"/>
          </w:tcPr>
          <w:p>
            <w:pPr>
              <w:spacing w:line="560" w:lineRule="exact"/>
              <w:jc w:val="center"/>
              <w:rPr>
                <w:color w:val="auto"/>
                <w:sz w:val="28"/>
              </w:rPr>
            </w:pPr>
          </w:p>
        </w:tc>
        <w:tc>
          <w:tcPr>
            <w:tcW w:w="2184" w:type="dxa"/>
            <w:tcBorders>
              <w:bottom w:val="single" w:color="000000" w:sz="8" w:space="0"/>
              <w:right w:val="single" w:color="000000" w:sz="4" w:space="0"/>
            </w:tcBorders>
            <w:vAlign w:val="center"/>
          </w:tcPr>
          <w:p>
            <w:pPr>
              <w:spacing w:line="560" w:lineRule="exact"/>
              <w:jc w:val="center"/>
              <w:rPr>
                <w:color w:val="auto"/>
                <w:sz w:val="28"/>
              </w:rPr>
            </w:pPr>
          </w:p>
        </w:tc>
        <w:tc>
          <w:tcPr>
            <w:tcW w:w="2077" w:type="dxa"/>
            <w:tcBorders>
              <w:bottom w:val="single" w:color="000000" w:sz="8" w:space="0"/>
              <w:right w:val="single" w:color="000000" w:sz="4" w:space="0"/>
            </w:tcBorders>
            <w:vAlign w:val="center"/>
          </w:tcPr>
          <w:p>
            <w:pPr>
              <w:spacing w:line="560" w:lineRule="exact"/>
              <w:jc w:val="center"/>
              <w:rPr>
                <w:color w:val="auto"/>
                <w:sz w:val="28"/>
              </w:rPr>
            </w:pPr>
          </w:p>
        </w:tc>
        <w:tc>
          <w:tcPr>
            <w:tcW w:w="1859" w:type="dxa"/>
            <w:tcBorders>
              <w:bottom w:val="single" w:color="000000" w:sz="8" w:space="0"/>
              <w:right w:val="single" w:color="000000" w:sz="8" w:space="0"/>
            </w:tcBorders>
            <w:vAlign w:val="center"/>
          </w:tcPr>
          <w:p>
            <w:pPr>
              <w:spacing w:line="560" w:lineRule="exact"/>
              <w:jc w:val="center"/>
              <w:rPr>
                <w:color w:val="auto"/>
                <w:sz w:val="28"/>
              </w:rPr>
            </w:pPr>
          </w:p>
        </w:tc>
        <w:tc>
          <w:tcPr>
            <w:tcW w:w="1260" w:type="dxa"/>
            <w:tcBorders>
              <w:bottom w:val="single" w:color="000000" w:sz="8" w:space="0"/>
              <w:right w:val="single" w:color="000000" w:sz="8" w:space="0"/>
            </w:tcBorders>
          </w:tcPr>
          <w:p>
            <w:pPr>
              <w:spacing w:line="560" w:lineRule="exact"/>
              <w:jc w:val="center"/>
              <w:rPr>
                <w:color w:val="auto"/>
                <w:sz w:val="28"/>
              </w:rPr>
            </w:pPr>
          </w:p>
        </w:tc>
      </w:tr>
    </w:tbl>
    <w:p>
      <w:pPr>
        <w:widowControl w:val="0"/>
        <w:tabs>
          <w:tab w:val="left" w:pos="9365"/>
        </w:tabs>
        <w:snapToGrid w:val="0"/>
        <w:spacing w:after="56" w:line="560" w:lineRule="exact"/>
        <w:ind w:firstLine="623"/>
        <w:textAlignment w:val="top"/>
        <w:rPr>
          <w:color w:val="auto"/>
        </w:rPr>
      </w:pPr>
    </w:p>
    <w:p>
      <w:pPr>
        <w:widowControl w:val="0"/>
        <w:tabs>
          <w:tab w:val="left" w:pos="9365"/>
        </w:tabs>
        <w:snapToGrid w:val="0"/>
        <w:spacing w:line="360" w:lineRule="auto"/>
        <w:ind w:firstLine="624"/>
        <w:textAlignment w:val="top"/>
        <w:rPr>
          <w:rFonts w:ascii="宋体" w:cs="宋体"/>
          <w:color w:val="auto"/>
        </w:rPr>
      </w:pPr>
      <w:r>
        <w:rPr>
          <w:rFonts w:hint="eastAsia"/>
          <w:color w:val="auto"/>
        </w:rPr>
        <w:t>注：</w:t>
      </w:r>
      <w:r>
        <w:rPr>
          <w:rFonts w:ascii="宋体" w:hAnsi="宋体" w:cs="宋体"/>
          <w:color w:val="auto"/>
        </w:rPr>
        <w:t>1</w:t>
      </w:r>
      <w:r>
        <w:rPr>
          <w:rFonts w:hint="eastAsia"/>
          <w:color w:val="auto"/>
        </w:rPr>
        <w:t>、“偏差”栏中详细注明所投产品参数与《招标文件》中要求有何不同，并说明其符合性。投标人应分标段（包）填制本表。</w:t>
      </w:r>
    </w:p>
    <w:p>
      <w:pPr>
        <w:widowControl w:val="0"/>
        <w:tabs>
          <w:tab w:val="left" w:pos="9365"/>
        </w:tabs>
        <w:snapToGrid w:val="0"/>
        <w:spacing w:line="360" w:lineRule="auto"/>
        <w:ind w:firstLine="624"/>
        <w:textAlignment w:val="top"/>
        <w:rPr>
          <w:color w:val="auto"/>
        </w:rPr>
      </w:pPr>
      <w:r>
        <w:rPr>
          <w:rFonts w:ascii="宋体" w:hAnsi="宋体" w:cs="宋体"/>
          <w:color w:val="auto"/>
        </w:rPr>
        <w:t>2</w:t>
      </w:r>
      <w:r>
        <w:rPr>
          <w:rFonts w:hint="eastAsia"/>
          <w:color w:val="auto"/>
        </w:rPr>
        <w:t>、如所投产品配置及技术参数与“技术要求”一致的部分，仍需在本表填列“与《招标文件》技术要求一致”字样。</w:t>
      </w:r>
    </w:p>
    <w:p>
      <w:pPr>
        <w:autoSpaceDE w:val="0"/>
        <w:autoSpaceDN w:val="0"/>
        <w:adjustRightInd w:val="0"/>
        <w:spacing w:line="360" w:lineRule="auto"/>
        <w:jc w:val="center"/>
        <w:rPr>
          <w:rFonts w:ascii="宋体"/>
          <w:color w:val="auto"/>
          <w:sz w:val="24"/>
        </w:rPr>
      </w:pP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w:t>
      </w:r>
    </w:p>
    <w:p>
      <w:pPr>
        <w:autoSpaceDE w:val="0"/>
        <w:autoSpaceDN w:val="0"/>
        <w:adjustRightInd w:val="0"/>
        <w:spacing w:line="360" w:lineRule="auto"/>
        <w:ind w:right="-817"/>
        <w:jc w:val="left"/>
        <w:rPr>
          <w:rFonts w:ascii="宋体" w:cs="楷体_GB2312"/>
          <w:color w:val="auto"/>
          <w:sz w:val="24"/>
          <w:lang w:val="zh-CN"/>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autoSpaceDE w:val="0"/>
        <w:autoSpaceDN w:val="0"/>
        <w:adjustRightInd w:val="0"/>
        <w:spacing w:line="360" w:lineRule="auto"/>
        <w:ind w:left="1" w:firstLine="560"/>
        <w:rPr>
          <w:rFonts w:ascii="宋体" w:cs="楷体_GB2312"/>
          <w:color w:val="auto"/>
          <w:sz w:val="24"/>
          <w:lang w:val="zh-CN"/>
        </w:rPr>
      </w:pPr>
      <w:r>
        <w:rPr>
          <w:rFonts w:ascii="宋体" w:hAnsi="宋体" w:cs="楷体_GB2312"/>
          <w:color w:val="auto"/>
          <w:sz w:val="24"/>
          <w:lang w:val="zh-CN"/>
        </w:rPr>
        <w:t xml:space="preserve">             </w:t>
      </w: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jc w:val="center"/>
        <w:rPr>
          <w:rFonts w:ascii="黑体" w:hAnsi="黑体" w:eastAsia="黑体"/>
          <w:b/>
          <w:color w:val="auto"/>
          <w:sz w:val="30"/>
          <w:szCs w:val="30"/>
        </w:rPr>
      </w:pPr>
      <w:r>
        <w:rPr>
          <w:rFonts w:hint="eastAsia" w:ascii="黑体" w:hAnsi="黑体" w:eastAsia="黑体"/>
          <w:b/>
          <w:color w:val="auto"/>
          <w:sz w:val="30"/>
          <w:szCs w:val="30"/>
        </w:rPr>
        <w:t>6、其他偏差表（除技术偏差外）</w:t>
      </w:r>
    </w:p>
    <w:p>
      <w:pPr>
        <w:pStyle w:val="16"/>
        <w:adjustRightInd w:val="0"/>
        <w:snapToGrid w:val="0"/>
        <w:spacing w:before="0" w:beforeAutospacing="0" w:after="0" w:afterAutospacing="0"/>
        <w:rPr>
          <w:color w:val="auto"/>
          <w:u w:val="single"/>
        </w:rPr>
      </w:pPr>
      <w:r>
        <w:rPr>
          <w:rFonts w:hint="eastAsia"/>
          <w:color w:val="auto"/>
        </w:rPr>
        <w:t>项目名称：</w:t>
      </w:r>
    </w:p>
    <w:p>
      <w:pPr>
        <w:pStyle w:val="16"/>
        <w:adjustRightInd w:val="0"/>
        <w:snapToGrid w:val="0"/>
        <w:spacing w:before="0" w:beforeAutospacing="0" w:after="0" w:afterAutospacing="0"/>
        <w:rPr>
          <w:color w:val="auto"/>
        </w:rPr>
      </w:pPr>
      <w:r>
        <w:rPr>
          <w:rFonts w:hint="eastAsia"/>
          <w:color w:val="auto"/>
        </w:rPr>
        <w:t>项目编号：</w:t>
      </w:r>
    </w:p>
    <w:tbl>
      <w:tblPr>
        <w:tblStyle w:val="19"/>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7"/>
        <w:gridCol w:w="3098"/>
        <w:gridCol w:w="2947"/>
        <w:gridCol w:w="2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top w:val="single" w:color="000000" w:sz="8" w:space="0"/>
              <w:left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序号</w:t>
            </w:r>
          </w:p>
        </w:tc>
        <w:tc>
          <w:tcPr>
            <w:tcW w:w="3098"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招标文件要求</w:t>
            </w:r>
          </w:p>
        </w:tc>
        <w:tc>
          <w:tcPr>
            <w:tcW w:w="2947"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投标文件响应</w:t>
            </w:r>
          </w:p>
        </w:tc>
        <w:tc>
          <w:tcPr>
            <w:tcW w:w="2638" w:type="dxa"/>
            <w:tcBorders>
              <w:top w:val="single" w:color="000000" w:sz="8" w:space="0"/>
              <w:bottom w:val="single" w:color="000000" w:sz="4" w:space="0"/>
              <w:right w:val="single" w:color="000000" w:sz="8" w:space="0"/>
            </w:tcBorders>
            <w:vAlign w:val="center"/>
          </w:tcPr>
          <w:p>
            <w:pPr>
              <w:spacing w:line="560" w:lineRule="exact"/>
              <w:jc w:val="center"/>
              <w:rPr>
                <w:b/>
                <w:color w:val="auto"/>
                <w:sz w:val="28"/>
              </w:rPr>
            </w:pPr>
            <w:r>
              <w:rPr>
                <w:rFonts w:hint="eastAsia"/>
                <w:b/>
                <w:color w:val="auto"/>
              </w:rPr>
              <w:t>偏差描述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1</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2</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3</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4</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5</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6</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7</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2"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8</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9</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637" w:type="dxa"/>
            <w:tcBorders>
              <w:left w:val="single" w:color="000000" w:sz="8" w:space="0"/>
              <w:bottom w:val="single" w:color="000000" w:sz="8" w:space="0"/>
              <w:right w:val="single" w:color="000000" w:sz="4" w:space="0"/>
            </w:tcBorders>
            <w:vAlign w:val="center"/>
          </w:tcPr>
          <w:p>
            <w:pPr>
              <w:spacing w:line="560" w:lineRule="exact"/>
              <w:jc w:val="center"/>
              <w:rPr>
                <w:color w:val="auto"/>
                <w:sz w:val="28"/>
              </w:rPr>
            </w:pPr>
            <w:r>
              <w:rPr>
                <w:color w:val="auto"/>
              </w:rPr>
              <w:t>......</w:t>
            </w:r>
          </w:p>
        </w:tc>
        <w:tc>
          <w:tcPr>
            <w:tcW w:w="3098" w:type="dxa"/>
            <w:tcBorders>
              <w:bottom w:val="single" w:color="000000" w:sz="8" w:space="0"/>
              <w:right w:val="single" w:color="000000" w:sz="4" w:space="0"/>
            </w:tcBorders>
            <w:vAlign w:val="center"/>
          </w:tcPr>
          <w:p>
            <w:pPr>
              <w:spacing w:line="560" w:lineRule="exact"/>
              <w:jc w:val="center"/>
              <w:rPr>
                <w:color w:val="auto"/>
                <w:sz w:val="28"/>
              </w:rPr>
            </w:pPr>
          </w:p>
        </w:tc>
        <w:tc>
          <w:tcPr>
            <w:tcW w:w="2947" w:type="dxa"/>
            <w:tcBorders>
              <w:bottom w:val="single" w:color="000000" w:sz="8" w:space="0"/>
              <w:right w:val="single" w:color="000000" w:sz="4" w:space="0"/>
            </w:tcBorders>
            <w:vAlign w:val="center"/>
          </w:tcPr>
          <w:p>
            <w:pPr>
              <w:spacing w:line="560" w:lineRule="exact"/>
              <w:jc w:val="center"/>
              <w:rPr>
                <w:color w:val="auto"/>
                <w:sz w:val="28"/>
              </w:rPr>
            </w:pPr>
          </w:p>
        </w:tc>
        <w:tc>
          <w:tcPr>
            <w:tcW w:w="2638" w:type="dxa"/>
            <w:tcBorders>
              <w:bottom w:val="single" w:color="000000" w:sz="8" w:space="0"/>
              <w:right w:val="single" w:color="000000" w:sz="8" w:space="0"/>
            </w:tcBorders>
            <w:vAlign w:val="center"/>
          </w:tcPr>
          <w:p>
            <w:pPr>
              <w:spacing w:line="560" w:lineRule="exact"/>
              <w:jc w:val="center"/>
              <w:rPr>
                <w:color w:val="auto"/>
                <w:sz w:val="28"/>
              </w:rPr>
            </w:pPr>
          </w:p>
        </w:tc>
      </w:tr>
    </w:tbl>
    <w:p>
      <w:pPr>
        <w:tabs>
          <w:tab w:val="left" w:pos="0"/>
        </w:tabs>
        <w:adjustRightInd w:val="0"/>
        <w:snapToGrid w:val="0"/>
        <w:spacing w:beforeLines="50" w:line="300" w:lineRule="auto"/>
        <w:ind w:right="25" w:firstLine="452" w:firstLineChars="200"/>
        <w:rPr>
          <w:rFonts w:ascii="宋体" w:hAnsi="宋体"/>
          <w:color w:val="auto"/>
          <w:spacing w:val="8"/>
          <w:szCs w:val="21"/>
        </w:rPr>
      </w:pPr>
      <w:r>
        <w:rPr>
          <w:rFonts w:hint="eastAsia" w:ascii="宋体" w:hAnsi="宋体"/>
          <w:color w:val="auto"/>
          <w:spacing w:val="8"/>
          <w:szCs w:val="21"/>
        </w:rPr>
        <w:t>注：</w:t>
      </w:r>
      <w:r>
        <w:rPr>
          <w:rFonts w:ascii="宋体" w:hAnsi="宋体"/>
          <w:color w:val="auto"/>
          <w:spacing w:val="8"/>
          <w:szCs w:val="21"/>
        </w:rPr>
        <w:t>1</w:t>
      </w:r>
      <w:r>
        <w:rPr>
          <w:rFonts w:hint="eastAsia" w:ascii="宋体" w:hAnsi="宋体"/>
          <w:color w:val="auto"/>
          <w:spacing w:val="8"/>
          <w:szCs w:val="21"/>
        </w:rPr>
        <w:t>、“其他偏差表”应详细注明与《招标文件》中各项要求（除技术条款外的所有条款）有何不同，并说明其符合性（优于、或低于《招标文件》要求）。</w:t>
      </w:r>
    </w:p>
    <w:p>
      <w:pPr>
        <w:tabs>
          <w:tab w:val="left" w:pos="0"/>
        </w:tabs>
        <w:adjustRightInd w:val="0"/>
        <w:snapToGrid w:val="0"/>
        <w:spacing w:beforeLines="50" w:line="300" w:lineRule="auto"/>
        <w:ind w:right="25" w:firstLine="452" w:firstLineChars="200"/>
        <w:rPr>
          <w:rFonts w:ascii="宋体"/>
          <w:color w:val="auto"/>
          <w:spacing w:val="8"/>
          <w:szCs w:val="21"/>
        </w:rPr>
      </w:pPr>
      <w:r>
        <w:rPr>
          <w:rFonts w:ascii="宋体" w:hAnsi="宋体"/>
          <w:color w:val="auto"/>
          <w:spacing w:val="8"/>
          <w:szCs w:val="21"/>
        </w:rPr>
        <w:t>2</w:t>
      </w:r>
      <w:r>
        <w:rPr>
          <w:rFonts w:hint="eastAsia" w:ascii="宋体" w:hAnsi="宋体"/>
          <w:color w:val="auto"/>
          <w:spacing w:val="8"/>
          <w:szCs w:val="21"/>
        </w:rPr>
        <w:t>、如投标条款与《招标文件》其他要求一致，仍需在本表填列“除技术条款外，与《招标文件》所有条款要求一致，无偏差”字样。</w:t>
      </w:r>
    </w:p>
    <w:p>
      <w:pPr>
        <w:tabs>
          <w:tab w:val="left" w:pos="0"/>
        </w:tabs>
        <w:adjustRightInd w:val="0"/>
        <w:snapToGrid w:val="0"/>
        <w:spacing w:beforeLines="50" w:line="300" w:lineRule="auto"/>
        <w:ind w:right="510"/>
        <w:rPr>
          <w:rFonts w:ascii="宋体"/>
          <w:color w:val="auto"/>
          <w:spacing w:val="8"/>
          <w:szCs w:val="21"/>
        </w:rPr>
      </w:pPr>
    </w:p>
    <w:p>
      <w:pPr>
        <w:tabs>
          <w:tab w:val="left" w:pos="0"/>
        </w:tabs>
        <w:adjustRightInd w:val="0"/>
        <w:snapToGrid w:val="0"/>
        <w:spacing w:beforeLines="50" w:line="300" w:lineRule="auto"/>
        <w:ind w:right="510"/>
        <w:rPr>
          <w:rFonts w:ascii="宋体"/>
          <w:color w:val="auto"/>
          <w:spacing w:val="8"/>
          <w:szCs w:val="21"/>
        </w:rPr>
      </w:pP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w:t>
      </w:r>
    </w:p>
    <w:p>
      <w:pPr>
        <w:autoSpaceDE w:val="0"/>
        <w:autoSpaceDN w:val="0"/>
        <w:adjustRightInd w:val="0"/>
        <w:spacing w:line="480" w:lineRule="auto"/>
        <w:rPr>
          <w:rFonts w:ascii="宋体"/>
          <w:color w:val="auto"/>
          <w:sz w:val="24"/>
        </w:rPr>
      </w:pPr>
      <w:r>
        <w:rPr>
          <w:rFonts w:hint="eastAsia" w:ascii="宋体" w:hAnsi="宋体"/>
          <w:color w:val="auto"/>
          <w:spacing w:val="8"/>
          <w:sz w:val="24"/>
        </w:rPr>
        <w:t>日期</w:t>
      </w:r>
      <w:r>
        <w:rPr>
          <w:rFonts w:ascii="宋体" w:hAnsi="宋体"/>
          <w:color w:val="auto"/>
          <w:spacing w:val="8"/>
          <w:sz w:val="24"/>
        </w:rPr>
        <w:t xml:space="preserve"> </w:t>
      </w:r>
      <w:r>
        <w:rPr>
          <w:rFonts w:hint="eastAsia" w:ascii="宋体" w:hAnsi="宋体"/>
          <w:color w:val="auto"/>
          <w:spacing w:val="8"/>
          <w:sz w:val="24"/>
        </w:rPr>
        <w:t>：</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tabs>
          <w:tab w:val="left" w:pos="540"/>
        </w:tabs>
        <w:spacing w:line="440" w:lineRule="exact"/>
        <w:jc w:val="center"/>
        <w:rPr>
          <w:rFonts w:ascii="黑体" w:hAnsi="黑体" w:eastAsia="黑体"/>
          <w:b/>
          <w:color w:val="auto"/>
          <w:sz w:val="30"/>
          <w:szCs w:val="30"/>
        </w:rPr>
      </w:pPr>
      <w:r>
        <w:rPr>
          <w:rFonts w:hint="eastAsia" w:ascii="黑体" w:hAnsi="黑体" w:eastAsia="黑体"/>
          <w:b/>
          <w:color w:val="auto"/>
          <w:sz w:val="30"/>
          <w:szCs w:val="30"/>
        </w:rPr>
        <w:t>7、售后服务计划</w:t>
      </w:r>
    </w:p>
    <w:p>
      <w:pPr>
        <w:snapToGrid w:val="0"/>
        <w:spacing w:line="560" w:lineRule="exact"/>
        <w:ind w:firstLine="839"/>
        <w:rPr>
          <w:color w:val="auto"/>
        </w:rPr>
      </w:pPr>
    </w:p>
    <w:p>
      <w:pPr>
        <w:autoSpaceDE w:val="0"/>
        <w:autoSpaceDN w:val="0"/>
        <w:adjustRightInd w:val="0"/>
        <w:spacing w:line="360" w:lineRule="auto"/>
        <w:ind w:left="1" w:firstLine="560"/>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、详细说明售后服务的内容、形式、时间、解决质量的响应时间、解决问题时间、单位名称、地点。</w:t>
      </w:r>
    </w:p>
    <w:p>
      <w:pPr>
        <w:autoSpaceDE w:val="0"/>
        <w:autoSpaceDN w:val="0"/>
        <w:adjustRightInd w:val="0"/>
        <w:spacing w:line="360" w:lineRule="auto"/>
        <w:ind w:left="1" w:firstLine="560"/>
        <w:rPr>
          <w:rFonts w:ascii="宋体" w:cs="楷体_GB2312"/>
          <w:color w:val="auto"/>
          <w:sz w:val="24"/>
          <w:lang w:val="zh-CN"/>
        </w:rPr>
      </w:pPr>
      <w:r>
        <w:rPr>
          <w:rFonts w:ascii="宋体" w:hAnsi="宋体" w:cs="楷体_GB2312"/>
          <w:color w:val="auto"/>
          <w:sz w:val="24"/>
          <w:lang w:val="zh-CN"/>
        </w:rPr>
        <w:t>2</w:t>
      </w:r>
      <w:r>
        <w:rPr>
          <w:rFonts w:hint="eastAsia" w:ascii="宋体" w:hAnsi="宋体" w:cs="楷体_GB2312"/>
          <w:color w:val="auto"/>
          <w:sz w:val="24"/>
          <w:lang w:val="zh-CN"/>
        </w:rPr>
        <w:t>、质量保证措施。</w:t>
      </w:r>
    </w:p>
    <w:p>
      <w:pPr>
        <w:autoSpaceDE w:val="0"/>
        <w:autoSpaceDN w:val="0"/>
        <w:adjustRightInd w:val="0"/>
        <w:spacing w:line="360" w:lineRule="auto"/>
        <w:ind w:left="1" w:firstLine="560"/>
        <w:rPr>
          <w:rFonts w:ascii="宋体" w:cs="楷体_GB2312"/>
          <w:color w:val="auto"/>
          <w:sz w:val="24"/>
          <w:lang w:val="zh-CN"/>
        </w:rPr>
      </w:pPr>
      <w:r>
        <w:rPr>
          <w:rFonts w:ascii="宋体" w:hAnsi="宋体" w:cs="楷体_GB2312"/>
          <w:color w:val="auto"/>
          <w:sz w:val="24"/>
          <w:lang w:val="zh-CN"/>
        </w:rPr>
        <w:t>3</w:t>
      </w:r>
      <w:r>
        <w:rPr>
          <w:rFonts w:hint="eastAsia" w:ascii="宋体" w:hAnsi="宋体" w:cs="楷体_GB2312"/>
          <w:color w:val="auto"/>
          <w:sz w:val="24"/>
          <w:lang w:val="zh-CN"/>
        </w:rPr>
        <w:t>、培训计划</w:t>
      </w:r>
    </w:p>
    <w:p>
      <w:pPr>
        <w:autoSpaceDE w:val="0"/>
        <w:autoSpaceDN w:val="0"/>
        <w:adjustRightInd w:val="0"/>
        <w:spacing w:line="360" w:lineRule="auto"/>
        <w:ind w:left="1" w:firstLine="560"/>
        <w:rPr>
          <w:rFonts w:ascii="宋体" w:cs="楷体_GB2312"/>
          <w:color w:val="auto"/>
          <w:sz w:val="24"/>
          <w:lang w:val="zh-CN"/>
        </w:rPr>
      </w:pPr>
      <w:r>
        <w:rPr>
          <w:rFonts w:ascii="宋体" w:hAnsi="宋体" w:cs="楷体_GB2312"/>
          <w:color w:val="auto"/>
          <w:sz w:val="24"/>
          <w:lang w:val="zh-CN"/>
        </w:rPr>
        <w:t>4</w:t>
      </w:r>
      <w:r>
        <w:rPr>
          <w:rFonts w:hint="eastAsia" w:ascii="宋体" w:hAnsi="宋体" w:cs="楷体_GB2312"/>
          <w:color w:val="auto"/>
          <w:sz w:val="24"/>
          <w:lang w:val="zh-CN"/>
        </w:rPr>
        <w:t>、该项目（标段&lt;包&gt;）所提供的其他免费物品或服务。</w:t>
      </w: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r>
        <w:rPr>
          <w:rFonts w:hint="eastAsia" w:ascii="宋体" w:hAnsi="宋体" w:cs="楷体_GB2312"/>
          <w:color w:val="auto"/>
          <w:sz w:val="24"/>
          <w:lang w:val="zh-CN"/>
        </w:rPr>
        <w:t>注：</w:t>
      </w:r>
    </w:p>
    <w:p>
      <w:pPr>
        <w:autoSpaceDE w:val="0"/>
        <w:autoSpaceDN w:val="0"/>
        <w:adjustRightInd w:val="0"/>
        <w:spacing w:line="360" w:lineRule="auto"/>
        <w:ind w:left="1" w:firstLine="560"/>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、投标人应按要求详细制定出所列条款。</w:t>
      </w:r>
    </w:p>
    <w:p>
      <w:pPr>
        <w:autoSpaceDE w:val="0"/>
        <w:autoSpaceDN w:val="0"/>
        <w:adjustRightInd w:val="0"/>
        <w:spacing w:line="360" w:lineRule="auto"/>
        <w:ind w:left="1" w:firstLine="560"/>
        <w:rPr>
          <w:rFonts w:ascii="宋体" w:cs="楷体_GB2312"/>
          <w:color w:val="auto"/>
          <w:sz w:val="24"/>
          <w:lang w:val="zh-CN"/>
        </w:rPr>
      </w:pPr>
      <w:r>
        <w:rPr>
          <w:rFonts w:ascii="宋体" w:hAnsi="宋体" w:cs="楷体_GB2312"/>
          <w:color w:val="auto"/>
          <w:sz w:val="24"/>
          <w:lang w:val="zh-CN"/>
        </w:rPr>
        <w:t>2</w:t>
      </w:r>
      <w:r>
        <w:rPr>
          <w:rFonts w:hint="eastAsia" w:ascii="宋体" w:hAnsi="宋体" w:cs="楷体_GB2312"/>
          <w:color w:val="auto"/>
          <w:sz w:val="24"/>
          <w:lang w:val="zh-CN"/>
        </w:rPr>
        <w:t>、“售后服务计划”按招标文件相应条款要求电子签名&lt;签</w:t>
      </w:r>
      <w:r>
        <w:rPr>
          <w:rFonts w:hint="eastAsia" w:ascii="宋体" w:hAnsi="宋体"/>
          <w:color w:val="auto"/>
          <w:sz w:val="24"/>
          <w:szCs w:val="24"/>
        </w:rPr>
        <w:t>章&gt;，未作明确要求的，由法定代表人</w:t>
      </w:r>
      <w:r>
        <w:rPr>
          <w:rFonts w:hint="eastAsia" w:ascii="宋体" w:hAnsi="宋体" w:cs="楷体_GB2312"/>
          <w:color w:val="auto"/>
          <w:sz w:val="24"/>
          <w:lang w:val="zh-CN"/>
        </w:rPr>
        <w:t>电子签名</w:t>
      </w:r>
      <w:r>
        <w:rPr>
          <w:rFonts w:hint="eastAsia" w:ascii="宋体" w:hAnsi="宋体"/>
          <w:color w:val="auto"/>
          <w:sz w:val="24"/>
          <w:szCs w:val="24"/>
        </w:rPr>
        <w:t>或投标人</w:t>
      </w:r>
      <w:r>
        <w:rPr>
          <w:rFonts w:hint="eastAsia" w:ascii="宋体" w:hAnsi="宋体" w:cs="楷体_GB2312"/>
          <w:color w:val="auto"/>
          <w:sz w:val="24"/>
          <w:lang w:val="zh-CN"/>
        </w:rPr>
        <w:t>电子签</w:t>
      </w:r>
      <w:r>
        <w:rPr>
          <w:rFonts w:hint="eastAsia" w:ascii="宋体" w:hAnsi="宋体"/>
          <w:color w:val="auto"/>
          <w:sz w:val="24"/>
          <w:szCs w:val="24"/>
        </w:rPr>
        <w:t>章</w:t>
      </w:r>
      <w:r>
        <w:rPr>
          <w:rFonts w:hint="eastAsia" w:ascii="宋体" w:hAnsi="宋体" w:cs="楷体_GB2312"/>
          <w:color w:val="auto"/>
          <w:sz w:val="24"/>
          <w:lang w:val="zh-CN"/>
        </w:rPr>
        <w:t>。</w:t>
      </w:r>
      <w:r>
        <w:rPr>
          <w:rFonts w:ascii="宋体" w:hAnsi="宋体" w:cs="楷体_GB2312"/>
          <w:color w:val="auto"/>
          <w:sz w:val="24"/>
          <w:lang w:val="zh-CN"/>
        </w:rPr>
        <w:t xml:space="preserve">                  </w:t>
      </w:r>
    </w:p>
    <w:p>
      <w:pPr>
        <w:snapToGrid w:val="0"/>
        <w:spacing w:line="560" w:lineRule="exact"/>
        <w:rPr>
          <w:color w:val="auto"/>
        </w:rPr>
      </w:pPr>
    </w:p>
    <w:p>
      <w:pPr>
        <w:autoSpaceDE w:val="0"/>
        <w:autoSpaceDN w:val="0"/>
        <w:adjustRightInd w:val="0"/>
        <w:spacing w:line="360" w:lineRule="auto"/>
        <w:ind w:left="1" w:firstLine="560"/>
        <w:rPr>
          <w:rFonts w:ascii="宋体" w:cs="楷体_GB2312"/>
          <w:color w:val="auto"/>
          <w:sz w:val="24"/>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r>
        <w:rPr>
          <w:rFonts w:ascii="宋体" w:hAnsi="宋体" w:cs="楷体_GB2312"/>
          <w:color w:val="auto"/>
          <w:sz w:val="24"/>
          <w:lang w:val="zh-CN"/>
        </w:rPr>
        <w:t xml:space="preserve">               </w:t>
      </w:r>
    </w:p>
    <w:p>
      <w:pPr>
        <w:snapToGrid w:val="0"/>
        <w:spacing w:line="560" w:lineRule="exact"/>
        <w:rPr>
          <w:color w:val="auto"/>
        </w:rPr>
      </w:pPr>
    </w:p>
    <w:p>
      <w:pPr>
        <w:snapToGrid w:val="0"/>
        <w:spacing w:line="560" w:lineRule="exact"/>
        <w:rPr>
          <w:color w:val="auto"/>
        </w:rPr>
      </w:pPr>
    </w:p>
    <w:p>
      <w:pPr>
        <w:snapToGrid w:val="0"/>
        <w:spacing w:line="560" w:lineRule="atLeast"/>
        <w:rPr>
          <w:rFonts w:ascii="宋体" w:hAnsi="宋体"/>
          <w:b/>
          <w:color w:val="auto"/>
          <w:sz w:val="32"/>
          <w:szCs w:val="32"/>
        </w:rPr>
      </w:pPr>
    </w:p>
    <w:p>
      <w:pPr>
        <w:pageBreakBefore/>
        <w:tabs>
          <w:tab w:val="left" w:pos="65"/>
        </w:tabs>
        <w:spacing w:afterLines="50" w:line="560" w:lineRule="exact"/>
        <w:jc w:val="center"/>
        <w:rPr>
          <w:rFonts w:ascii="黑体" w:hAnsi="黑体" w:eastAsia="黑体"/>
          <w:b/>
          <w:color w:val="auto"/>
          <w:sz w:val="30"/>
          <w:szCs w:val="30"/>
        </w:rPr>
      </w:pPr>
      <w:r>
        <w:rPr>
          <w:rFonts w:ascii="宋体" w:hAnsi="宋体"/>
          <w:color w:val="auto"/>
          <w:sz w:val="24"/>
        </w:rPr>
        <w:t xml:space="preserve">   </w:t>
      </w:r>
      <w:r>
        <w:rPr>
          <w:rFonts w:hint="eastAsia" w:ascii="黑体" w:hAnsi="黑体" w:eastAsia="黑体"/>
          <w:b/>
          <w:color w:val="auto"/>
          <w:sz w:val="30"/>
          <w:szCs w:val="30"/>
        </w:rPr>
        <w:t>8、反商业贿赂承诺书</w:t>
      </w:r>
    </w:p>
    <w:p>
      <w:pPr>
        <w:tabs>
          <w:tab w:val="left" w:pos="65"/>
        </w:tabs>
        <w:spacing w:line="560" w:lineRule="exact"/>
        <w:jc w:val="center"/>
        <w:rPr>
          <w:rFonts w:ascii="宋体" w:hAnsi="宋体"/>
          <w:b/>
          <w:color w:val="auto"/>
          <w:sz w:val="24"/>
          <w:szCs w:val="24"/>
        </w:rPr>
      </w:pPr>
    </w:p>
    <w:p>
      <w:pPr>
        <w:tabs>
          <w:tab w:val="left" w:pos="65"/>
        </w:tabs>
        <w:spacing w:line="740" w:lineRule="exact"/>
        <w:rPr>
          <w:rFonts w:ascii="宋体" w:hAnsi="宋体"/>
          <w:color w:val="auto"/>
          <w:sz w:val="24"/>
          <w:szCs w:val="24"/>
        </w:rPr>
      </w:pPr>
      <w:r>
        <w:rPr>
          <w:rFonts w:hint="eastAsia" w:ascii="宋体" w:hAnsi="宋体"/>
          <w:color w:val="auto"/>
          <w:sz w:val="24"/>
          <w:szCs w:val="24"/>
        </w:rPr>
        <w:t>致：</w:t>
      </w:r>
      <w:r>
        <w:rPr>
          <w:rFonts w:hint="eastAsia" w:ascii="宋体" w:hAnsi="宋体"/>
          <w:color w:val="auto"/>
          <w:sz w:val="24"/>
          <w:szCs w:val="24"/>
          <w:u w:val="single"/>
        </w:rPr>
        <w:t xml:space="preserve">    </w:t>
      </w:r>
      <w:r>
        <w:rPr>
          <w:rFonts w:hint="eastAsia" w:ascii="宋体" w:hAnsi="宋体"/>
          <w:color w:val="auto"/>
          <w:spacing w:val="11"/>
          <w:sz w:val="24"/>
          <w:szCs w:val="24"/>
          <w:u w:val="single"/>
        </w:rPr>
        <w:t xml:space="preserve">(采购人名称）    </w:t>
      </w:r>
    </w:p>
    <w:p>
      <w:pPr>
        <w:tabs>
          <w:tab w:val="left" w:pos="65"/>
        </w:tabs>
        <w:spacing w:line="740" w:lineRule="exact"/>
        <w:ind w:firstLine="480" w:firstLineChars="200"/>
        <w:rPr>
          <w:rFonts w:ascii="宋体" w:hAnsi="宋体"/>
          <w:color w:val="auto"/>
          <w:sz w:val="24"/>
          <w:szCs w:val="24"/>
        </w:rPr>
      </w:pPr>
      <w:r>
        <w:rPr>
          <w:rFonts w:hint="eastAsia" w:ascii="宋体" w:hAnsi="宋体"/>
          <w:color w:val="auto"/>
          <w:sz w:val="24"/>
          <w:szCs w:val="24"/>
        </w:rPr>
        <w:t>在项目编号为</w:t>
      </w:r>
      <w:r>
        <w:rPr>
          <w:rFonts w:hint="eastAsia" w:ascii="宋体" w:hAnsi="宋体"/>
          <w:color w:val="auto"/>
          <w:sz w:val="24"/>
          <w:szCs w:val="24"/>
          <w:u w:val="single"/>
        </w:rPr>
        <w:t xml:space="preserve">                </w:t>
      </w:r>
      <w:r>
        <w:rPr>
          <w:rFonts w:hint="eastAsia" w:ascii="宋体" w:hAnsi="宋体"/>
          <w:color w:val="auto"/>
          <w:sz w:val="24"/>
          <w:szCs w:val="24"/>
        </w:rPr>
        <w:t xml:space="preserve"> 的</w:t>
      </w:r>
      <w:r>
        <w:rPr>
          <w:rFonts w:hint="eastAsia" w:ascii="宋体" w:hAnsi="宋体"/>
          <w:color w:val="auto"/>
          <w:sz w:val="24"/>
          <w:szCs w:val="24"/>
          <w:u w:val="single"/>
        </w:rPr>
        <w:t xml:space="preserve">    （项目名称）  </w:t>
      </w:r>
      <w:r>
        <w:rPr>
          <w:rFonts w:hint="eastAsia" w:ascii="宋体" w:hAnsi="宋体"/>
          <w:color w:val="auto"/>
          <w:sz w:val="24"/>
          <w:szCs w:val="24"/>
        </w:rPr>
        <w:t xml:space="preserve"> 招标活动中，我公司保证做到：</w:t>
      </w:r>
    </w:p>
    <w:p>
      <w:pPr>
        <w:tabs>
          <w:tab w:val="left" w:pos="65"/>
        </w:tabs>
        <w:spacing w:line="740" w:lineRule="exact"/>
        <w:ind w:firstLine="480" w:firstLineChars="200"/>
        <w:rPr>
          <w:rFonts w:ascii="宋体" w:hAnsi="宋体"/>
          <w:color w:val="auto"/>
          <w:sz w:val="24"/>
          <w:szCs w:val="24"/>
        </w:rPr>
      </w:pPr>
      <w:r>
        <w:rPr>
          <w:rFonts w:hint="eastAsia" w:ascii="宋体" w:hAnsi="宋体"/>
          <w:color w:val="auto"/>
          <w:sz w:val="24"/>
          <w:szCs w:val="24"/>
        </w:rPr>
        <w:t>一、公平竞争参加本次招标活动。</w:t>
      </w:r>
    </w:p>
    <w:p>
      <w:pPr>
        <w:tabs>
          <w:tab w:val="left" w:pos="65"/>
        </w:tabs>
        <w:spacing w:line="740" w:lineRule="exact"/>
        <w:ind w:firstLine="480" w:firstLineChars="200"/>
        <w:rPr>
          <w:rFonts w:ascii="宋体" w:hAnsi="宋体"/>
          <w:color w:val="auto"/>
          <w:sz w:val="24"/>
          <w:szCs w:val="24"/>
        </w:rPr>
      </w:pPr>
      <w:r>
        <w:rPr>
          <w:rFonts w:hint="eastAsia" w:ascii="宋体" w:hAnsi="宋体"/>
          <w:color w:val="auto"/>
          <w:sz w:val="24"/>
          <w:szCs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tabs>
          <w:tab w:val="left" w:pos="65"/>
        </w:tabs>
        <w:spacing w:line="740" w:lineRule="exact"/>
        <w:ind w:firstLine="480" w:firstLineChars="200"/>
        <w:rPr>
          <w:rFonts w:ascii="宋体" w:hAnsi="宋体"/>
          <w:color w:val="auto"/>
          <w:sz w:val="24"/>
          <w:szCs w:val="24"/>
        </w:rPr>
      </w:pPr>
      <w:r>
        <w:rPr>
          <w:rFonts w:hint="eastAsia" w:ascii="宋体" w:hAnsi="宋体"/>
          <w:color w:val="auto"/>
          <w:sz w:val="24"/>
          <w:szCs w:val="24"/>
        </w:rPr>
        <w:t>三、若出现上述行为，我单位愿意接受相关部门按照国家法律法规等有关规定给予的处理。</w:t>
      </w:r>
    </w:p>
    <w:p>
      <w:pPr>
        <w:tabs>
          <w:tab w:val="left" w:pos="65"/>
        </w:tabs>
        <w:spacing w:line="740" w:lineRule="exact"/>
        <w:rPr>
          <w:rFonts w:ascii="宋体" w:hAnsi="宋体"/>
          <w:color w:val="auto"/>
          <w:sz w:val="24"/>
          <w:szCs w:val="24"/>
        </w:rPr>
      </w:pPr>
    </w:p>
    <w:p>
      <w:pPr>
        <w:tabs>
          <w:tab w:val="left" w:pos="65"/>
        </w:tabs>
        <w:spacing w:line="740" w:lineRule="exact"/>
        <w:rPr>
          <w:rFonts w:ascii="宋体" w:hAnsi="宋体"/>
          <w:color w:val="auto"/>
          <w:sz w:val="24"/>
          <w:szCs w:val="24"/>
        </w:rPr>
      </w:pP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投标人（电子签章）：</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日期：</w:t>
      </w:r>
      <w:r>
        <w:rPr>
          <w:color w:val="auto"/>
          <w:sz w:val="24"/>
          <w:szCs w:val="24"/>
        </w:rPr>
        <w:t xml:space="preserve">  </w:t>
      </w:r>
      <w:r>
        <w:rPr>
          <w:rFonts w:hint="eastAsia"/>
          <w:color w:val="auto"/>
          <w:sz w:val="24"/>
          <w:szCs w:val="24"/>
        </w:rPr>
        <w:t>年</w:t>
      </w:r>
      <w:r>
        <w:rPr>
          <w:color w:val="auto"/>
          <w:sz w:val="24"/>
          <w:szCs w:val="24"/>
        </w:rPr>
        <w:t xml:space="preserve">   </w:t>
      </w:r>
      <w:r>
        <w:rPr>
          <w:rFonts w:hint="eastAsia"/>
          <w:color w:val="auto"/>
          <w:sz w:val="24"/>
          <w:szCs w:val="24"/>
        </w:rPr>
        <w:t>月</w:t>
      </w:r>
      <w:r>
        <w:rPr>
          <w:color w:val="auto"/>
          <w:sz w:val="24"/>
          <w:szCs w:val="24"/>
        </w:rPr>
        <w:t xml:space="preserve">   </w:t>
      </w:r>
      <w:r>
        <w:rPr>
          <w:rFonts w:hint="eastAsia"/>
          <w:color w:val="auto"/>
          <w:sz w:val="24"/>
          <w:szCs w:val="24"/>
        </w:rPr>
        <w:t>日</w:t>
      </w:r>
    </w:p>
    <w:p>
      <w:pPr>
        <w:tabs>
          <w:tab w:val="left" w:pos="9365"/>
        </w:tabs>
        <w:spacing w:before="360" w:after="360" w:line="586" w:lineRule="atLeast"/>
        <w:ind w:right="85"/>
        <w:jc w:val="left"/>
        <w:textAlignment w:val="top"/>
        <w:rPr>
          <w:rFonts w:ascii="宋体" w:hAnsi="宋体"/>
          <w:color w:val="auto"/>
          <w:sz w:val="24"/>
          <w:szCs w:val="24"/>
        </w:rPr>
      </w:pPr>
    </w:p>
    <w:p>
      <w:pPr>
        <w:snapToGrid w:val="0"/>
        <w:spacing w:line="560" w:lineRule="exact"/>
        <w:rPr>
          <w:rFonts w:ascii="宋体"/>
          <w:color w:val="auto"/>
          <w:sz w:val="24"/>
        </w:rPr>
      </w:pPr>
      <w:r>
        <w:rPr>
          <w:rFonts w:ascii="宋体"/>
          <w:color w:val="auto"/>
          <w:sz w:val="24"/>
        </w:rPr>
        <w:br w:type="page"/>
      </w:r>
    </w:p>
    <w:p>
      <w:pPr>
        <w:tabs>
          <w:tab w:val="left" w:pos="540"/>
        </w:tabs>
        <w:spacing w:line="440" w:lineRule="exact"/>
        <w:jc w:val="center"/>
        <w:rPr>
          <w:color w:val="auto"/>
          <w:sz w:val="28"/>
        </w:rPr>
      </w:pPr>
      <w:r>
        <w:rPr>
          <w:rFonts w:hint="eastAsia" w:ascii="黑体" w:hAnsi="黑体" w:eastAsia="黑体"/>
          <w:b/>
          <w:color w:val="auto"/>
          <w:sz w:val="30"/>
          <w:szCs w:val="30"/>
        </w:rPr>
        <w:t>9、履约承诺书</w:t>
      </w:r>
    </w:p>
    <w:p>
      <w:pPr>
        <w:adjustRightInd w:val="0"/>
        <w:snapToGrid w:val="0"/>
        <w:spacing w:beforeLines="50" w:line="300" w:lineRule="auto"/>
        <w:ind w:right="56" w:firstLine="555"/>
        <w:rPr>
          <w:color w:val="auto"/>
          <w:sz w:val="24"/>
        </w:rPr>
      </w:pPr>
      <w:r>
        <w:rPr>
          <w:rFonts w:hint="eastAsia"/>
          <w:color w:val="auto"/>
          <w:sz w:val="24"/>
        </w:rPr>
        <w:t>一、我单位承诺：</w:t>
      </w:r>
    </w:p>
    <w:p>
      <w:pPr>
        <w:adjustRightInd w:val="0"/>
        <w:snapToGrid w:val="0"/>
        <w:spacing w:beforeLines="50" w:line="300" w:lineRule="auto"/>
        <w:ind w:firstLine="555"/>
        <w:rPr>
          <w:color w:val="auto"/>
          <w:sz w:val="24"/>
        </w:rPr>
      </w:pPr>
      <w:r>
        <w:rPr>
          <w:rFonts w:hint="eastAsia"/>
          <w:color w:val="auto"/>
          <w:sz w:val="24"/>
        </w:rPr>
        <w:t>（一）我单位已详细阅读并完全理解、同意招标文件的全部内容，包括修改补充文件以及全部参考资料和有关附件；除我单位在招标文件规定期间内书面提出的疑问外，我单位放弃对这方面不明及误解的权力，并严格按采购人确定的技术及商务要求等履行。</w:t>
      </w:r>
    </w:p>
    <w:p>
      <w:pPr>
        <w:tabs>
          <w:tab w:val="left" w:pos="9354"/>
        </w:tabs>
        <w:adjustRightInd w:val="0"/>
        <w:snapToGrid w:val="0"/>
        <w:spacing w:beforeLines="50" w:line="300" w:lineRule="auto"/>
        <w:ind w:firstLine="480" w:firstLineChars="200"/>
        <w:rPr>
          <w:color w:val="auto"/>
          <w:sz w:val="24"/>
        </w:rPr>
      </w:pPr>
      <w:r>
        <w:rPr>
          <w:rFonts w:hint="eastAsia"/>
          <w:color w:val="auto"/>
          <w:sz w:val="24"/>
        </w:rPr>
        <w:t>（二）我单位开标前已详细勘察现场，并按采购人现场条件及采购要求编制投标报价；我单位的投标报价括包括文件所述报价组成的所有内容、并包括招标文件未列明而与采购项目相关的、必须的所有款项及费用等达到交付使用及验收条件的所有一切风险、责任和义务的费用。</w:t>
      </w:r>
    </w:p>
    <w:p>
      <w:pPr>
        <w:tabs>
          <w:tab w:val="left" w:pos="9354"/>
        </w:tabs>
        <w:adjustRightInd w:val="0"/>
        <w:snapToGrid w:val="0"/>
        <w:spacing w:beforeLines="50" w:line="300" w:lineRule="auto"/>
        <w:ind w:firstLine="480" w:firstLineChars="200"/>
        <w:rPr>
          <w:color w:val="auto"/>
          <w:sz w:val="24"/>
        </w:rPr>
      </w:pPr>
      <w:r>
        <w:rPr>
          <w:rFonts w:hint="eastAsia"/>
          <w:color w:val="auto"/>
          <w:sz w:val="24"/>
        </w:rPr>
        <w:t>我单位保证按招标文件要求及投标承诺的质量诚信履约。</w:t>
      </w:r>
    </w:p>
    <w:p>
      <w:pPr>
        <w:tabs>
          <w:tab w:val="left" w:pos="9354"/>
        </w:tabs>
        <w:adjustRightInd w:val="0"/>
        <w:snapToGrid w:val="0"/>
        <w:spacing w:beforeLines="50" w:line="300" w:lineRule="auto"/>
        <w:ind w:firstLine="480" w:firstLineChars="200"/>
        <w:rPr>
          <w:color w:val="auto"/>
          <w:sz w:val="24"/>
        </w:rPr>
      </w:pPr>
      <w:r>
        <w:rPr>
          <w:rFonts w:hint="eastAsia"/>
          <w:color w:val="auto"/>
          <w:sz w:val="24"/>
        </w:rPr>
        <w:t>（三）我单位保证在招标文件要求的时间内按期、保质完成中标项目。我单位在推荐中标结果公示后，将积极、主动的与采购人联系合同签订事宜，合同签订中如有任何的问题，我单位保证及时书面反映情况，否则视为我单位责任、按违约处理。</w:t>
      </w:r>
    </w:p>
    <w:p>
      <w:pPr>
        <w:tabs>
          <w:tab w:val="left" w:pos="9354"/>
        </w:tabs>
        <w:adjustRightInd w:val="0"/>
        <w:snapToGrid w:val="0"/>
        <w:spacing w:beforeLines="50" w:line="300" w:lineRule="auto"/>
        <w:ind w:firstLine="480" w:firstLineChars="200"/>
        <w:rPr>
          <w:color w:val="auto"/>
          <w:sz w:val="24"/>
        </w:rPr>
      </w:pPr>
      <w:r>
        <w:rPr>
          <w:rFonts w:hint="eastAsia"/>
          <w:color w:val="auto"/>
          <w:sz w:val="24"/>
        </w:rPr>
        <w:t>二、我单位承诺：</w:t>
      </w:r>
    </w:p>
    <w:p>
      <w:pPr>
        <w:tabs>
          <w:tab w:val="left" w:pos="9354"/>
        </w:tabs>
        <w:adjustRightInd w:val="0"/>
        <w:snapToGrid w:val="0"/>
        <w:spacing w:beforeLines="50" w:line="300" w:lineRule="auto"/>
        <w:ind w:firstLine="480" w:firstLineChars="200"/>
        <w:rPr>
          <w:color w:val="auto"/>
          <w:sz w:val="24"/>
        </w:rPr>
      </w:pPr>
      <w:r>
        <w:rPr>
          <w:rFonts w:hint="eastAsia"/>
          <w:color w:val="auto"/>
          <w:sz w:val="24"/>
        </w:rPr>
        <w:t>除法律规定的不可抗力因素外，我单位中标后以任何理由（包括违背上述承诺的事项）提出不能满足招标文件技术、交付（实施）期等要求或不能实现投标承诺的或提出变更的，我单位将无条件接受违约处理、并放弃我单位中标资格。我单位知悉违约责任及其处理，并无条件接受：</w:t>
      </w:r>
      <w:r>
        <w:rPr>
          <w:rFonts w:hint="eastAsia" w:ascii="宋体" w:hAnsi="宋体"/>
          <w:color w:val="auto"/>
          <w:sz w:val="24"/>
          <w:szCs w:val="24"/>
        </w:rPr>
        <w:t>依据招标文件“第三章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w:t>
      </w:r>
      <w:r>
        <w:rPr>
          <w:rFonts w:hint="eastAsia" w:ascii="宋体" w:hAnsi="宋体" w:cs="楷体_GB2312"/>
          <w:color w:val="auto"/>
          <w:sz w:val="24"/>
          <w:szCs w:val="22"/>
        </w:rPr>
        <w:t>承担相应法律责任及违约责任。</w:t>
      </w:r>
      <w:r>
        <w:rPr>
          <w:rFonts w:hint="eastAsia"/>
          <w:color w:val="auto"/>
          <w:sz w:val="24"/>
        </w:rPr>
        <w:t>情节严重的，由财政部门列入不良行为记录名单，在一至三年内禁止参加政府采购活动，并予以通报，处以罚金，给采购人及他人造成损失的，承担相应的赔偿责任。</w:t>
      </w:r>
    </w:p>
    <w:p>
      <w:pPr>
        <w:tabs>
          <w:tab w:val="left" w:pos="9354"/>
        </w:tabs>
        <w:adjustRightInd w:val="0"/>
        <w:snapToGrid w:val="0"/>
        <w:spacing w:beforeLines="50" w:line="300" w:lineRule="auto"/>
        <w:ind w:firstLine="480" w:firstLineChars="200"/>
        <w:rPr>
          <w:color w:val="auto"/>
          <w:sz w:val="24"/>
        </w:rPr>
      </w:pPr>
    </w:p>
    <w:p>
      <w:pPr>
        <w:tabs>
          <w:tab w:val="left" w:pos="9354"/>
        </w:tabs>
        <w:adjustRightInd w:val="0"/>
        <w:snapToGrid w:val="0"/>
        <w:spacing w:beforeLines="50" w:line="300" w:lineRule="auto"/>
        <w:ind w:firstLine="480" w:firstLineChars="200"/>
        <w:rPr>
          <w:color w:val="auto"/>
          <w:sz w:val="24"/>
        </w:rPr>
      </w:pP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w:t>
      </w:r>
    </w:p>
    <w:p>
      <w:pPr>
        <w:tabs>
          <w:tab w:val="left" w:pos="0"/>
        </w:tabs>
        <w:spacing w:line="500" w:lineRule="exact"/>
        <w:ind w:right="256"/>
        <w:jc w:val="right"/>
        <w:rPr>
          <w:rFonts w:ascii="宋体"/>
          <w:color w:val="auto"/>
          <w:spacing w:val="8"/>
          <w:sz w:val="24"/>
        </w:rPr>
      </w:pPr>
    </w:p>
    <w:p>
      <w:pPr>
        <w:autoSpaceDE w:val="0"/>
        <w:autoSpaceDN w:val="0"/>
        <w:adjustRightInd w:val="0"/>
        <w:spacing w:line="360" w:lineRule="auto"/>
        <w:jc w:val="left"/>
        <w:rPr>
          <w:rFonts w:eastAsia="方正黑体简体"/>
          <w:b/>
          <w:color w:val="auto"/>
          <w:sz w:val="30"/>
          <w:szCs w:val="30"/>
        </w:rPr>
      </w:pPr>
      <w:r>
        <w:rPr>
          <w:rFonts w:hint="eastAsia" w:ascii="宋体" w:hAnsi="宋体"/>
          <w:color w:val="auto"/>
          <w:spacing w:val="8"/>
          <w:sz w:val="24"/>
        </w:rPr>
        <w:t>日期</w:t>
      </w:r>
      <w:r>
        <w:rPr>
          <w:rFonts w:ascii="宋体" w:hAnsi="宋体"/>
          <w:color w:val="auto"/>
          <w:spacing w:val="8"/>
          <w:sz w:val="24"/>
        </w:rPr>
        <w:t xml:space="preserve"> </w:t>
      </w:r>
      <w:r>
        <w:rPr>
          <w:rFonts w:hint="eastAsia" w:ascii="宋体" w:hAnsi="宋体"/>
          <w:color w:val="auto"/>
          <w:spacing w:val="8"/>
          <w:sz w:val="24"/>
        </w:rPr>
        <w:t>：</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spacing w:line="240" w:lineRule="auto"/>
        <w:jc w:val="left"/>
        <w:textAlignment w:val="auto"/>
        <w:rPr>
          <w:rFonts w:ascii="宋体"/>
          <w:color w:val="auto"/>
          <w:sz w:val="24"/>
          <w:szCs w:val="24"/>
        </w:rPr>
      </w:pPr>
      <w:r>
        <w:rPr>
          <w:rFonts w:eastAsia="方正黑体简体"/>
          <w:b/>
          <w:color w:val="auto"/>
          <w:sz w:val="30"/>
          <w:szCs w:val="30"/>
        </w:rPr>
        <w:br w:type="page"/>
      </w:r>
    </w:p>
    <w:p>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1</w:t>
      </w:r>
      <w:r>
        <w:rPr>
          <w:rFonts w:ascii="黑体" w:hAnsi="黑体" w:eastAsia="黑体"/>
          <w:b/>
          <w:color w:val="auto"/>
          <w:sz w:val="30"/>
          <w:szCs w:val="30"/>
        </w:rPr>
        <w:t>0</w:t>
      </w:r>
      <w:r>
        <w:rPr>
          <w:rFonts w:hint="eastAsia" w:ascii="黑体" w:hAnsi="黑体" w:eastAsia="黑体"/>
          <w:b/>
          <w:color w:val="auto"/>
          <w:sz w:val="30"/>
          <w:szCs w:val="30"/>
        </w:rPr>
        <w:t>、招标项目要求及采购需求所需的其他材料</w:t>
      </w:r>
    </w:p>
    <w:p>
      <w:pPr>
        <w:widowControl w:val="0"/>
        <w:snapToGrid w:val="0"/>
        <w:spacing w:line="560" w:lineRule="exact"/>
        <w:ind w:firstLine="555"/>
        <w:rPr>
          <w:rFonts w:ascii="宋体" w:hAnsi="宋体"/>
          <w:color w:val="auto"/>
          <w:sz w:val="24"/>
          <w:szCs w:val="24"/>
        </w:rPr>
      </w:pPr>
      <w:r>
        <w:rPr>
          <w:rFonts w:hint="eastAsia" w:ascii="宋体" w:hAnsi="宋体"/>
          <w:color w:val="auto"/>
          <w:sz w:val="24"/>
          <w:szCs w:val="24"/>
        </w:rPr>
        <w:t>（按条款需要填列；并按条款要求电子签名&lt;签章&gt;。条款中对电子签名&lt;签章&gt;未作明确要求的，由法定代表人电子签名或投标人电子签章）</w:t>
      </w:r>
    </w:p>
    <w:p>
      <w:pPr>
        <w:widowControl w:val="0"/>
        <w:snapToGrid w:val="0"/>
        <w:spacing w:line="560" w:lineRule="exact"/>
        <w:ind w:firstLine="555"/>
        <w:rPr>
          <w:rFonts w:ascii="宋体" w:hAnsi="宋体"/>
          <w:color w:val="auto"/>
          <w:sz w:val="24"/>
          <w:szCs w:val="24"/>
        </w:rPr>
      </w:pPr>
      <w:r>
        <w:rPr>
          <w:rFonts w:hint="eastAsia" w:ascii="宋体" w:hAnsi="宋体"/>
          <w:color w:val="auto"/>
          <w:sz w:val="24"/>
          <w:szCs w:val="24"/>
        </w:rPr>
        <w:t>如采购产品属于政府强制采购品目清单的，投标文件中应当提供相应的认证证书，认证证书应当为国家确定的认证机构出具、且应处于有效期之内。不符合的、为无效投标。</w:t>
      </w:r>
    </w:p>
    <w:p>
      <w:pPr>
        <w:widowControl w:val="0"/>
        <w:snapToGrid w:val="0"/>
        <w:spacing w:line="560" w:lineRule="exact"/>
        <w:ind w:firstLine="555"/>
        <w:rPr>
          <w:rFonts w:ascii="宋体"/>
          <w:color w:val="auto"/>
          <w:sz w:val="24"/>
          <w:szCs w:val="24"/>
        </w:rPr>
      </w:pPr>
    </w:p>
    <w:p>
      <w:pPr>
        <w:autoSpaceDE w:val="0"/>
        <w:autoSpaceDN w:val="0"/>
        <w:adjustRightInd w:val="0"/>
        <w:spacing w:line="360" w:lineRule="auto"/>
        <w:jc w:val="center"/>
        <w:rPr>
          <w:rFonts w:eastAsia="方正黑体简体"/>
          <w:b/>
          <w:color w:val="auto"/>
          <w:sz w:val="30"/>
          <w:szCs w:val="30"/>
        </w:rPr>
      </w:pPr>
    </w:p>
    <w:p>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1</w:t>
      </w:r>
      <w:r>
        <w:rPr>
          <w:rFonts w:ascii="黑体" w:hAnsi="黑体" w:eastAsia="黑体"/>
          <w:b/>
          <w:color w:val="auto"/>
          <w:sz w:val="30"/>
          <w:szCs w:val="30"/>
        </w:rPr>
        <w:t>1</w:t>
      </w:r>
      <w:r>
        <w:rPr>
          <w:rFonts w:hint="eastAsia" w:ascii="黑体" w:hAnsi="黑体" w:eastAsia="黑体"/>
          <w:b/>
          <w:color w:val="auto"/>
          <w:sz w:val="30"/>
          <w:szCs w:val="30"/>
        </w:rPr>
        <w:t>、投标人须知所需的其他材料</w:t>
      </w:r>
    </w:p>
    <w:p>
      <w:pPr>
        <w:widowControl w:val="0"/>
        <w:snapToGrid w:val="0"/>
        <w:spacing w:line="560" w:lineRule="exact"/>
        <w:ind w:firstLine="555"/>
        <w:rPr>
          <w:rFonts w:ascii="宋体"/>
          <w:color w:val="auto"/>
          <w:sz w:val="24"/>
          <w:szCs w:val="24"/>
        </w:rPr>
      </w:pPr>
      <w:r>
        <w:rPr>
          <w:rFonts w:hint="eastAsia" w:ascii="宋体" w:hAnsi="宋体"/>
          <w:color w:val="auto"/>
          <w:sz w:val="24"/>
          <w:szCs w:val="24"/>
        </w:rPr>
        <w:t>（按条款需要填列；并按条款要求</w:t>
      </w:r>
      <w:r>
        <w:rPr>
          <w:rFonts w:hint="eastAsia" w:ascii="宋体" w:hAnsi="宋体" w:cs="楷体_GB2312"/>
          <w:color w:val="auto"/>
          <w:sz w:val="24"/>
          <w:lang w:val="zh-CN"/>
        </w:rPr>
        <w:t>电子签名&lt;签</w:t>
      </w:r>
      <w:r>
        <w:rPr>
          <w:rFonts w:hint="eastAsia" w:ascii="宋体" w:hAnsi="宋体"/>
          <w:color w:val="auto"/>
          <w:sz w:val="24"/>
          <w:szCs w:val="24"/>
        </w:rPr>
        <w:t>章&gt;。条款中对</w:t>
      </w:r>
      <w:r>
        <w:rPr>
          <w:rFonts w:hint="eastAsia" w:ascii="宋体" w:hAnsi="宋体" w:cs="楷体_GB2312"/>
          <w:color w:val="auto"/>
          <w:sz w:val="24"/>
          <w:lang w:val="zh-CN"/>
        </w:rPr>
        <w:t>电子签名&lt;签</w:t>
      </w:r>
      <w:r>
        <w:rPr>
          <w:rFonts w:hint="eastAsia" w:ascii="宋体" w:hAnsi="宋体"/>
          <w:color w:val="auto"/>
          <w:sz w:val="24"/>
          <w:szCs w:val="24"/>
        </w:rPr>
        <w:t>章&gt;未作明确要求的，由法定代表人</w:t>
      </w:r>
      <w:r>
        <w:rPr>
          <w:rFonts w:hint="eastAsia" w:ascii="宋体" w:hAnsi="宋体" w:cs="楷体_GB2312"/>
          <w:color w:val="auto"/>
          <w:sz w:val="24"/>
          <w:lang w:val="zh-CN"/>
        </w:rPr>
        <w:t>电子签名</w:t>
      </w:r>
      <w:r>
        <w:rPr>
          <w:rFonts w:hint="eastAsia" w:ascii="宋体" w:hAnsi="宋体"/>
          <w:color w:val="auto"/>
          <w:sz w:val="24"/>
          <w:szCs w:val="24"/>
        </w:rPr>
        <w:t>或投标人</w:t>
      </w:r>
      <w:r>
        <w:rPr>
          <w:rFonts w:hint="eastAsia" w:ascii="宋体" w:hAnsi="宋体" w:cs="楷体_GB2312"/>
          <w:color w:val="auto"/>
          <w:sz w:val="24"/>
          <w:lang w:val="zh-CN"/>
        </w:rPr>
        <w:t>电子签</w:t>
      </w:r>
      <w:r>
        <w:rPr>
          <w:rFonts w:hint="eastAsia" w:ascii="宋体" w:hAnsi="宋体"/>
          <w:color w:val="auto"/>
          <w:sz w:val="24"/>
          <w:szCs w:val="24"/>
        </w:rPr>
        <w:t>章）</w:t>
      </w:r>
    </w:p>
    <w:p>
      <w:pPr>
        <w:autoSpaceDE w:val="0"/>
        <w:autoSpaceDN w:val="0"/>
        <w:adjustRightInd w:val="0"/>
        <w:spacing w:line="360" w:lineRule="auto"/>
        <w:jc w:val="center"/>
        <w:rPr>
          <w:rFonts w:ascii="宋体"/>
          <w:color w:val="auto"/>
          <w:sz w:val="24"/>
          <w:szCs w:val="24"/>
        </w:rPr>
      </w:pPr>
    </w:p>
    <w:p>
      <w:pPr>
        <w:autoSpaceDE w:val="0"/>
        <w:autoSpaceDN w:val="0"/>
        <w:adjustRightInd w:val="0"/>
        <w:spacing w:line="360" w:lineRule="auto"/>
        <w:jc w:val="center"/>
        <w:rPr>
          <w:rFonts w:eastAsia="方正黑体简体"/>
          <w:b/>
          <w:color w:val="auto"/>
          <w:sz w:val="30"/>
          <w:szCs w:val="30"/>
        </w:rPr>
      </w:pPr>
    </w:p>
    <w:p>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1</w:t>
      </w:r>
      <w:r>
        <w:rPr>
          <w:rFonts w:ascii="黑体" w:hAnsi="黑体" w:eastAsia="黑体"/>
          <w:b/>
          <w:color w:val="auto"/>
          <w:sz w:val="30"/>
          <w:szCs w:val="30"/>
        </w:rPr>
        <w:t>2</w:t>
      </w:r>
      <w:r>
        <w:rPr>
          <w:rFonts w:hint="eastAsia" w:ascii="黑体" w:hAnsi="黑体" w:eastAsia="黑体"/>
          <w:b/>
          <w:color w:val="auto"/>
          <w:sz w:val="30"/>
          <w:szCs w:val="30"/>
        </w:rPr>
        <w:t>、评标办法所需的其他材料</w:t>
      </w:r>
    </w:p>
    <w:p>
      <w:pPr>
        <w:widowControl w:val="0"/>
        <w:snapToGrid w:val="0"/>
        <w:spacing w:line="560" w:lineRule="exact"/>
        <w:ind w:firstLine="555"/>
        <w:rPr>
          <w:rFonts w:ascii="宋体"/>
          <w:color w:val="auto"/>
          <w:sz w:val="24"/>
          <w:szCs w:val="24"/>
        </w:rPr>
      </w:pPr>
      <w:r>
        <w:rPr>
          <w:rFonts w:hint="eastAsia" w:ascii="宋体" w:hAnsi="宋体"/>
          <w:color w:val="auto"/>
          <w:sz w:val="24"/>
          <w:szCs w:val="24"/>
        </w:rPr>
        <w:t>（按条款需要填列；并按条款要求</w:t>
      </w:r>
      <w:r>
        <w:rPr>
          <w:rFonts w:hint="eastAsia" w:ascii="宋体" w:hAnsi="宋体" w:cs="楷体_GB2312"/>
          <w:color w:val="auto"/>
          <w:sz w:val="24"/>
          <w:lang w:val="zh-CN"/>
        </w:rPr>
        <w:t>电子签名&lt;签</w:t>
      </w:r>
      <w:r>
        <w:rPr>
          <w:rFonts w:hint="eastAsia" w:ascii="宋体" w:hAnsi="宋体"/>
          <w:color w:val="auto"/>
          <w:sz w:val="24"/>
          <w:szCs w:val="24"/>
        </w:rPr>
        <w:t>章&gt;。条款中对</w:t>
      </w:r>
      <w:r>
        <w:rPr>
          <w:rFonts w:hint="eastAsia" w:ascii="宋体" w:hAnsi="宋体" w:cs="楷体_GB2312"/>
          <w:color w:val="auto"/>
          <w:sz w:val="24"/>
          <w:lang w:val="zh-CN"/>
        </w:rPr>
        <w:t>电子签名&lt;签</w:t>
      </w:r>
      <w:r>
        <w:rPr>
          <w:rFonts w:hint="eastAsia" w:ascii="宋体" w:hAnsi="宋体"/>
          <w:color w:val="auto"/>
          <w:sz w:val="24"/>
          <w:szCs w:val="24"/>
        </w:rPr>
        <w:t>章&gt;未作明确要求的，由法定代表人</w:t>
      </w:r>
      <w:r>
        <w:rPr>
          <w:rFonts w:hint="eastAsia" w:ascii="宋体" w:hAnsi="宋体" w:cs="楷体_GB2312"/>
          <w:color w:val="auto"/>
          <w:sz w:val="24"/>
          <w:lang w:val="zh-CN"/>
        </w:rPr>
        <w:t>电子签名</w:t>
      </w:r>
      <w:r>
        <w:rPr>
          <w:rFonts w:hint="eastAsia" w:ascii="宋体" w:hAnsi="宋体"/>
          <w:color w:val="auto"/>
          <w:sz w:val="24"/>
          <w:szCs w:val="24"/>
        </w:rPr>
        <w:t>或投标人</w:t>
      </w:r>
      <w:r>
        <w:rPr>
          <w:rFonts w:hint="eastAsia" w:ascii="宋体" w:hAnsi="宋体" w:cs="楷体_GB2312"/>
          <w:color w:val="auto"/>
          <w:sz w:val="24"/>
          <w:lang w:val="zh-CN"/>
        </w:rPr>
        <w:t>电子签</w:t>
      </w:r>
      <w:r>
        <w:rPr>
          <w:rFonts w:hint="eastAsia" w:ascii="宋体" w:hAnsi="宋体"/>
          <w:color w:val="auto"/>
          <w:sz w:val="24"/>
          <w:szCs w:val="24"/>
        </w:rPr>
        <w:t>章）</w:t>
      </w:r>
    </w:p>
    <w:p>
      <w:pPr>
        <w:autoSpaceDE w:val="0"/>
        <w:autoSpaceDN w:val="0"/>
        <w:adjustRightInd w:val="0"/>
        <w:spacing w:line="360" w:lineRule="auto"/>
        <w:rPr>
          <w:rFonts w:ascii="宋体"/>
          <w:color w:val="auto"/>
          <w:sz w:val="24"/>
          <w:szCs w:val="24"/>
        </w:rPr>
      </w:pPr>
    </w:p>
    <w:p>
      <w:pPr>
        <w:autoSpaceDE w:val="0"/>
        <w:autoSpaceDN w:val="0"/>
        <w:adjustRightInd w:val="0"/>
        <w:spacing w:line="360" w:lineRule="auto"/>
        <w:rPr>
          <w:rFonts w:ascii="宋体"/>
          <w:color w:val="auto"/>
          <w:sz w:val="24"/>
          <w:szCs w:val="24"/>
        </w:rPr>
      </w:pPr>
    </w:p>
    <w:p>
      <w:pPr>
        <w:autoSpaceDE w:val="0"/>
        <w:autoSpaceDN w:val="0"/>
        <w:adjustRightInd w:val="0"/>
        <w:spacing w:line="360" w:lineRule="auto"/>
        <w:rPr>
          <w:rFonts w:ascii="宋体"/>
          <w:color w:val="auto"/>
          <w:sz w:val="24"/>
          <w:szCs w:val="24"/>
        </w:rPr>
      </w:pPr>
    </w:p>
    <w:p>
      <w:pPr>
        <w:autoSpaceDE w:val="0"/>
        <w:autoSpaceDN w:val="0"/>
        <w:adjustRightInd w:val="0"/>
        <w:spacing w:line="360" w:lineRule="auto"/>
        <w:rPr>
          <w:rFonts w:ascii="宋体"/>
          <w:color w:val="auto"/>
          <w:sz w:val="24"/>
          <w:szCs w:val="24"/>
        </w:rPr>
      </w:pPr>
    </w:p>
    <w:p>
      <w:pPr>
        <w:autoSpaceDE w:val="0"/>
        <w:autoSpaceDN w:val="0"/>
        <w:adjustRightInd w:val="0"/>
        <w:spacing w:line="360" w:lineRule="auto"/>
        <w:rPr>
          <w:rFonts w:ascii="宋体"/>
          <w:color w:val="auto"/>
          <w:sz w:val="24"/>
          <w:szCs w:val="24"/>
        </w:rPr>
      </w:pPr>
    </w:p>
    <w:p>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1</w:t>
      </w:r>
      <w:r>
        <w:rPr>
          <w:rFonts w:ascii="黑体" w:hAnsi="黑体" w:eastAsia="黑体"/>
          <w:b/>
          <w:color w:val="auto"/>
          <w:sz w:val="30"/>
          <w:szCs w:val="30"/>
        </w:rPr>
        <w:t>3</w:t>
      </w:r>
      <w:r>
        <w:rPr>
          <w:rFonts w:hint="eastAsia" w:ascii="黑体" w:hAnsi="黑体" w:eastAsia="黑体"/>
          <w:b/>
          <w:color w:val="auto"/>
          <w:sz w:val="30"/>
          <w:szCs w:val="30"/>
        </w:rPr>
        <w:t>、投标人认为有必要提交的其它材料</w:t>
      </w:r>
    </w:p>
    <w:p>
      <w:pPr>
        <w:autoSpaceDE w:val="0"/>
        <w:autoSpaceDN w:val="0"/>
        <w:adjustRightInd w:val="0"/>
        <w:spacing w:line="360" w:lineRule="auto"/>
        <w:jc w:val="center"/>
        <w:rPr>
          <w:rFonts w:ascii="宋体"/>
          <w:color w:val="auto"/>
          <w:sz w:val="24"/>
          <w:szCs w:val="24"/>
        </w:rPr>
      </w:pPr>
      <w:r>
        <w:rPr>
          <w:rFonts w:hint="eastAsia" w:ascii="宋体" w:hAnsi="宋体"/>
          <w:color w:val="auto"/>
          <w:sz w:val="24"/>
          <w:szCs w:val="24"/>
        </w:rPr>
        <w:t>（由法定代表人</w:t>
      </w:r>
      <w:r>
        <w:rPr>
          <w:rFonts w:hint="eastAsia" w:ascii="宋体" w:hAnsi="宋体" w:cs="楷体_GB2312"/>
          <w:color w:val="auto"/>
          <w:sz w:val="24"/>
          <w:lang w:val="zh-CN"/>
        </w:rPr>
        <w:t>电子签名</w:t>
      </w:r>
      <w:r>
        <w:rPr>
          <w:rFonts w:hint="eastAsia" w:ascii="宋体" w:hAnsi="宋体"/>
          <w:color w:val="auto"/>
          <w:sz w:val="24"/>
          <w:szCs w:val="24"/>
        </w:rPr>
        <w:t>或投标人</w:t>
      </w:r>
      <w:r>
        <w:rPr>
          <w:rFonts w:hint="eastAsia" w:ascii="宋体" w:hAnsi="宋体" w:cs="楷体_GB2312"/>
          <w:color w:val="auto"/>
          <w:sz w:val="24"/>
          <w:lang w:val="zh-CN"/>
        </w:rPr>
        <w:t>电子签</w:t>
      </w:r>
      <w:r>
        <w:rPr>
          <w:rFonts w:hint="eastAsia" w:ascii="宋体" w:hAnsi="宋体"/>
          <w:color w:val="auto"/>
          <w:sz w:val="24"/>
          <w:szCs w:val="24"/>
        </w:rPr>
        <w:t>章）</w:t>
      </w:r>
    </w:p>
    <w:p>
      <w:pPr>
        <w:autoSpaceDE w:val="0"/>
        <w:autoSpaceDN w:val="0"/>
        <w:adjustRightInd w:val="0"/>
        <w:spacing w:line="360" w:lineRule="auto"/>
        <w:jc w:val="center"/>
        <w:rPr>
          <w:rFonts w:ascii="宋体" w:hAnsi="宋体"/>
          <w:color w:val="auto"/>
          <w:sz w:val="24"/>
          <w:szCs w:val="24"/>
        </w:rPr>
      </w:pPr>
    </w:p>
    <w:p>
      <w:pPr>
        <w:spacing w:line="588" w:lineRule="exact"/>
        <w:jc w:val="center"/>
        <w:rPr>
          <w:rFonts w:ascii="黑体" w:hAnsi="黑体" w:eastAsia="黑体"/>
          <w:b/>
          <w:color w:val="auto"/>
          <w:sz w:val="24"/>
          <w:szCs w:val="24"/>
        </w:rPr>
      </w:pPr>
      <w:r>
        <w:rPr>
          <w:rFonts w:eastAsia="方正黑体简体"/>
          <w:b/>
          <w:color w:val="auto"/>
          <w:sz w:val="30"/>
          <w:szCs w:val="30"/>
        </w:rPr>
        <w:br w:type="page"/>
      </w:r>
      <w:r>
        <w:rPr>
          <w:rFonts w:ascii="黑体" w:hAnsi="黑体" w:eastAsia="黑体"/>
          <w:b/>
          <w:color w:val="auto"/>
          <w:sz w:val="30"/>
          <w:szCs w:val="30"/>
        </w:rPr>
        <w:t>13-1</w:t>
      </w:r>
      <w:r>
        <w:rPr>
          <w:rFonts w:hint="eastAsia" w:ascii="黑体" w:hAnsi="黑体" w:eastAsia="黑体"/>
          <w:b/>
          <w:color w:val="auto"/>
          <w:sz w:val="30"/>
          <w:szCs w:val="30"/>
        </w:rPr>
        <w:t>、</w:t>
      </w:r>
      <w:r>
        <w:rPr>
          <w:rFonts w:ascii="黑体" w:hAnsi="黑体" w:eastAsia="黑体"/>
          <w:b/>
          <w:color w:val="auto"/>
          <w:sz w:val="30"/>
          <w:szCs w:val="30"/>
        </w:rPr>
        <w:t>中小企业声明函</w:t>
      </w:r>
      <w:r>
        <w:rPr>
          <w:rFonts w:hint="eastAsia" w:ascii="宋体" w:hAnsi="宋体" w:cs="MingLiU"/>
          <w:color w:val="auto"/>
          <w:spacing w:val="30"/>
          <w:sz w:val="24"/>
          <w:szCs w:val="24"/>
        </w:rPr>
        <w:t>（如有）</w:t>
      </w:r>
    </w:p>
    <w:p>
      <w:pPr>
        <w:spacing w:line="588" w:lineRule="exact"/>
        <w:jc w:val="center"/>
        <w:rPr>
          <w:rFonts w:ascii="黑体" w:hAnsi="黑体" w:eastAsia="黑体"/>
          <w:b/>
          <w:color w:val="auto"/>
          <w:sz w:val="30"/>
          <w:szCs w:val="30"/>
        </w:rPr>
      </w:pPr>
    </w:p>
    <w:p>
      <w:pPr>
        <w:spacing w:line="588" w:lineRule="exact"/>
        <w:ind w:firstLine="504" w:firstLineChars="200"/>
        <w:rPr>
          <w:rFonts w:ascii="宋体" w:hAnsi="宋体"/>
          <w:color w:val="auto"/>
          <w:spacing w:val="6"/>
          <w:sz w:val="24"/>
          <w:szCs w:val="24"/>
        </w:rPr>
      </w:pPr>
      <w:r>
        <w:rPr>
          <w:rFonts w:ascii="宋体" w:hAnsi="宋体"/>
          <w:color w:val="auto"/>
          <w:spacing w:val="6"/>
          <w:sz w:val="24"/>
          <w:szCs w:val="24"/>
        </w:rPr>
        <w:t>本公司（联合体）郑重声明，根据《政府采购促进中小企业发展管理办法》（财库〔2020〕46号）的规定，本公司(联合体）参加</w:t>
      </w:r>
      <w:r>
        <w:rPr>
          <w:rFonts w:ascii="宋体" w:hAnsi="宋体"/>
          <w:color w:val="auto"/>
          <w:spacing w:val="6"/>
          <w:sz w:val="24"/>
          <w:szCs w:val="24"/>
          <w:u w:val="single"/>
        </w:rPr>
        <w:t>（单位名称）</w:t>
      </w:r>
      <w:r>
        <w:rPr>
          <w:rFonts w:ascii="宋体" w:hAnsi="宋体"/>
          <w:color w:val="auto"/>
          <w:spacing w:val="6"/>
          <w:sz w:val="24"/>
          <w:szCs w:val="24"/>
        </w:rPr>
        <w:t>的</w:t>
      </w:r>
      <w:r>
        <w:rPr>
          <w:rFonts w:ascii="宋体" w:hAnsi="宋体"/>
          <w:color w:val="auto"/>
          <w:spacing w:val="6"/>
          <w:sz w:val="24"/>
          <w:szCs w:val="24"/>
          <w:u w:val="single"/>
        </w:rPr>
        <w:t>（项目名称）</w:t>
      </w:r>
      <w:r>
        <w:rPr>
          <w:rFonts w:ascii="宋体" w:hAnsi="宋体"/>
          <w:color w:val="auto"/>
          <w:spacing w:val="6"/>
          <w:sz w:val="24"/>
          <w:szCs w:val="24"/>
        </w:rPr>
        <w:t>采购活动，提供的货物全部由符合政策要求的中小企业制造。相关企业 (含联合体中的中小企业、签订分包意向协议的中小企业）的具体情况如下：</w:t>
      </w:r>
    </w:p>
    <w:p>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1.</w:t>
      </w:r>
      <w:r>
        <w:rPr>
          <w:rFonts w:ascii="宋体" w:hAnsi="宋体"/>
          <w:color w:val="auto"/>
          <w:spacing w:val="6"/>
          <w:sz w:val="24"/>
          <w:szCs w:val="24"/>
          <w:u w:val="single"/>
        </w:rPr>
        <w:t>(标的名称)</w:t>
      </w:r>
      <w:r>
        <w:rPr>
          <w:rFonts w:ascii="宋体" w:hAnsi="宋体"/>
          <w:color w:val="auto"/>
          <w:spacing w:val="6"/>
          <w:sz w:val="24"/>
          <w:szCs w:val="24"/>
        </w:rPr>
        <w:t>，属于</w:t>
      </w:r>
      <w:r>
        <w:rPr>
          <w:rFonts w:ascii="宋体" w:hAnsi="宋体"/>
          <w:color w:val="auto"/>
          <w:spacing w:val="6"/>
          <w:sz w:val="24"/>
          <w:szCs w:val="24"/>
          <w:u w:val="single"/>
        </w:rPr>
        <w:t>（采购文件中明确的所属行业)</w:t>
      </w:r>
      <w:r>
        <w:rPr>
          <w:rFonts w:ascii="宋体" w:hAnsi="宋体"/>
          <w:color w:val="auto"/>
          <w:spacing w:val="6"/>
          <w:sz w:val="24"/>
          <w:szCs w:val="24"/>
        </w:rPr>
        <w:t>行业</w:t>
      </w:r>
      <w:r>
        <w:rPr>
          <w:rFonts w:hint="eastAsia" w:ascii="宋体" w:hAnsi="宋体"/>
          <w:color w:val="auto"/>
          <w:spacing w:val="6"/>
          <w:sz w:val="24"/>
          <w:szCs w:val="24"/>
        </w:rPr>
        <w:t>，</w:t>
      </w:r>
      <w:r>
        <w:rPr>
          <w:rFonts w:ascii="宋体" w:hAnsi="宋体"/>
          <w:color w:val="auto"/>
          <w:spacing w:val="6"/>
          <w:sz w:val="24"/>
          <w:szCs w:val="24"/>
        </w:rPr>
        <w:t xml:space="preserve"> 制造商为</w:t>
      </w:r>
      <w:r>
        <w:rPr>
          <w:rFonts w:ascii="宋体" w:hAnsi="宋体"/>
          <w:color w:val="auto"/>
          <w:spacing w:val="6"/>
          <w:sz w:val="24"/>
          <w:szCs w:val="24"/>
          <w:u w:val="single"/>
        </w:rPr>
        <w:t>（企业名称)</w:t>
      </w:r>
      <w:r>
        <w:rPr>
          <w:rFonts w:ascii="宋体" w:hAnsi="宋体"/>
          <w:color w:val="auto"/>
          <w:spacing w:val="6"/>
          <w:sz w:val="24"/>
          <w:szCs w:val="24"/>
        </w:rPr>
        <w:t>，从业人员</w:t>
      </w:r>
      <w:r>
        <w:rPr>
          <w:rFonts w:hint="eastAsia" w:ascii="宋体" w:hAnsi="宋体"/>
          <w:color w:val="auto"/>
          <w:spacing w:val="6"/>
          <w:sz w:val="24"/>
          <w:szCs w:val="24"/>
          <w:u w:val="single"/>
        </w:rPr>
        <w:t xml:space="preserve">    </w:t>
      </w:r>
      <w:r>
        <w:rPr>
          <w:rFonts w:ascii="宋体" w:hAnsi="宋体"/>
          <w:color w:val="auto"/>
          <w:spacing w:val="6"/>
          <w:sz w:val="24"/>
          <w:szCs w:val="24"/>
        </w:rPr>
        <w:t>人，营业收入为</w:t>
      </w:r>
      <w:r>
        <w:rPr>
          <w:rFonts w:ascii="宋体" w:hAnsi="宋体"/>
          <w:color w:val="auto"/>
          <w:spacing w:val="6"/>
          <w:sz w:val="24"/>
          <w:szCs w:val="24"/>
          <w:u w:val="single"/>
        </w:rPr>
        <w:t>_</w:t>
      </w:r>
      <w:r>
        <w:rPr>
          <w:rFonts w:hint="eastAsia" w:ascii="宋体" w:hAnsi="宋体"/>
          <w:color w:val="auto"/>
          <w:spacing w:val="6"/>
          <w:sz w:val="24"/>
          <w:szCs w:val="24"/>
          <w:u w:val="single"/>
        </w:rPr>
        <w:t xml:space="preserve">  </w:t>
      </w:r>
      <w:r>
        <w:rPr>
          <w:rFonts w:ascii="宋体" w:hAnsi="宋体"/>
          <w:color w:val="auto"/>
          <w:spacing w:val="6"/>
          <w:sz w:val="24"/>
          <w:szCs w:val="24"/>
        </w:rPr>
        <w:t>万元，资产总额为</w:t>
      </w:r>
      <w:r>
        <w:rPr>
          <w:rFonts w:hint="eastAsia" w:ascii="宋体" w:hAnsi="宋体"/>
          <w:color w:val="auto"/>
          <w:spacing w:val="6"/>
          <w:sz w:val="24"/>
          <w:szCs w:val="24"/>
        </w:rPr>
        <w:t xml:space="preserve"> </w:t>
      </w:r>
      <w:r>
        <w:rPr>
          <w:rFonts w:hint="eastAsia" w:ascii="宋体" w:hAnsi="宋体"/>
          <w:color w:val="auto"/>
          <w:spacing w:val="6"/>
          <w:sz w:val="24"/>
          <w:szCs w:val="24"/>
          <w:u w:val="single"/>
        </w:rPr>
        <w:t xml:space="preserve"> </w:t>
      </w:r>
      <w:r>
        <w:rPr>
          <w:rFonts w:ascii="宋体" w:hAnsi="宋体"/>
          <w:color w:val="auto"/>
          <w:spacing w:val="6"/>
          <w:sz w:val="24"/>
          <w:szCs w:val="24"/>
          <w:u w:val="single"/>
        </w:rPr>
        <w:t>_</w:t>
      </w:r>
      <w:r>
        <w:rPr>
          <w:rFonts w:ascii="宋体" w:hAnsi="宋体"/>
          <w:color w:val="auto"/>
          <w:spacing w:val="6"/>
          <w:sz w:val="24"/>
          <w:szCs w:val="24"/>
        </w:rPr>
        <w:t>万元</w:t>
      </w:r>
      <w:r>
        <w:rPr>
          <w:rFonts w:hint="eastAsia" w:ascii="宋体" w:hAnsi="宋体"/>
          <w:color w:val="auto"/>
          <w:spacing w:val="6"/>
          <w:sz w:val="24"/>
          <w:szCs w:val="24"/>
          <w:vertAlign w:val="superscript"/>
        </w:rPr>
        <w:t>1</w:t>
      </w:r>
      <w:r>
        <w:rPr>
          <w:rFonts w:hint="eastAsia" w:ascii="宋体" w:hAnsi="宋体"/>
          <w:color w:val="auto"/>
          <w:spacing w:val="6"/>
          <w:sz w:val="24"/>
          <w:szCs w:val="24"/>
        </w:rPr>
        <w:t>，</w:t>
      </w:r>
      <w:r>
        <w:rPr>
          <w:rFonts w:ascii="宋体" w:hAnsi="宋体"/>
          <w:color w:val="auto"/>
          <w:spacing w:val="6"/>
          <w:sz w:val="24"/>
          <w:szCs w:val="24"/>
        </w:rPr>
        <w:t>属于</w:t>
      </w:r>
      <w:r>
        <w:rPr>
          <w:rFonts w:ascii="宋体" w:hAnsi="宋体"/>
          <w:color w:val="auto"/>
          <w:spacing w:val="6"/>
          <w:sz w:val="24"/>
          <w:szCs w:val="24"/>
          <w:u w:val="single"/>
        </w:rPr>
        <w:t>（中型企业、小 型企业、微型企业）</w:t>
      </w:r>
      <w:r>
        <w:rPr>
          <w:rFonts w:hint="eastAsia" w:ascii="宋体" w:hAnsi="宋体"/>
          <w:color w:val="auto"/>
          <w:spacing w:val="6"/>
          <w:sz w:val="24"/>
          <w:szCs w:val="24"/>
        </w:rPr>
        <w:t>；</w:t>
      </w:r>
    </w:p>
    <w:p>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2.</w:t>
      </w:r>
      <w:r>
        <w:rPr>
          <w:rFonts w:ascii="宋体" w:hAnsi="宋体"/>
          <w:color w:val="auto"/>
          <w:spacing w:val="6"/>
          <w:sz w:val="24"/>
          <w:szCs w:val="24"/>
        </w:rPr>
        <w:t xml:space="preserve"> </w:t>
      </w:r>
      <w:r>
        <w:rPr>
          <w:rFonts w:ascii="宋体" w:hAnsi="宋体"/>
          <w:color w:val="auto"/>
          <w:spacing w:val="6"/>
          <w:sz w:val="24"/>
          <w:szCs w:val="24"/>
          <w:u w:val="single"/>
        </w:rPr>
        <w:t>(标的名称)</w:t>
      </w:r>
      <w:r>
        <w:rPr>
          <w:rFonts w:ascii="宋体" w:hAnsi="宋体"/>
          <w:color w:val="auto"/>
          <w:spacing w:val="6"/>
          <w:sz w:val="24"/>
          <w:szCs w:val="24"/>
        </w:rPr>
        <w:t>，属于</w:t>
      </w:r>
      <w:r>
        <w:rPr>
          <w:rFonts w:ascii="宋体" w:hAnsi="宋体"/>
          <w:color w:val="auto"/>
          <w:spacing w:val="6"/>
          <w:sz w:val="24"/>
          <w:szCs w:val="24"/>
          <w:u w:val="single"/>
        </w:rPr>
        <w:t>（采购文件中明确的所属行业)</w:t>
      </w:r>
      <w:r>
        <w:rPr>
          <w:rFonts w:ascii="宋体" w:hAnsi="宋体"/>
          <w:color w:val="auto"/>
          <w:spacing w:val="6"/>
          <w:sz w:val="24"/>
          <w:szCs w:val="24"/>
        </w:rPr>
        <w:t>行业</w:t>
      </w:r>
      <w:r>
        <w:rPr>
          <w:rFonts w:hint="eastAsia" w:ascii="宋体" w:hAnsi="宋体"/>
          <w:color w:val="auto"/>
          <w:spacing w:val="6"/>
          <w:sz w:val="24"/>
          <w:szCs w:val="24"/>
        </w:rPr>
        <w:t>，</w:t>
      </w:r>
      <w:r>
        <w:rPr>
          <w:rFonts w:ascii="宋体" w:hAnsi="宋体"/>
          <w:color w:val="auto"/>
          <w:spacing w:val="6"/>
          <w:sz w:val="24"/>
          <w:szCs w:val="24"/>
        </w:rPr>
        <w:t xml:space="preserve"> 制造商为</w:t>
      </w:r>
      <w:r>
        <w:rPr>
          <w:rFonts w:ascii="宋体" w:hAnsi="宋体"/>
          <w:color w:val="auto"/>
          <w:spacing w:val="6"/>
          <w:sz w:val="24"/>
          <w:szCs w:val="24"/>
          <w:u w:val="single"/>
        </w:rPr>
        <w:t>（企业名称)</w:t>
      </w:r>
      <w:r>
        <w:rPr>
          <w:rFonts w:ascii="宋体" w:hAnsi="宋体"/>
          <w:color w:val="auto"/>
          <w:spacing w:val="6"/>
          <w:sz w:val="24"/>
          <w:szCs w:val="24"/>
        </w:rPr>
        <w:t>，从业人员</w:t>
      </w:r>
      <w:r>
        <w:rPr>
          <w:rFonts w:hint="eastAsia" w:ascii="宋体" w:hAnsi="宋体"/>
          <w:color w:val="auto"/>
          <w:spacing w:val="6"/>
          <w:sz w:val="24"/>
          <w:szCs w:val="24"/>
          <w:u w:val="single"/>
        </w:rPr>
        <w:t xml:space="preserve">    </w:t>
      </w:r>
      <w:r>
        <w:rPr>
          <w:rFonts w:ascii="宋体" w:hAnsi="宋体"/>
          <w:color w:val="auto"/>
          <w:spacing w:val="6"/>
          <w:sz w:val="24"/>
          <w:szCs w:val="24"/>
        </w:rPr>
        <w:t>人，营业收入为</w:t>
      </w:r>
      <w:r>
        <w:rPr>
          <w:rFonts w:ascii="宋体" w:hAnsi="宋体"/>
          <w:color w:val="auto"/>
          <w:spacing w:val="6"/>
          <w:sz w:val="24"/>
          <w:szCs w:val="24"/>
          <w:u w:val="single"/>
        </w:rPr>
        <w:t>_</w:t>
      </w:r>
      <w:r>
        <w:rPr>
          <w:rFonts w:hint="eastAsia" w:ascii="宋体" w:hAnsi="宋体"/>
          <w:color w:val="auto"/>
          <w:spacing w:val="6"/>
          <w:sz w:val="24"/>
          <w:szCs w:val="24"/>
          <w:u w:val="single"/>
        </w:rPr>
        <w:t xml:space="preserve">  </w:t>
      </w:r>
      <w:r>
        <w:rPr>
          <w:rFonts w:ascii="宋体" w:hAnsi="宋体"/>
          <w:color w:val="auto"/>
          <w:spacing w:val="6"/>
          <w:sz w:val="24"/>
          <w:szCs w:val="24"/>
        </w:rPr>
        <w:t>万元，资产总额为</w:t>
      </w:r>
      <w:r>
        <w:rPr>
          <w:rFonts w:hint="eastAsia" w:ascii="宋体" w:hAnsi="宋体"/>
          <w:color w:val="auto"/>
          <w:spacing w:val="6"/>
          <w:sz w:val="24"/>
          <w:szCs w:val="24"/>
        </w:rPr>
        <w:t xml:space="preserve"> </w:t>
      </w:r>
      <w:r>
        <w:rPr>
          <w:rFonts w:hint="eastAsia" w:ascii="宋体" w:hAnsi="宋体"/>
          <w:color w:val="auto"/>
          <w:spacing w:val="6"/>
          <w:sz w:val="24"/>
          <w:szCs w:val="24"/>
          <w:u w:val="single"/>
        </w:rPr>
        <w:t xml:space="preserve"> </w:t>
      </w:r>
      <w:r>
        <w:rPr>
          <w:rFonts w:ascii="宋体" w:hAnsi="宋体"/>
          <w:color w:val="auto"/>
          <w:spacing w:val="6"/>
          <w:sz w:val="24"/>
          <w:szCs w:val="24"/>
          <w:u w:val="single"/>
        </w:rPr>
        <w:t>_</w:t>
      </w:r>
      <w:r>
        <w:rPr>
          <w:rFonts w:ascii="宋体" w:hAnsi="宋体"/>
          <w:color w:val="auto"/>
          <w:spacing w:val="6"/>
          <w:sz w:val="24"/>
          <w:szCs w:val="24"/>
        </w:rPr>
        <w:t>万元</w:t>
      </w:r>
      <w:r>
        <w:rPr>
          <w:rFonts w:hint="eastAsia" w:ascii="宋体" w:hAnsi="宋体"/>
          <w:color w:val="auto"/>
          <w:spacing w:val="6"/>
          <w:sz w:val="24"/>
          <w:szCs w:val="24"/>
        </w:rPr>
        <w:t>，</w:t>
      </w:r>
      <w:r>
        <w:rPr>
          <w:rFonts w:ascii="宋体" w:hAnsi="宋体"/>
          <w:color w:val="auto"/>
          <w:spacing w:val="6"/>
          <w:sz w:val="24"/>
          <w:szCs w:val="24"/>
        </w:rPr>
        <w:t>属于</w:t>
      </w:r>
      <w:r>
        <w:rPr>
          <w:rFonts w:ascii="宋体" w:hAnsi="宋体"/>
          <w:color w:val="auto"/>
          <w:spacing w:val="6"/>
          <w:sz w:val="24"/>
          <w:szCs w:val="24"/>
          <w:u w:val="single"/>
        </w:rPr>
        <w:t>（中型企业、小 型企业、微型企业）</w:t>
      </w:r>
      <w:r>
        <w:rPr>
          <w:rFonts w:hint="eastAsia" w:ascii="宋体" w:hAnsi="宋体"/>
          <w:color w:val="auto"/>
          <w:spacing w:val="6"/>
          <w:sz w:val="24"/>
          <w:szCs w:val="24"/>
        </w:rPr>
        <w:t>；</w:t>
      </w:r>
    </w:p>
    <w:p>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w:t>
      </w:r>
    </w:p>
    <w:p>
      <w:pPr>
        <w:spacing w:line="588" w:lineRule="exact"/>
        <w:ind w:firstLine="504" w:firstLineChars="200"/>
        <w:rPr>
          <w:rFonts w:ascii="宋体" w:hAnsi="宋体"/>
          <w:color w:val="auto"/>
          <w:spacing w:val="6"/>
          <w:sz w:val="24"/>
          <w:szCs w:val="24"/>
        </w:rPr>
      </w:pPr>
      <w:r>
        <w:rPr>
          <w:rFonts w:ascii="宋体" w:hAnsi="宋体"/>
          <w:color w:val="auto"/>
          <w:spacing w:val="6"/>
          <w:sz w:val="24"/>
          <w:szCs w:val="24"/>
        </w:rPr>
        <w:t>以上企业，不属于大企业的分支机构，不存在控股股东为大企业的情形，也不存在与大企业的负责人为同一人的情形。</w:t>
      </w:r>
    </w:p>
    <w:p>
      <w:pPr>
        <w:spacing w:line="588" w:lineRule="exact"/>
        <w:ind w:firstLine="504" w:firstLineChars="200"/>
        <w:rPr>
          <w:rFonts w:ascii="宋体" w:hAnsi="宋体"/>
          <w:color w:val="auto"/>
          <w:spacing w:val="6"/>
          <w:sz w:val="24"/>
          <w:szCs w:val="24"/>
        </w:rPr>
      </w:pPr>
      <w:r>
        <w:rPr>
          <w:rFonts w:ascii="宋体" w:hAnsi="宋体"/>
          <w:color w:val="auto"/>
          <w:spacing w:val="6"/>
          <w:sz w:val="24"/>
          <w:szCs w:val="24"/>
        </w:rPr>
        <w:t>本企业对上述声明内容的真实性负责。如有虚假，将依法承担相应责任。</w:t>
      </w:r>
    </w:p>
    <w:p>
      <w:pPr>
        <w:spacing w:line="588" w:lineRule="exact"/>
        <w:rPr>
          <w:rFonts w:ascii="宋体" w:hAnsi="宋体"/>
          <w:color w:val="auto"/>
          <w:spacing w:val="6"/>
          <w:sz w:val="24"/>
          <w:szCs w:val="24"/>
        </w:rPr>
      </w:pPr>
    </w:p>
    <w:p>
      <w:pPr>
        <w:pStyle w:val="71"/>
        <w:shd w:val="clear" w:color="auto" w:fill="auto"/>
        <w:spacing w:after="228" w:line="300" w:lineRule="exact"/>
        <w:ind w:firstLine="4536" w:firstLineChars="1512"/>
        <w:rPr>
          <w:rFonts w:ascii="宋体" w:hAnsi="宋体" w:eastAsia="宋体"/>
          <w:sz w:val="24"/>
          <w:szCs w:val="24"/>
        </w:rPr>
      </w:pPr>
      <w:r>
        <w:rPr>
          <w:rFonts w:ascii="宋体" w:hAnsi="宋体" w:eastAsia="宋体"/>
          <w:sz w:val="24"/>
          <w:szCs w:val="24"/>
        </w:rPr>
        <w:t>企业名称（盖章</w:t>
      </w:r>
      <w:r>
        <w:rPr>
          <w:rFonts w:ascii="宋体" w:hAnsi="宋体" w:eastAsia="宋体"/>
          <w:sz w:val="24"/>
          <w:szCs w:val="24"/>
          <w:lang w:bidi="en-US"/>
        </w:rPr>
        <w:t>）</w:t>
      </w:r>
    </w:p>
    <w:p>
      <w:pPr>
        <w:autoSpaceDE w:val="0"/>
        <w:autoSpaceDN w:val="0"/>
        <w:adjustRightInd w:val="0"/>
        <w:spacing w:line="360" w:lineRule="auto"/>
        <w:ind w:firstLine="4536" w:firstLineChars="1890"/>
        <w:jc w:val="left"/>
        <w:rPr>
          <w:rFonts w:ascii="宋体" w:hAnsi="宋体"/>
          <w:color w:val="auto"/>
          <w:sz w:val="24"/>
          <w:szCs w:val="24"/>
        </w:rPr>
      </w:pPr>
      <w:r>
        <w:rPr>
          <w:rFonts w:ascii="宋体" w:hAnsi="宋体"/>
          <w:color w:val="auto"/>
          <w:sz w:val="24"/>
          <w:szCs w:val="24"/>
        </w:rPr>
        <w:t>日期：</w:t>
      </w:r>
    </w:p>
    <w:p>
      <w:pPr>
        <w:spacing w:line="588" w:lineRule="exact"/>
        <w:ind w:firstLine="504" w:firstLineChars="200"/>
        <w:rPr>
          <w:rFonts w:ascii="宋体" w:hAnsi="宋体"/>
          <w:color w:val="auto"/>
          <w:spacing w:val="6"/>
          <w:sz w:val="24"/>
          <w:szCs w:val="24"/>
        </w:rPr>
      </w:pPr>
    </w:p>
    <w:p>
      <w:pPr>
        <w:spacing w:line="240" w:lineRule="auto"/>
        <w:jc w:val="center"/>
        <w:textAlignment w:val="auto"/>
        <w:rPr>
          <w:rFonts w:ascii="黑体" w:hAnsi="黑体" w:eastAsia="黑体"/>
          <w:b/>
          <w:color w:val="auto"/>
          <w:sz w:val="30"/>
          <w:szCs w:val="30"/>
        </w:rPr>
      </w:pPr>
    </w:p>
    <w:p>
      <w:pPr>
        <w:spacing w:line="240" w:lineRule="auto"/>
        <w:rPr>
          <w:rStyle w:val="70"/>
          <w:rFonts w:ascii="宋体" w:hAnsi="宋体" w:eastAsia="宋体"/>
          <w:color w:val="auto"/>
        </w:rPr>
      </w:pPr>
      <w:r>
        <w:rPr>
          <w:rFonts w:hint="eastAsia" w:ascii="宋体" w:hAnsi="宋体"/>
          <w:color w:val="auto"/>
          <w:sz w:val="18"/>
          <w:szCs w:val="18"/>
        </w:rPr>
        <w:t>注：1、</w:t>
      </w:r>
      <w:r>
        <w:rPr>
          <w:rStyle w:val="69"/>
          <w:rFonts w:ascii="宋体" w:hAnsi="宋体" w:eastAsia="宋体"/>
          <w:color w:val="auto"/>
          <w:sz w:val="18"/>
          <w:szCs w:val="18"/>
          <w:vertAlign w:val="superscript"/>
        </w:rPr>
        <w:t>1</w:t>
      </w:r>
      <w:r>
        <w:rPr>
          <w:rStyle w:val="70"/>
          <w:rFonts w:ascii="宋体" w:hAnsi="宋体" w:eastAsia="宋体"/>
          <w:color w:val="auto"/>
        </w:rPr>
        <w:t>从业人员、营业收入、资产总额填报上一年度数据，无上一年度数据的新成立企业可不填报</w:t>
      </w:r>
      <w:r>
        <w:rPr>
          <w:rStyle w:val="70"/>
          <w:rFonts w:hint="eastAsia" w:ascii="宋体" w:hAnsi="宋体" w:eastAsia="宋体"/>
          <w:color w:val="auto"/>
        </w:rPr>
        <w:t>。</w:t>
      </w:r>
    </w:p>
    <w:p>
      <w:pPr>
        <w:spacing w:line="240" w:lineRule="auto"/>
        <w:rPr>
          <w:rFonts w:ascii="宋体" w:hAnsi="宋体"/>
          <w:color w:val="auto"/>
          <w:sz w:val="18"/>
          <w:szCs w:val="18"/>
        </w:rPr>
      </w:pPr>
      <w:r>
        <w:rPr>
          <w:rStyle w:val="70"/>
          <w:rFonts w:hint="eastAsia" w:ascii="宋体" w:hAnsi="宋体" w:eastAsia="宋体"/>
          <w:color w:val="auto"/>
        </w:rPr>
        <w:t xml:space="preserve">     2、招标文件中未标注“专门面向中小企业采购”的未预留（非预留）项目，投标人可以根据自身情况提供《中小企业声明函》，未提供《中小企业声明函》的、将不享受小微企业价格扣除扶持政策。</w:t>
      </w:r>
    </w:p>
    <w:p>
      <w:pPr>
        <w:spacing w:line="240" w:lineRule="auto"/>
        <w:jc w:val="center"/>
        <w:textAlignment w:val="auto"/>
        <w:rPr>
          <w:rFonts w:ascii="黑体" w:hAnsi="黑体" w:eastAsia="黑体"/>
          <w:b/>
          <w:color w:val="auto"/>
          <w:sz w:val="30"/>
          <w:szCs w:val="30"/>
        </w:rPr>
      </w:pPr>
      <w:r>
        <w:rPr>
          <w:rFonts w:ascii="黑体" w:hAnsi="黑体" w:eastAsia="黑体"/>
          <w:b/>
          <w:color w:val="auto"/>
          <w:sz w:val="30"/>
          <w:szCs w:val="30"/>
        </w:rPr>
        <w:br w:type="page"/>
      </w:r>
    </w:p>
    <w:p>
      <w:pPr>
        <w:spacing w:line="240" w:lineRule="auto"/>
        <w:jc w:val="center"/>
        <w:textAlignment w:val="auto"/>
        <w:rPr>
          <w:rFonts w:ascii="黑体" w:hAnsi="黑体" w:eastAsia="黑体"/>
          <w:b/>
          <w:color w:val="auto"/>
          <w:sz w:val="30"/>
          <w:szCs w:val="30"/>
        </w:rPr>
      </w:pPr>
      <w:r>
        <w:rPr>
          <w:rFonts w:hint="eastAsia" w:ascii="黑体" w:hAnsi="黑体" w:eastAsia="黑体"/>
          <w:b/>
          <w:color w:val="auto"/>
          <w:sz w:val="30"/>
          <w:szCs w:val="30"/>
        </w:rPr>
        <w:t>残疾人福利性单位声明函</w:t>
      </w:r>
      <w:r>
        <w:rPr>
          <w:rFonts w:hint="eastAsia" w:ascii="宋体" w:hAnsi="宋体"/>
          <w:color w:val="auto"/>
          <w:spacing w:val="6"/>
          <w:sz w:val="24"/>
          <w:szCs w:val="24"/>
        </w:rPr>
        <w:t>（如符合条件时填写</w:t>
      </w:r>
      <w:r>
        <w:rPr>
          <w:rFonts w:hint="eastAsia" w:ascii="宋体" w:hAnsi="宋体"/>
          <w:color w:val="auto"/>
          <w:spacing w:val="6"/>
          <w:sz w:val="28"/>
          <w:szCs w:val="28"/>
          <w:vertAlign w:val="superscript"/>
        </w:rPr>
        <w:t>*</w:t>
      </w:r>
      <w:r>
        <w:rPr>
          <w:rFonts w:hint="eastAsia" w:ascii="宋体" w:hAnsi="宋体"/>
          <w:color w:val="auto"/>
          <w:spacing w:val="6"/>
          <w:sz w:val="24"/>
          <w:szCs w:val="24"/>
        </w:rPr>
        <w:t>）</w:t>
      </w:r>
    </w:p>
    <w:p>
      <w:pPr>
        <w:spacing w:line="588" w:lineRule="exact"/>
        <w:rPr>
          <w:rFonts w:ascii="仿宋_GB2312" w:eastAsia="仿宋_GB2312"/>
          <w:b/>
          <w:color w:val="auto"/>
          <w:spacing w:val="6"/>
          <w:sz w:val="30"/>
          <w:szCs w:val="30"/>
        </w:rPr>
      </w:pPr>
    </w:p>
    <w:p>
      <w:pPr>
        <w:spacing w:line="588" w:lineRule="exact"/>
        <w:ind w:firstLine="504" w:firstLineChars="200"/>
        <w:rPr>
          <w:rFonts w:asciiTheme="minorEastAsia" w:hAnsiTheme="minorEastAsia" w:eastAsiaTheme="minorEastAsia"/>
          <w:color w:val="auto"/>
          <w:spacing w:val="6"/>
          <w:sz w:val="24"/>
          <w:szCs w:val="24"/>
        </w:rPr>
      </w:pPr>
      <w:r>
        <w:rPr>
          <w:rFonts w:hint="eastAsia" w:asciiTheme="minorEastAsia" w:hAnsiTheme="minorEastAsia" w:eastAsiaTheme="minorEastAsia"/>
          <w:color w:val="auto"/>
          <w:spacing w:val="6"/>
          <w:sz w:val="24"/>
          <w:szCs w:val="24"/>
        </w:rPr>
        <w:t>本单位郑重声明，根据《财政部 民政部 中国残疾人联合会关于促进残疾人就业政府采购政策的通知》（财库</w:t>
      </w:r>
      <w:r>
        <w:rPr>
          <w:rFonts w:hint="eastAsia" w:asciiTheme="minorEastAsia" w:hAnsiTheme="minorEastAsia" w:eastAsiaTheme="minorEastAsia"/>
          <w:color w:val="auto"/>
          <w:sz w:val="24"/>
          <w:szCs w:val="24"/>
        </w:rPr>
        <w:t>〔2017〕141</w:t>
      </w:r>
      <w:r>
        <w:rPr>
          <w:rFonts w:hint="eastAsia" w:asciiTheme="minorEastAsia" w:hAnsiTheme="minorEastAsia" w:eastAsiaTheme="minorEastAsia"/>
          <w:color w:val="auto"/>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Theme="minorEastAsia" w:hAnsiTheme="minorEastAsia" w:eastAsiaTheme="minorEastAsia"/>
          <w:color w:val="auto"/>
          <w:spacing w:val="6"/>
          <w:sz w:val="24"/>
          <w:szCs w:val="24"/>
        </w:rPr>
      </w:pPr>
      <w:r>
        <w:rPr>
          <w:rFonts w:hint="eastAsia" w:asciiTheme="minorEastAsia" w:hAnsiTheme="minorEastAsia" w:eastAsiaTheme="minorEastAsia"/>
          <w:color w:val="auto"/>
          <w:spacing w:val="6"/>
          <w:sz w:val="24"/>
          <w:szCs w:val="24"/>
        </w:rPr>
        <w:t>本单位对上述声明的真实性负责。如有虚假，将依法承担相应责任。</w:t>
      </w:r>
    </w:p>
    <w:p>
      <w:pPr>
        <w:spacing w:line="588" w:lineRule="exact"/>
        <w:ind w:firstLine="504" w:firstLineChars="200"/>
        <w:rPr>
          <w:rFonts w:asciiTheme="minorEastAsia" w:hAnsiTheme="minorEastAsia" w:eastAsiaTheme="minorEastAsia"/>
          <w:color w:val="auto"/>
          <w:spacing w:val="6"/>
          <w:sz w:val="24"/>
          <w:szCs w:val="24"/>
        </w:rPr>
      </w:pPr>
    </w:p>
    <w:p>
      <w:pPr>
        <w:spacing w:line="588" w:lineRule="exact"/>
        <w:ind w:firstLine="504" w:firstLineChars="200"/>
        <w:rPr>
          <w:rFonts w:asciiTheme="minorEastAsia" w:hAnsiTheme="minorEastAsia" w:eastAsiaTheme="minorEastAsia"/>
          <w:color w:val="auto"/>
          <w:spacing w:val="6"/>
          <w:sz w:val="24"/>
          <w:szCs w:val="24"/>
        </w:rPr>
      </w:pPr>
    </w:p>
    <w:p>
      <w:pPr>
        <w:spacing w:line="588" w:lineRule="exact"/>
        <w:ind w:firstLine="504" w:firstLineChars="200"/>
        <w:rPr>
          <w:rFonts w:asciiTheme="minorEastAsia" w:hAnsiTheme="minorEastAsia" w:eastAsiaTheme="minorEastAsia"/>
          <w:color w:val="auto"/>
          <w:spacing w:val="6"/>
          <w:sz w:val="24"/>
          <w:szCs w:val="24"/>
        </w:rPr>
      </w:pPr>
    </w:p>
    <w:p>
      <w:pPr>
        <w:snapToGrid w:val="0"/>
        <w:spacing w:before="100" w:beforeAutospacing="1" w:after="100" w:afterAutospacing="1" w:line="700" w:lineRule="exact"/>
        <w:ind w:right="641" w:firstLine="4960" w:firstLineChars="2067"/>
        <w:rPr>
          <w:rFonts w:ascii="宋体" w:hAnsi="宋体"/>
          <w:color w:val="auto"/>
          <w:sz w:val="24"/>
          <w:szCs w:val="24"/>
        </w:rPr>
      </w:pPr>
      <w:r>
        <w:rPr>
          <w:rFonts w:hint="eastAsia" w:ascii="宋体" w:hAnsi="宋体"/>
          <w:color w:val="auto"/>
          <w:sz w:val="24"/>
          <w:szCs w:val="24"/>
        </w:rPr>
        <w:t>单位名称</w:t>
      </w:r>
      <w:r>
        <w:rPr>
          <w:rFonts w:ascii="宋体" w:hAnsi="宋体"/>
          <w:color w:val="auto"/>
          <w:sz w:val="24"/>
          <w:szCs w:val="24"/>
        </w:rPr>
        <w:t>（盖章</w:t>
      </w:r>
      <w:r>
        <w:rPr>
          <w:rFonts w:ascii="宋体" w:hAnsi="宋体"/>
          <w:color w:val="auto"/>
          <w:sz w:val="24"/>
          <w:szCs w:val="24"/>
          <w:lang w:bidi="en-US"/>
        </w:rPr>
        <w:t>）</w:t>
      </w:r>
      <w:r>
        <w:rPr>
          <w:rFonts w:hint="eastAsia" w:ascii="宋体" w:hAnsi="宋体"/>
          <w:color w:val="auto"/>
          <w:sz w:val="24"/>
          <w:szCs w:val="24"/>
        </w:rPr>
        <w:t>：</w:t>
      </w:r>
    </w:p>
    <w:p>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rPr>
      </w:pPr>
      <w:r>
        <w:rPr>
          <w:rFonts w:hint="eastAsia" w:ascii="宋体" w:hAnsi="宋体"/>
          <w:color w:val="auto"/>
          <w:sz w:val="24"/>
          <w:szCs w:val="24"/>
        </w:rPr>
        <w:t>日期：</w:t>
      </w:r>
    </w:p>
    <w:p>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rPr>
      </w:pPr>
    </w:p>
    <w:p>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rPr>
      </w:pPr>
    </w:p>
    <w:p>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rPr>
      </w:pPr>
    </w:p>
    <w:p>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rPr>
      </w:pPr>
    </w:p>
    <w:p>
      <w:pPr>
        <w:shd w:val="clear" w:color="auto" w:fill="FFFFFF"/>
        <w:spacing w:line="240" w:lineRule="auto"/>
        <w:rPr>
          <w:rFonts w:ascii="宋体" w:hAnsi="宋体"/>
          <w:color w:val="auto"/>
          <w:sz w:val="18"/>
          <w:szCs w:val="18"/>
        </w:rPr>
      </w:pPr>
      <w:r>
        <w:rPr>
          <w:rFonts w:hint="eastAsia" w:ascii="宋体" w:hAnsi="宋体"/>
          <w:color w:val="auto"/>
          <w:sz w:val="18"/>
          <w:szCs w:val="18"/>
        </w:rPr>
        <w:t>注：1、按政策规定：符合条件的残疾人福利性单位视同小型、微型企业，享受评审价格扣除等促进中小企业发展的政府采购政策。残疾人福利性单位属于小型、微型企业的，不重复享受政策。</w:t>
      </w:r>
    </w:p>
    <w:p>
      <w:pPr>
        <w:spacing w:line="240" w:lineRule="auto"/>
        <w:ind w:firstLine="450" w:firstLineChars="250"/>
        <w:rPr>
          <w:rFonts w:ascii="宋体" w:hAnsi="宋体"/>
          <w:color w:val="auto"/>
          <w:sz w:val="18"/>
          <w:szCs w:val="18"/>
        </w:rPr>
      </w:pPr>
      <w:r>
        <w:rPr>
          <w:rFonts w:hint="eastAsia" w:ascii="宋体" w:hAnsi="宋体"/>
          <w:color w:val="auto"/>
          <w:sz w:val="18"/>
          <w:szCs w:val="18"/>
        </w:rPr>
        <w:t>2、</w:t>
      </w:r>
      <w:r>
        <w:rPr>
          <w:rFonts w:hint="eastAsia" w:ascii="宋体" w:hAnsi="宋体"/>
          <w:b/>
          <w:color w:val="auto"/>
          <w:spacing w:val="6"/>
          <w:sz w:val="18"/>
          <w:szCs w:val="18"/>
          <w:vertAlign w:val="superscript"/>
        </w:rPr>
        <w:t>*</w:t>
      </w:r>
      <w:r>
        <w:rPr>
          <w:rFonts w:hint="eastAsia" w:ascii="宋体" w:hAnsi="宋体"/>
          <w:color w:val="auto"/>
          <w:sz w:val="18"/>
          <w:szCs w:val="18"/>
        </w:rPr>
        <w:t>本格式在残疾人福利性单位申请报价格扣除时填写，未填写不享受小微价格扣除，但不作为无效投标。</w:t>
      </w:r>
    </w:p>
    <w:p>
      <w:pPr>
        <w:spacing w:line="240" w:lineRule="auto"/>
        <w:ind w:firstLine="450" w:firstLineChars="250"/>
        <w:rPr>
          <w:rFonts w:ascii="宋体" w:hAnsi="宋体"/>
          <w:color w:val="auto"/>
          <w:sz w:val="18"/>
          <w:szCs w:val="18"/>
        </w:rPr>
      </w:pPr>
      <w:r>
        <w:rPr>
          <w:rFonts w:hint="eastAsia" w:ascii="宋体" w:hAnsi="宋体"/>
          <w:color w:val="auto"/>
          <w:sz w:val="18"/>
          <w:szCs w:val="18"/>
        </w:rPr>
        <w:t>残疾人福利性单位属于小型、微型企业的，可只填写“</w:t>
      </w:r>
      <w:r>
        <w:rPr>
          <w:rFonts w:ascii="宋体" w:hAnsi="宋体"/>
          <w:color w:val="auto"/>
          <w:sz w:val="18"/>
          <w:szCs w:val="18"/>
        </w:rPr>
        <w:t xml:space="preserve"> 中小企业声明函</w:t>
      </w:r>
      <w:r>
        <w:rPr>
          <w:rFonts w:hint="eastAsia" w:ascii="宋体" w:hAnsi="宋体"/>
          <w:color w:val="auto"/>
          <w:sz w:val="18"/>
          <w:szCs w:val="18"/>
        </w:rPr>
        <w:t>”，不再填写“残疾人福利性单位</w:t>
      </w:r>
      <w:r>
        <w:rPr>
          <w:rFonts w:ascii="宋体" w:hAnsi="宋体"/>
          <w:color w:val="auto"/>
          <w:sz w:val="18"/>
          <w:szCs w:val="18"/>
        </w:rPr>
        <w:t>声明函</w:t>
      </w:r>
      <w:r>
        <w:rPr>
          <w:rFonts w:hint="eastAsia" w:ascii="宋体" w:hAnsi="宋体"/>
          <w:color w:val="auto"/>
          <w:sz w:val="18"/>
          <w:szCs w:val="18"/>
        </w:rPr>
        <w:t>”。</w:t>
      </w:r>
    </w:p>
    <w:p>
      <w:pPr>
        <w:spacing w:line="240" w:lineRule="auto"/>
        <w:ind w:firstLine="450" w:firstLineChars="250"/>
        <w:rPr>
          <w:rFonts w:ascii="宋体" w:hAnsi="宋体"/>
          <w:color w:val="auto"/>
          <w:sz w:val="18"/>
          <w:szCs w:val="18"/>
        </w:rPr>
      </w:pPr>
      <w:r>
        <w:rPr>
          <w:rFonts w:hint="eastAsia" w:ascii="宋体" w:hAnsi="宋体"/>
          <w:color w:val="auto"/>
          <w:sz w:val="18"/>
          <w:szCs w:val="18"/>
        </w:rPr>
        <w:t>3、残疾人福利性单位填写“残疾人福利性单位</w:t>
      </w:r>
      <w:r>
        <w:rPr>
          <w:rFonts w:ascii="宋体" w:hAnsi="宋体"/>
          <w:color w:val="auto"/>
          <w:sz w:val="18"/>
          <w:szCs w:val="18"/>
        </w:rPr>
        <w:t>声明函</w:t>
      </w:r>
      <w:r>
        <w:rPr>
          <w:rFonts w:hint="eastAsia" w:ascii="宋体" w:hAnsi="宋体"/>
          <w:color w:val="auto"/>
          <w:sz w:val="18"/>
          <w:szCs w:val="18"/>
        </w:rPr>
        <w:t>”后，仍需同时填写“</w:t>
      </w:r>
      <w:r>
        <w:rPr>
          <w:rFonts w:ascii="宋体" w:hAnsi="宋体"/>
          <w:color w:val="auto"/>
          <w:sz w:val="18"/>
          <w:szCs w:val="18"/>
        </w:rPr>
        <w:t>中小企业声明函</w:t>
      </w:r>
      <w:r>
        <w:rPr>
          <w:rFonts w:hint="eastAsia" w:ascii="宋体" w:hAnsi="宋体"/>
          <w:color w:val="auto"/>
          <w:sz w:val="18"/>
          <w:szCs w:val="18"/>
        </w:rPr>
        <w:t>”、可在“</w:t>
      </w:r>
      <w:r>
        <w:rPr>
          <w:rFonts w:ascii="宋体" w:hAnsi="宋体"/>
          <w:color w:val="auto"/>
          <w:sz w:val="18"/>
          <w:szCs w:val="18"/>
        </w:rPr>
        <w:t>中小企业声明函</w:t>
      </w:r>
      <w:r>
        <w:rPr>
          <w:rFonts w:hint="eastAsia" w:ascii="宋体" w:hAnsi="宋体"/>
          <w:color w:val="auto"/>
          <w:sz w:val="18"/>
          <w:szCs w:val="18"/>
        </w:rPr>
        <w:t>”注明“属于符合条件的残疾人福利性单位、视同小型、微型企业”。</w:t>
      </w:r>
    </w:p>
    <w:p>
      <w:pPr>
        <w:autoSpaceDE w:val="0"/>
        <w:autoSpaceDN w:val="0"/>
        <w:adjustRightInd w:val="0"/>
        <w:spacing w:line="360" w:lineRule="auto"/>
        <w:jc w:val="center"/>
        <w:rPr>
          <w:rFonts w:ascii="黑体" w:hAnsi="黑体" w:eastAsia="黑体"/>
          <w:b/>
          <w:color w:val="auto"/>
          <w:sz w:val="30"/>
          <w:szCs w:val="30"/>
        </w:rPr>
      </w:pPr>
      <w:r>
        <w:rPr>
          <w:rFonts w:ascii="黑体" w:hAnsi="黑体" w:eastAsia="黑体"/>
          <w:b/>
          <w:color w:val="auto"/>
          <w:sz w:val="30"/>
          <w:szCs w:val="30"/>
        </w:rPr>
        <w:br w:type="page"/>
      </w:r>
    </w:p>
    <w:p>
      <w:pPr>
        <w:autoSpaceDE w:val="0"/>
        <w:autoSpaceDN w:val="0"/>
        <w:adjustRightInd w:val="0"/>
        <w:spacing w:line="360" w:lineRule="auto"/>
        <w:jc w:val="center"/>
        <w:rPr>
          <w:rFonts w:ascii="黑体" w:hAnsi="黑体" w:eastAsia="黑体"/>
          <w:b/>
          <w:color w:val="auto"/>
          <w:sz w:val="30"/>
          <w:szCs w:val="30"/>
        </w:rPr>
      </w:pPr>
      <w:r>
        <w:rPr>
          <w:rFonts w:hint="eastAsia" w:ascii="黑体" w:hAnsi="黑体" w:eastAsia="黑体"/>
          <w:b/>
          <w:color w:val="auto"/>
          <w:sz w:val="30"/>
          <w:szCs w:val="30"/>
        </w:rPr>
        <w:t>1</w:t>
      </w:r>
      <w:r>
        <w:rPr>
          <w:rFonts w:ascii="黑体" w:hAnsi="黑体" w:eastAsia="黑体"/>
          <w:b/>
          <w:color w:val="auto"/>
          <w:sz w:val="30"/>
          <w:szCs w:val="30"/>
        </w:rPr>
        <w:t>3-2</w:t>
      </w:r>
      <w:r>
        <w:rPr>
          <w:rFonts w:hint="eastAsia" w:ascii="黑体" w:hAnsi="黑体" w:eastAsia="黑体"/>
          <w:b/>
          <w:color w:val="auto"/>
          <w:sz w:val="30"/>
          <w:szCs w:val="30"/>
        </w:rPr>
        <w:t>、投标人如果申报小微企业产品价格扣除的，需在“安阳市政府采购投标文件编制系统”填列。</w:t>
      </w:r>
    </w:p>
    <w:p>
      <w:pPr>
        <w:autoSpaceDE w:val="0"/>
        <w:autoSpaceDN w:val="0"/>
        <w:adjustRightInd w:val="0"/>
        <w:spacing w:line="360" w:lineRule="auto"/>
        <w:jc w:val="center"/>
        <w:rPr>
          <w:rFonts w:ascii="黑体" w:hAnsi="黑体" w:eastAsia="黑体"/>
          <w:b/>
          <w:color w:val="auto"/>
          <w:sz w:val="30"/>
          <w:szCs w:val="30"/>
        </w:rPr>
      </w:pPr>
    </w:p>
    <w:p>
      <w:pPr>
        <w:autoSpaceDE w:val="0"/>
        <w:autoSpaceDN w:val="0"/>
        <w:adjustRightInd w:val="0"/>
        <w:spacing w:line="360" w:lineRule="auto"/>
        <w:jc w:val="center"/>
        <w:rPr>
          <w:b/>
          <w:color w:val="auto"/>
          <w:sz w:val="24"/>
          <w:szCs w:val="24"/>
        </w:rPr>
      </w:pPr>
    </w:p>
    <w:p>
      <w:pPr>
        <w:widowControl w:val="0"/>
        <w:snapToGrid w:val="0"/>
        <w:spacing w:line="560" w:lineRule="exact"/>
        <w:ind w:firstLine="602" w:firstLineChars="200"/>
        <w:jc w:val="center"/>
        <w:rPr>
          <w:rFonts w:ascii="黑体" w:hAnsi="黑体" w:eastAsia="黑体"/>
          <w:b/>
          <w:color w:val="auto"/>
          <w:sz w:val="30"/>
          <w:szCs w:val="30"/>
        </w:rPr>
      </w:pPr>
      <w:r>
        <w:rPr>
          <w:rFonts w:hint="eastAsia" w:ascii="黑体" w:hAnsi="黑体" w:eastAsia="黑体"/>
          <w:b/>
          <w:color w:val="auto"/>
          <w:sz w:val="30"/>
          <w:szCs w:val="30"/>
        </w:rPr>
        <w:t>13</w:t>
      </w:r>
      <w:r>
        <w:rPr>
          <w:rFonts w:ascii="黑体" w:hAnsi="黑体" w:eastAsia="黑体"/>
          <w:b/>
          <w:color w:val="auto"/>
          <w:sz w:val="30"/>
          <w:szCs w:val="30"/>
        </w:rPr>
        <w:t>-3</w:t>
      </w:r>
      <w:r>
        <w:rPr>
          <w:rFonts w:hint="eastAsia" w:ascii="黑体" w:hAnsi="黑体" w:eastAsia="黑体"/>
          <w:b/>
          <w:color w:val="auto"/>
          <w:sz w:val="30"/>
          <w:szCs w:val="30"/>
        </w:rPr>
        <w:t>、其它材料</w:t>
      </w:r>
    </w:p>
    <w:p>
      <w:pPr>
        <w:adjustRightInd w:val="0"/>
        <w:snapToGrid w:val="0"/>
        <w:spacing w:line="300" w:lineRule="auto"/>
        <w:textAlignment w:val="top"/>
        <w:rPr>
          <w:rFonts w:ascii="宋体" w:hAnsi="宋体" w:cs="宋体"/>
          <w:b/>
          <w:color w:val="auto"/>
          <w:sz w:val="24"/>
        </w:rPr>
      </w:pPr>
    </w:p>
    <w:p>
      <w:pPr>
        <w:adjustRightInd w:val="0"/>
        <w:snapToGrid w:val="0"/>
        <w:spacing w:line="300" w:lineRule="auto"/>
        <w:textAlignment w:val="top"/>
        <w:rPr>
          <w:rFonts w:ascii="宋体" w:cs="楷体_GB2312"/>
          <w:b/>
          <w:color w:val="auto"/>
          <w:sz w:val="30"/>
          <w:szCs w:val="30"/>
        </w:rPr>
      </w:pPr>
      <w:r>
        <w:rPr>
          <w:rFonts w:ascii="宋体" w:hAnsi="宋体"/>
          <w:color w:val="auto"/>
          <w:sz w:val="24"/>
          <w:szCs w:val="24"/>
        </w:rPr>
        <w:br w:type="page"/>
      </w:r>
    </w:p>
    <w:p>
      <w:pPr>
        <w:widowControl w:val="0"/>
        <w:snapToGrid w:val="0"/>
        <w:spacing w:line="560" w:lineRule="exact"/>
        <w:rPr>
          <w:rFonts w:ascii="宋体" w:hAnsi="宋体" w:cs="宋体"/>
          <w:b/>
          <w:color w:val="auto"/>
          <w:sz w:val="24"/>
        </w:rPr>
      </w:pPr>
      <w:r>
        <w:rPr>
          <w:rFonts w:ascii="宋体" w:hAnsi="宋体" w:cs="宋体"/>
          <w:b/>
          <w:color w:val="auto"/>
          <w:sz w:val="24"/>
        </w:rPr>
        <w:t xml:space="preserve"> </w:t>
      </w:r>
    </w:p>
    <w:p>
      <w:pPr>
        <w:adjustRightInd w:val="0"/>
        <w:snapToGrid w:val="0"/>
        <w:spacing w:line="300" w:lineRule="auto"/>
        <w:textAlignment w:val="top"/>
        <w:rPr>
          <w:rFonts w:ascii="宋体" w:cs="楷体_GB2312"/>
          <w:b/>
          <w:color w:val="auto"/>
          <w:sz w:val="30"/>
          <w:szCs w:val="30"/>
        </w:rPr>
      </w:pPr>
    </w:p>
    <w:p>
      <w:pPr>
        <w:spacing w:beforeLines="300" w:afterLines="100" w:line="360" w:lineRule="auto"/>
        <w:rPr>
          <w:rFonts w:ascii="宋体" w:hAnsi="宋体"/>
          <w:b/>
          <w:bCs/>
          <w:color w:val="auto"/>
          <w:spacing w:val="100"/>
          <w:sz w:val="72"/>
          <w:szCs w:val="72"/>
        </w:rPr>
      </w:pPr>
      <w:r>
        <w:rPr>
          <w:rFonts w:hint="eastAsia" w:ascii="宋体" w:hAnsi="宋体"/>
          <w:b/>
          <w:bCs/>
          <w:color w:val="auto"/>
          <w:spacing w:val="100"/>
          <w:sz w:val="36"/>
          <w:szCs w:val="36"/>
          <w:u w:val="single"/>
        </w:rPr>
        <w:t xml:space="preserve">                  </w:t>
      </w:r>
      <w:r>
        <w:rPr>
          <w:rFonts w:hint="eastAsia" w:ascii="黑体" w:hAnsi="黑体" w:eastAsia="黑体"/>
          <w:b/>
          <w:color w:val="auto"/>
          <w:spacing w:val="60"/>
          <w:sz w:val="72"/>
          <w:szCs w:val="72"/>
        </w:rPr>
        <w:t>项目</w:t>
      </w:r>
    </w:p>
    <w:p>
      <w:pPr>
        <w:spacing w:line="360" w:lineRule="auto"/>
        <w:ind w:left="4350" w:leftChars="1500" w:hanging="1200" w:hangingChars="166"/>
        <w:rPr>
          <w:rFonts w:ascii="黑体" w:hAnsi="黑体" w:eastAsia="黑体"/>
          <w:b/>
          <w:color w:val="auto"/>
          <w:sz w:val="72"/>
          <w:szCs w:val="72"/>
          <w:u w:val="single"/>
        </w:rPr>
      </w:pPr>
      <w:r>
        <w:rPr>
          <w:rFonts w:hint="eastAsia" w:ascii="黑体" w:hAnsi="黑体" w:eastAsia="黑体"/>
          <w:b/>
          <w:color w:val="auto"/>
          <w:sz w:val="72"/>
          <w:szCs w:val="72"/>
        </w:rPr>
        <w:t>包</w:t>
      </w:r>
      <w:r>
        <w:rPr>
          <w:rFonts w:hint="eastAsia" w:ascii="黑体" w:hAnsi="黑体" w:eastAsia="黑体"/>
          <w:b/>
          <w:color w:val="auto"/>
          <w:sz w:val="72"/>
          <w:szCs w:val="72"/>
          <w:u w:val="single"/>
        </w:rPr>
        <w:t xml:space="preserve">    </w:t>
      </w:r>
    </w:p>
    <w:p>
      <w:pPr>
        <w:spacing w:line="360" w:lineRule="auto"/>
        <w:ind w:left="4544" w:leftChars="1500" w:hanging="1394" w:hangingChars="166"/>
        <w:rPr>
          <w:rFonts w:ascii="宋体" w:hAnsi="宋体"/>
          <w:color w:val="auto"/>
          <w:sz w:val="84"/>
          <w:szCs w:val="84"/>
        </w:rPr>
      </w:pPr>
    </w:p>
    <w:p>
      <w:pPr>
        <w:spacing w:afterLines="200" w:line="360" w:lineRule="auto"/>
        <w:ind w:left="5678" w:leftChars="299" w:hanging="5050" w:hangingChars="466"/>
        <w:jc w:val="center"/>
        <w:rPr>
          <w:rFonts w:ascii="黑体" w:hAnsi="黑体" w:eastAsia="黑体"/>
          <w:b/>
          <w:color w:val="auto"/>
          <w:spacing w:val="60"/>
          <w:sz w:val="96"/>
          <w:szCs w:val="96"/>
        </w:rPr>
      </w:pPr>
      <w:r>
        <w:rPr>
          <w:rFonts w:hint="eastAsia" w:ascii="黑体" w:hAnsi="黑体" w:eastAsia="黑体"/>
          <w:b/>
          <w:color w:val="auto"/>
          <w:spacing w:val="60"/>
          <w:sz w:val="96"/>
          <w:szCs w:val="96"/>
        </w:rPr>
        <w:t>资格性证明文件</w:t>
      </w:r>
    </w:p>
    <w:p>
      <w:pPr>
        <w:spacing w:beforeLines="50" w:afterLines="50" w:line="360" w:lineRule="auto"/>
        <w:ind w:firstLine="1751" w:firstLineChars="545"/>
        <w:rPr>
          <w:rFonts w:ascii="宋体" w:hAnsi="宋体"/>
          <w:b/>
          <w:color w:val="auto"/>
          <w:sz w:val="32"/>
          <w:szCs w:val="32"/>
        </w:rPr>
      </w:pPr>
      <w:r>
        <w:rPr>
          <w:rFonts w:hint="eastAsia" w:ascii="宋体" w:hAnsi="宋体"/>
          <w:b/>
          <w:color w:val="auto"/>
          <w:sz w:val="32"/>
          <w:szCs w:val="32"/>
        </w:rPr>
        <w:t xml:space="preserve">项目编号： </w:t>
      </w:r>
      <w:r>
        <w:rPr>
          <w:rFonts w:hint="eastAsia" w:ascii="宋体" w:hAnsi="宋体"/>
          <w:b/>
          <w:color w:val="auto"/>
          <w:sz w:val="32"/>
          <w:szCs w:val="32"/>
          <w:u w:val="single"/>
        </w:rPr>
        <w:t xml:space="preserve">                     </w:t>
      </w:r>
    </w:p>
    <w:p>
      <w:pPr>
        <w:spacing w:line="360" w:lineRule="auto"/>
        <w:rPr>
          <w:rFonts w:ascii="宋体" w:hAnsi="宋体"/>
          <w:b/>
          <w:color w:val="auto"/>
          <w:sz w:val="36"/>
          <w:szCs w:val="36"/>
        </w:rPr>
      </w:pPr>
    </w:p>
    <w:p>
      <w:pPr>
        <w:spacing w:line="360" w:lineRule="auto"/>
        <w:rPr>
          <w:rFonts w:ascii="宋体" w:hAnsi="宋体"/>
          <w:b/>
          <w:color w:val="auto"/>
          <w:sz w:val="36"/>
          <w:szCs w:val="36"/>
        </w:rPr>
      </w:pPr>
    </w:p>
    <w:p>
      <w:pPr>
        <w:spacing w:line="360" w:lineRule="auto"/>
        <w:rPr>
          <w:rFonts w:ascii="宋体" w:hAnsi="宋体"/>
          <w:b/>
          <w:color w:val="auto"/>
          <w:sz w:val="36"/>
          <w:szCs w:val="36"/>
        </w:rPr>
      </w:pPr>
    </w:p>
    <w:p>
      <w:pPr>
        <w:spacing w:line="360" w:lineRule="auto"/>
        <w:rPr>
          <w:rFonts w:ascii="宋体" w:hAnsi="宋体"/>
          <w:b/>
          <w:color w:val="auto"/>
          <w:sz w:val="36"/>
          <w:szCs w:val="36"/>
        </w:rPr>
      </w:pPr>
    </w:p>
    <w:p>
      <w:pPr>
        <w:pStyle w:val="54"/>
        <w:spacing w:beforeLines="150" w:afterLines="150" w:line="360" w:lineRule="auto"/>
        <w:jc w:val="both"/>
        <w:rPr>
          <w:rFonts w:hAnsi="宋体"/>
          <w:color w:val="auto"/>
          <w:sz w:val="28"/>
          <w:szCs w:val="28"/>
        </w:rPr>
      </w:pPr>
      <w:r>
        <w:rPr>
          <w:rFonts w:hint="eastAsia" w:hAnsi="宋体"/>
          <w:color w:val="auto"/>
          <w:sz w:val="28"/>
          <w:szCs w:val="28"/>
        </w:rPr>
        <w:t>投标人：</w:t>
      </w:r>
      <w:r>
        <w:rPr>
          <w:rFonts w:hint="eastAsia" w:hAnsi="宋体"/>
          <w:color w:val="auto"/>
          <w:sz w:val="28"/>
          <w:szCs w:val="28"/>
          <w:u w:val="single"/>
        </w:rPr>
        <w:t xml:space="preserve">                                    </w:t>
      </w:r>
      <w:r>
        <w:rPr>
          <w:rFonts w:hint="eastAsia" w:hAnsi="宋体"/>
          <w:color w:val="auto"/>
          <w:sz w:val="28"/>
          <w:szCs w:val="28"/>
        </w:rPr>
        <w:t>（加盖电子签章）</w:t>
      </w:r>
    </w:p>
    <w:p>
      <w:pPr>
        <w:pStyle w:val="54"/>
        <w:spacing w:beforeLines="150" w:afterLines="150" w:line="360" w:lineRule="auto"/>
        <w:jc w:val="both"/>
        <w:rPr>
          <w:rFonts w:hAnsi="宋体"/>
          <w:color w:val="auto"/>
          <w:sz w:val="28"/>
          <w:szCs w:val="28"/>
          <w:u w:val="single"/>
        </w:rPr>
      </w:pPr>
      <w:r>
        <w:rPr>
          <w:rFonts w:hint="eastAsia" w:hAnsi="宋体"/>
          <w:color w:val="auto"/>
          <w:sz w:val="28"/>
          <w:szCs w:val="28"/>
        </w:rPr>
        <w:t>法定代表人：</w:t>
      </w:r>
      <w:r>
        <w:rPr>
          <w:rFonts w:hAnsi="宋体"/>
          <w:color w:val="auto"/>
          <w:sz w:val="28"/>
          <w:szCs w:val="28"/>
          <w:u w:val="single"/>
        </w:rPr>
        <w:t xml:space="preserve">                       </w:t>
      </w:r>
      <w:r>
        <w:rPr>
          <w:rFonts w:hint="eastAsia" w:hAnsi="宋体"/>
          <w:color w:val="auto"/>
          <w:sz w:val="28"/>
          <w:szCs w:val="28"/>
          <w:u w:val="single"/>
        </w:rPr>
        <w:t xml:space="preserve">      </w:t>
      </w:r>
      <w:r>
        <w:rPr>
          <w:rFonts w:hAnsi="宋体"/>
          <w:color w:val="auto"/>
          <w:sz w:val="28"/>
          <w:szCs w:val="28"/>
          <w:u w:val="single"/>
        </w:rPr>
        <w:t xml:space="preserve">   </w:t>
      </w:r>
      <w:r>
        <w:rPr>
          <w:rFonts w:hint="eastAsia" w:hAnsi="宋体"/>
          <w:color w:val="auto"/>
          <w:sz w:val="28"/>
          <w:szCs w:val="28"/>
        </w:rPr>
        <w:t>（加盖电子签名）</w:t>
      </w:r>
    </w:p>
    <w:p>
      <w:pPr>
        <w:spacing w:beforeLines="150" w:afterLines="150" w:line="586" w:lineRule="atLeast"/>
        <w:rPr>
          <w:rFonts w:ascii="宋体" w:hAnsi="宋体"/>
          <w:color w:val="auto"/>
          <w:sz w:val="28"/>
          <w:szCs w:val="28"/>
        </w:rPr>
      </w:pPr>
      <w:r>
        <w:rPr>
          <w:rFonts w:hint="eastAsia" w:ascii="宋体" w:hAnsi="宋体"/>
          <w:color w:val="auto"/>
          <w:sz w:val="28"/>
          <w:szCs w:val="28"/>
        </w:rPr>
        <w:t>投标日期：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spacing w:line="351" w:lineRule="atLeast"/>
        <w:rPr>
          <w:rFonts w:ascii="黑体" w:eastAsia="黑体"/>
          <w:b/>
          <w:color w:val="auto"/>
          <w:spacing w:val="60"/>
          <w:sz w:val="36"/>
          <w:szCs w:val="36"/>
        </w:rPr>
      </w:pPr>
    </w:p>
    <w:p>
      <w:pPr>
        <w:spacing w:line="351" w:lineRule="atLeast"/>
        <w:ind w:left="419"/>
        <w:jc w:val="center"/>
        <w:rPr>
          <w:rFonts w:ascii="黑体" w:eastAsia="黑体"/>
          <w:b/>
          <w:color w:val="auto"/>
          <w:spacing w:val="60"/>
          <w:sz w:val="36"/>
          <w:szCs w:val="36"/>
        </w:rPr>
      </w:pPr>
      <w:r>
        <w:rPr>
          <w:rFonts w:hint="eastAsia" w:ascii="黑体" w:eastAsia="黑体"/>
          <w:b/>
          <w:color w:val="auto"/>
          <w:spacing w:val="60"/>
          <w:sz w:val="36"/>
          <w:szCs w:val="36"/>
        </w:rPr>
        <w:t>目录</w:t>
      </w:r>
    </w:p>
    <w:p>
      <w:pPr>
        <w:spacing w:line="351" w:lineRule="atLeast"/>
        <w:ind w:left="419"/>
        <w:jc w:val="center"/>
        <w:rPr>
          <w:rFonts w:ascii="黑体" w:eastAsia="黑体"/>
          <w:b/>
          <w:color w:val="auto"/>
          <w:spacing w:val="60"/>
          <w:sz w:val="36"/>
          <w:szCs w:val="36"/>
        </w:rPr>
      </w:pPr>
    </w:p>
    <w:p>
      <w:pPr>
        <w:snapToGrid w:val="0"/>
        <w:spacing w:line="560" w:lineRule="atLeast"/>
        <w:textAlignment w:val="top"/>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r>
        <w:rPr>
          <w:rFonts w:asciiTheme="minorEastAsia" w:hAnsiTheme="minorEastAsia" w:eastAsiaTheme="minorEastAsia"/>
          <w:color w:val="auto"/>
          <w:sz w:val="24"/>
          <w:szCs w:val="24"/>
        </w:rPr>
        <w:t>4</w:t>
      </w:r>
      <w:r>
        <w:rPr>
          <w:rFonts w:hint="eastAsia" w:asciiTheme="minorEastAsia" w:hAnsiTheme="minorEastAsia" w:eastAsiaTheme="minorEastAsia"/>
          <w:color w:val="auto"/>
          <w:sz w:val="24"/>
          <w:szCs w:val="24"/>
        </w:rPr>
        <w:t>、关于资格的声明函</w:t>
      </w:r>
    </w:p>
    <w:p>
      <w:pPr>
        <w:snapToGrid w:val="0"/>
        <w:spacing w:line="560" w:lineRule="atLeast"/>
        <w:textAlignment w:val="top"/>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15</w:t>
      </w:r>
      <w:r>
        <w:rPr>
          <w:rFonts w:hint="eastAsia" w:asciiTheme="minorEastAsia" w:hAnsiTheme="minorEastAsia" w:eastAsiaTheme="minorEastAsia"/>
          <w:color w:val="auto"/>
          <w:sz w:val="24"/>
          <w:szCs w:val="24"/>
        </w:rPr>
        <w:t>、《招</w:t>
      </w:r>
      <w:r>
        <w:rPr>
          <w:rFonts w:asciiTheme="minorEastAsia" w:hAnsiTheme="minorEastAsia" w:eastAsiaTheme="minorEastAsia"/>
          <w:color w:val="auto"/>
          <w:sz w:val="24"/>
          <w:szCs w:val="24"/>
        </w:rPr>
        <w:t>标文件》</w:t>
      </w:r>
      <w:r>
        <w:rPr>
          <w:rFonts w:hint="eastAsia" w:asciiTheme="minorEastAsia" w:hAnsiTheme="minorEastAsia" w:eastAsiaTheme="minorEastAsia"/>
          <w:color w:val="auto"/>
          <w:sz w:val="24"/>
          <w:szCs w:val="24"/>
        </w:rPr>
        <w:t>第</w:t>
      </w:r>
      <w:r>
        <w:rPr>
          <w:rFonts w:asciiTheme="minorEastAsia" w:hAnsiTheme="minorEastAsia" w:eastAsiaTheme="minorEastAsia"/>
          <w:color w:val="auto"/>
          <w:sz w:val="24"/>
          <w:szCs w:val="24"/>
        </w:rPr>
        <w:t>一章</w:t>
      </w:r>
      <w:r>
        <w:rPr>
          <w:rFonts w:hint="eastAsia" w:asciiTheme="minorEastAsia" w:hAnsiTheme="minorEastAsia" w:eastAsiaTheme="minorEastAsia"/>
          <w:color w:val="auto"/>
          <w:sz w:val="24"/>
          <w:szCs w:val="24"/>
        </w:rPr>
        <w:t>“招</w:t>
      </w:r>
      <w:r>
        <w:rPr>
          <w:rFonts w:asciiTheme="minorEastAsia" w:hAnsiTheme="minorEastAsia" w:eastAsiaTheme="minorEastAsia"/>
          <w:color w:val="auto"/>
          <w:sz w:val="24"/>
          <w:szCs w:val="24"/>
        </w:rPr>
        <w:t>标公</w:t>
      </w:r>
      <w:r>
        <w:rPr>
          <w:rFonts w:hint="eastAsia" w:asciiTheme="minorEastAsia" w:hAnsiTheme="minorEastAsia" w:eastAsiaTheme="minorEastAsia"/>
          <w:color w:val="auto"/>
          <w:sz w:val="24"/>
          <w:szCs w:val="24"/>
        </w:rPr>
        <w:t>告”</w:t>
      </w:r>
      <w:r>
        <w:rPr>
          <w:rFonts w:asciiTheme="minorEastAsia" w:hAnsiTheme="minorEastAsia" w:eastAsiaTheme="minorEastAsia"/>
          <w:color w:val="auto"/>
          <w:sz w:val="24"/>
          <w:szCs w:val="24"/>
        </w:rPr>
        <w:t>第二条所要求的</w:t>
      </w:r>
      <w:r>
        <w:rPr>
          <w:rFonts w:hint="eastAsia" w:asciiTheme="minorEastAsia" w:hAnsiTheme="minorEastAsia" w:eastAsiaTheme="minorEastAsia"/>
          <w:color w:val="auto"/>
          <w:sz w:val="24"/>
          <w:szCs w:val="24"/>
        </w:rPr>
        <w:t>资格性证明文件</w:t>
      </w:r>
    </w:p>
    <w:p>
      <w:pPr>
        <w:snapToGrid w:val="0"/>
        <w:spacing w:line="560" w:lineRule="atLeast"/>
        <w:textAlignment w:val="top"/>
        <w:rPr>
          <w:rFonts w:asciiTheme="minorEastAsia" w:hAnsiTheme="minorEastAsia" w:eastAsiaTheme="minorEastAsia"/>
          <w:color w:val="auto"/>
          <w:sz w:val="24"/>
          <w:szCs w:val="24"/>
        </w:rPr>
      </w:pPr>
    </w:p>
    <w:p>
      <w:pPr>
        <w:snapToGrid w:val="0"/>
        <w:spacing w:line="560" w:lineRule="atLeast"/>
        <w:ind w:firstLine="708" w:firstLineChars="295"/>
        <w:textAlignment w:val="top"/>
        <w:rPr>
          <w:rFonts w:ascii="宋体" w:hAnsi="宋体"/>
          <w:color w:val="auto"/>
          <w:sz w:val="24"/>
        </w:rPr>
      </w:pPr>
      <w:r>
        <w:rPr>
          <w:rFonts w:hint="eastAsia" w:asciiTheme="minorEastAsia" w:hAnsiTheme="minorEastAsia" w:eastAsiaTheme="minorEastAsia"/>
          <w:color w:val="auto"/>
          <w:sz w:val="24"/>
          <w:szCs w:val="24"/>
        </w:rPr>
        <w:t>1</w:t>
      </w:r>
      <w:r>
        <w:rPr>
          <w:rFonts w:asciiTheme="minorEastAsia" w:hAnsiTheme="minorEastAsia" w:eastAsiaTheme="minorEastAsia"/>
          <w:color w:val="auto"/>
          <w:sz w:val="24"/>
          <w:szCs w:val="24"/>
        </w:rPr>
        <w:t>5</w:t>
      </w:r>
      <w:r>
        <w:rPr>
          <w:rFonts w:hint="eastAsia" w:asciiTheme="minorEastAsia" w:hAnsiTheme="minorEastAsia" w:eastAsiaTheme="minorEastAsia"/>
          <w:color w:val="auto"/>
          <w:sz w:val="24"/>
          <w:szCs w:val="24"/>
        </w:rPr>
        <w:t>-1、</w:t>
      </w:r>
      <w:r>
        <w:rPr>
          <w:rFonts w:hint="eastAsia" w:ascii="宋体" w:hAnsi="宋体"/>
          <w:color w:val="auto"/>
          <w:sz w:val="24"/>
        </w:rPr>
        <w:t>《政府采购法》第二十二条第一款规定的供应商基础性资格的</w:t>
      </w:r>
    </w:p>
    <w:p>
      <w:pPr>
        <w:snapToGrid w:val="0"/>
        <w:spacing w:line="560" w:lineRule="atLeast"/>
        <w:ind w:firstLine="708" w:firstLineChars="295"/>
        <w:textAlignment w:val="top"/>
        <w:rPr>
          <w:rFonts w:ascii="宋体" w:hAnsi="宋体"/>
          <w:color w:val="auto"/>
          <w:sz w:val="24"/>
        </w:rPr>
      </w:pPr>
      <w:r>
        <w:rPr>
          <w:rFonts w:hint="eastAsia" w:ascii="宋体" w:hAnsi="宋体"/>
          <w:color w:val="auto"/>
          <w:sz w:val="24"/>
        </w:rPr>
        <w:t>承诺函</w:t>
      </w:r>
    </w:p>
    <w:p>
      <w:pPr>
        <w:snapToGrid w:val="0"/>
        <w:spacing w:line="560" w:lineRule="atLeast"/>
        <w:ind w:firstLine="708" w:firstLineChars="295"/>
        <w:textAlignment w:val="top"/>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r>
        <w:rPr>
          <w:rFonts w:asciiTheme="minorEastAsia" w:hAnsiTheme="minorEastAsia" w:eastAsiaTheme="minorEastAsia"/>
          <w:color w:val="auto"/>
          <w:sz w:val="24"/>
          <w:szCs w:val="24"/>
        </w:rPr>
        <w:t>5</w:t>
      </w:r>
      <w:r>
        <w:rPr>
          <w:rFonts w:hint="eastAsia" w:asciiTheme="minorEastAsia" w:hAnsiTheme="minorEastAsia" w:eastAsiaTheme="minorEastAsia"/>
          <w:color w:val="auto"/>
          <w:sz w:val="24"/>
          <w:szCs w:val="24"/>
        </w:rPr>
        <w:t>-2、供应商负责人控股、设计等相关承诺书</w:t>
      </w:r>
    </w:p>
    <w:p>
      <w:pPr>
        <w:snapToGrid w:val="0"/>
        <w:spacing w:line="560" w:lineRule="atLeast"/>
        <w:ind w:firstLine="708" w:firstLineChars="295"/>
        <w:textAlignment w:val="top"/>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r>
        <w:rPr>
          <w:rFonts w:asciiTheme="minorEastAsia" w:hAnsiTheme="minorEastAsia" w:eastAsiaTheme="minorEastAsia"/>
          <w:color w:val="auto"/>
          <w:sz w:val="24"/>
          <w:szCs w:val="24"/>
        </w:rPr>
        <w:t>5</w:t>
      </w:r>
      <w:r>
        <w:rPr>
          <w:rFonts w:hint="eastAsia" w:asciiTheme="minorEastAsia" w:hAnsiTheme="minorEastAsia" w:eastAsiaTheme="minorEastAsia"/>
          <w:color w:val="auto"/>
          <w:sz w:val="24"/>
          <w:szCs w:val="24"/>
        </w:rPr>
        <w:t>-3、投标承诺函(替代投标保证金)</w:t>
      </w:r>
    </w:p>
    <w:p>
      <w:pPr>
        <w:snapToGrid w:val="0"/>
        <w:spacing w:line="560" w:lineRule="atLeast"/>
        <w:ind w:firstLine="708" w:firstLineChars="295"/>
        <w:textAlignment w:val="top"/>
        <w:rPr>
          <w:rFonts w:asciiTheme="minorEastAsia" w:hAnsiTheme="minorEastAsia" w:eastAsiaTheme="minorEastAsia"/>
          <w:color w:val="auto"/>
          <w:sz w:val="24"/>
          <w:szCs w:val="24"/>
        </w:rPr>
      </w:pPr>
      <w:r>
        <w:rPr>
          <w:rFonts w:hint="eastAsia" w:ascii="宋体" w:hAnsi="宋体"/>
          <w:color w:val="auto"/>
          <w:sz w:val="24"/>
          <w:szCs w:val="24"/>
        </w:rPr>
        <w:t>1</w:t>
      </w:r>
      <w:r>
        <w:rPr>
          <w:rFonts w:ascii="宋体" w:hAnsi="宋体"/>
          <w:color w:val="auto"/>
          <w:sz w:val="24"/>
          <w:szCs w:val="24"/>
        </w:rPr>
        <w:t>5</w:t>
      </w:r>
      <w:r>
        <w:rPr>
          <w:rFonts w:hint="eastAsia" w:ascii="宋体" w:hAnsi="宋体"/>
          <w:color w:val="auto"/>
          <w:sz w:val="24"/>
          <w:szCs w:val="24"/>
        </w:rPr>
        <w:t>-4、</w:t>
      </w:r>
      <w:r>
        <w:rPr>
          <w:rFonts w:hint="eastAsia" w:asciiTheme="minorEastAsia" w:hAnsiTheme="minorEastAsia" w:eastAsiaTheme="minorEastAsia"/>
          <w:color w:val="auto"/>
          <w:sz w:val="24"/>
          <w:szCs w:val="24"/>
        </w:rPr>
        <w:t>其他资格证明材料</w:t>
      </w:r>
    </w:p>
    <w:p>
      <w:pPr>
        <w:snapToGrid w:val="0"/>
        <w:spacing w:line="560" w:lineRule="atLeast"/>
        <w:ind w:firstLine="708" w:firstLineChars="295"/>
        <w:textAlignment w:val="top"/>
        <w:rPr>
          <w:rFonts w:asciiTheme="minorEastAsia" w:hAnsiTheme="minorEastAsia" w:eastAsiaTheme="minorEastAsia"/>
          <w:color w:val="auto"/>
          <w:sz w:val="24"/>
          <w:szCs w:val="24"/>
        </w:rPr>
      </w:pPr>
    </w:p>
    <w:p>
      <w:pPr>
        <w:tabs>
          <w:tab w:val="left" w:pos="540"/>
        </w:tabs>
        <w:spacing w:line="440" w:lineRule="exact"/>
        <w:jc w:val="center"/>
        <w:rPr>
          <w:rFonts w:ascii="仿宋_GB2312" w:eastAsia="仿宋_GB2312"/>
          <w:color w:val="auto"/>
          <w:sz w:val="32"/>
          <w:szCs w:val="32"/>
        </w:rPr>
      </w:pPr>
      <w:r>
        <w:rPr>
          <w:rFonts w:ascii="仿宋_GB2312" w:eastAsia="仿宋_GB2312"/>
          <w:color w:val="auto"/>
          <w:sz w:val="32"/>
          <w:szCs w:val="32"/>
        </w:rPr>
        <w:br w:type="page"/>
      </w:r>
    </w:p>
    <w:p>
      <w:pPr>
        <w:tabs>
          <w:tab w:val="left" w:pos="540"/>
        </w:tabs>
        <w:spacing w:line="440" w:lineRule="exact"/>
        <w:jc w:val="center"/>
        <w:rPr>
          <w:rFonts w:ascii="黑体" w:hAnsi="黑体" w:eastAsia="黑体"/>
          <w:b/>
          <w:color w:val="auto"/>
          <w:sz w:val="30"/>
          <w:szCs w:val="30"/>
        </w:rPr>
      </w:pPr>
      <w:r>
        <w:rPr>
          <w:rFonts w:hint="eastAsia" w:ascii="黑体" w:hAnsi="黑体" w:eastAsia="黑体"/>
          <w:b/>
          <w:color w:val="auto"/>
          <w:sz w:val="30"/>
          <w:szCs w:val="30"/>
        </w:rPr>
        <w:t>1</w:t>
      </w:r>
      <w:r>
        <w:rPr>
          <w:rFonts w:ascii="黑体" w:hAnsi="黑体" w:eastAsia="黑体"/>
          <w:b/>
          <w:color w:val="auto"/>
          <w:sz w:val="30"/>
          <w:szCs w:val="30"/>
        </w:rPr>
        <w:t>4</w:t>
      </w:r>
      <w:r>
        <w:rPr>
          <w:rFonts w:hint="eastAsia" w:ascii="黑体" w:hAnsi="黑体" w:eastAsia="黑体"/>
          <w:b/>
          <w:color w:val="auto"/>
          <w:sz w:val="30"/>
          <w:szCs w:val="30"/>
        </w:rPr>
        <w:t>、关于资格的声明函</w:t>
      </w:r>
    </w:p>
    <w:p>
      <w:pPr>
        <w:snapToGrid w:val="0"/>
        <w:spacing w:line="560" w:lineRule="exact"/>
        <w:ind w:firstLine="839"/>
        <w:rPr>
          <w:color w:val="auto"/>
        </w:rPr>
      </w:pPr>
    </w:p>
    <w:p>
      <w:pPr>
        <w:snapToGrid w:val="0"/>
        <w:spacing w:line="560" w:lineRule="exact"/>
        <w:rPr>
          <w:rFonts w:ascii="宋体"/>
          <w:color w:val="auto"/>
          <w:sz w:val="24"/>
        </w:rPr>
      </w:pPr>
      <w:r>
        <w:rPr>
          <w:rFonts w:hint="eastAsia" w:ascii="宋体" w:hAnsi="宋体"/>
          <w:color w:val="auto"/>
          <w:sz w:val="24"/>
        </w:rPr>
        <w:t>安阳市方正招标采购服务有限责任公司：</w:t>
      </w:r>
    </w:p>
    <w:p>
      <w:pPr>
        <w:snapToGrid w:val="0"/>
        <w:spacing w:line="560" w:lineRule="exact"/>
        <w:ind w:firstLine="555"/>
        <w:rPr>
          <w:rFonts w:ascii="宋体"/>
          <w:color w:val="auto"/>
          <w:sz w:val="24"/>
        </w:rPr>
      </w:pPr>
      <w:r>
        <w:rPr>
          <w:rFonts w:hint="eastAsia" w:ascii="宋体" w:hAnsi="宋体"/>
          <w:color w:val="auto"/>
          <w:sz w:val="24"/>
        </w:rPr>
        <w:t>关于贵方项目编号为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的招标</w:t>
      </w:r>
      <w:r>
        <w:rPr>
          <w:rFonts w:ascii="宋体" w:hAnsi="宋体"/>
          <w:color w:val="auto"/>
          <w:sz w:val="24"/>
        </w:rPr>
        <w:t>公告</w:t>
      </w:r>
      <w:r>
        <w:rPr>
          <w:rFonts w:hint="eastAsia" w:ascii="宋体" w:hAnsi="宋体"/>
          <w:color w:val="auto"/>
          <w:sz w:val="24"/>
        </w:rPr>
        <w:t>，本签字人愿意参加投标，提供招标文件中规定的产品及服务，并声明提交下列文件是准确的、真实的和有效的。</w:t>
      </w:r>
    </w:p>
    <w:p>
      <w:pPr>
        <w:numPr>
          <w:ilvl w:val="0"/>
          <w:numId w:val="4"/>
        </w:numPr>
        <w:snapToGrid w:val="0"/>
        <w:spacing w:line="560" w:lineRule="exact"/>
        <w:ind w:firstLine="555"/>
        <w:rPr>
          <w:rFonts w:ascii="宋体" w:hAnsi="宋体"/>
          <w:color w:val="auto"/>
          <w:sz w:val="24"/>
        </w:rPr>
      </w:pPr>
      <w:r>
        <w:rPr>
          <w:rFonts w:hint="eastAsia" w:ascii="宋体" w:hAnsi="宋体"/>
          <w:color w:val="auto"/>
          <w:sz w:val="24"/>
        </w:rPr>
        <w:t>《招标文件》第一章“招标公告”第二条所要求的资格性证明文件（证件或证明资料或承诺）</w:t>
      </w:r>
    </w:p>
    <w:p>
      <w:pPr>
        <w:snapToGrid w:val="0"/>
        <w:spacing w:line="560" w:lineRule="exact"/>
        <w:ind w:firstLine="555"/>
        <w:rPr>
          <w:rFonts w:ascii="宋体"/>
          <w:color w:val="auto"/>
          <w:sz w:val="24"/>
        </w:rPr>
      </w:pP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采购项目中必须的其他证件。</w:t>
      </w:r>
    </w:p>
    <w:p>
      <w:pPr>
        <w:snapToGrid w:val="0"/>
        <w:spacing w:line="560" w:lineRule="exact"/>
        <w:ind w:firstLine="555"/>
        <w:rPr>
          <w:rFonts w:ascii="宋体"/>
          <w:color w:val="auto"/>
          <w:sz w:val="24"/>
        </w:rPr>
      </w:pPr>
      <w:r>
        <w:rPr>
          <w:rFonts w:hint="eastAsia" w:ascii="宋体" w:hAnsi="宋体"/>
          <w:color w:val="auto"/>
          <w:sz w:val="24"/>
        </w:rPr>
        <w:t>3</w:t>
      </w:r>
      <w:r>
        <w:rPr>
          <w:rFonts w:ascii="宋体" w:hAnsi="宋体"/>
          <w:color w:val="auto"/>
          <w:sz w:val="24"/>
        </w:rPr>
        <w:t xml:space="preserve">. </w:t>
      </w:r>
      <w:r>
        <w:rPr>
          <w:rFonts w:hint="eastAsia" w:ascii="宋体" w:hAnsi="宋体"/>
          <w:color w:val="auto"/>
          <w:sz w:val="24"/>
        </w:rPr>
        <w:t>本签字人确认资格文件中的说明是真实的、准确的。</w:t>
      </w:r>
    </w:p>
    <w:p>
      <w:pPr>
        <w:snapToGrid w:val="0"/>
        <w:spacing w:line="560" w:lineRule="exact"/>
        <w:ind w:firstLine="555"/>
        <w:rPr>
          <w:rFonts w:ascii="宋体"/>
          <w:color w:val="auto"/>
          <w:sz w:val="24"/>
        </w:rPr>
      </w:pPr>
    </w:p>
    <w:p>
      <w:pPr>
        <w:snapToGrid w:val="0"/>
        <w:spacing w:line="560" w:lineRule="exact"/>
        <w:ind w:firstLine="555"/>
        <w:rPr>
          <w:rFonts w:ascii="宋体"/>
          <w:color w:val="auto"/>
          <w:sz w:val="24"/>
        </w:rPr>
      </w:pPr>
    </w:p>
    <w:p>
      <w:pPr>
        <w:snapToGrid w:val="0"/>
        <w:spacing w:line="560" w:lineRule="exact"/>
        <w:ind w:firstLine="555"/>
        <w:rPr>
          <w:rFonts w:ascii="宋体"/>
          <w:color w:val="auto"/>
          <w:sz w:val="24"/>
        </w:rPr>
      </w:pP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pPr>
        <w:widowControl w:val="0"/>
        <w:tabs>
          <w:tab w:val="left" w:pos="9365"/>
        </w:tabs>
        <w:snapToGrid w:val="0"/>
        <w:spacing w:after="56" w:line="560" w:lineRule="exact"/>
        <w:ind w:right="85"/>
        <w:jc w:val="left"/>
        <w:textAlignment w:val="top"/>
        <w:rPr>
          <w:rFonts w:ascii="宋体" w:hAnsi="宋体"/>
          <w:color w:val="auto"/>
          <w:sz w:val="24"/>
        </w:rPr>
      </w:pPr>
      <w:r>
        <w:rPr>
          <w:rFonts w:hint="eastAsia"/>
          <w:color w:val="auto"/>
          <w:sz w:val="24"/>
          <w:szCs w:val="24"/>
        </w:rPr>
        <w:t>法定代表人（电子签名）：</w:t>
      </w:r>
      <w:r>
        <w:rPr>
          <w:rFonts w:ascii="宋体" w:hAnsi="宋体"/>
          <w:color w:val="auto"/>
          <w:sz w:val="24"/>
        </w:rPr>
        <w:t xml:space="preserve"> </w:t>
      </w:r>
    </w:p>
    <w:p>
      <w:pPr>
        <w:widowControl w:val="0"/>
        <w:tabs>
          <w:tab w:val="left" w:pos="9365"/>
        </w:tabs>
        <w:snapToGrid w:val="0"/>
        <w:spacing w:after="56" w:line="560" w:lineRule="exact"/>
        <w:ind w:right="85"/>
        <w:jc w:val="left"/>
        <w:textAlignment w:val="top"/>
        <w:rPr>
          <w:rFonts w:ascii="宋体" w:hAnsi="宋体" w:cs="楷体_GB2312"/>
          <w:color w:val="auto"/>
          <w:sz w:val="24"/>
          <w:lang w:val="zh-CN"/>
        </w:rPr>
      </w:pPr>
      <w:r>
        <w:rPr>
          <w:rFonts w:hint="eastAsia" w:ascii="宋体" w:hAnsi="宋体"/>
          <w:color w:val="auto"/>
          <w:spacing w:val="8"/>
          <w:sz w:val="24"/>
        </w:rPr>
        <w:t>日期</w:t>
      </w:r>
      <w:r>
        <w:rPr>
          <w:rFonts w:ascii="宋体" w:hAnsi="宋体"/>
          <w:color w:val="auto"/>
          <w:spacing w:val="8"/>
          <w:sz w:val="24"/>
        </w:rPr>
        <w:t xml:space="preserve"> </w:t>
      </w:r>
      <w:r>
        <w:rPr>
          <w:rFonts w:hint="eastAsia" w:ascii="宋体" w:hAnsi="宋体"/>
          <w:color w:val="auto"/>
          <w:spacing w:val="8"/>
          <w:sz w:val="24"/>
        </w:rPr>
        <w:t>：</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widowControl w:val="0"/>
        <w:tabs>
          <w:tab w:val="left" w:pos="9365"/>
        </w:tabs>
        <w:snapToGrid w:val="0"/>
        <w:spacing w:after="56" w:line="560" w:lineRule="exact"/>
        <w:ind w:right="85"/>
        <w:jc w:val="left"/>
        <w:textAlignment w:val="top"/>
        <w:rPr>
          <w:rFonts w:ascii="宋体" w:hAnsi="宋体" w:cs="楷体_GB2312"/>
          <w:color w:val="auto"/>
          <w:sz w:val="24"/>
          <w:lang w:val="zh-CN"/>
        </w:rPr>
      </w:pPr>
      <w:r>
        <w:rPr>
          <w:rFonts w:ascii="宋体" w:hAnsi="宋体" w:cs="楷体_GB2312"/>
          <w:color w:val="auto"/>
          <w:sz w:val="24"/>
          <w:lang w:val="zh-CN"/>
        </w:rPr>
        <w:br w:type="page"/>
      </w:r>
    </w:p>
    <w:p>
      <w:pPr>
        <w:widowControl w:val="0"/>
        <w:tabs>
          <w:tab w:val="left" w:pos="9365"/>
        </w:tabs>
        <w:snapToGrid w:val="0"/>
        <w:spacing w:after="56" w:line="560" w:lineRule="exact"/>
        <w:ind w:right="85"/>
        <w:jc w:val="left"/>
        <w:textAlignment w:val="top"/>
        <w:rPr>
          <w:rFonts w:ascii="黑体" w:hAnsi="黑体" w:eastAsia="黑体"/>
          <w:b/>
          <w:color w:val="auto"/>
          <w:sz w:val="30"/>
          <w:szCs w:val="30"/>
        </w:rPr>
      </w:pPr>
      <w:r>
        <w:rPr>
          <w:rFonts w:ascii="黑体" w:hAnsi="黑体" w:eastAsia="黑体"/>
          <w:b/>
          <w:color w:val="auto"/>
          <w:sz w:val="30"/>
          <w:szCs w:val="30"/>
        </w:rPr>
        <w:t>15</w:t>
      </w:r>
      <w:r>
        <w:rPr>
          <w:rFonts w:hint="eastAsia" w:ascii="黑体" w:hAnsi="黑体" w:eastAsia="黑体"/>
          <w:b/>
          <w:color w:val="auto"/>
          <w:sz w:val="30"/>
          <w:szCs w:val="30"/>
        </w:rPr>
        <w:t>、《招</w:t>
      </w:r>
      <w:r>
        <w:rPr>
          <w:rFonts w:ascii="黑体" w:hAnsi="黑体" w:eastAsia="黑体"/>
          <w:b/>
          <w:color w:val="auto"/>
          <w:sz w:val="30"/>
          <w:szCs w:val="30"/>
        </w:rPr>
        <w:t>标文件》</w:t>
      </w:r>
      <w:r>
        <w:rPr>
          <w:rFonts w:hint="eastAsia" w:ascii="黑体" w:hAnsi="黑体" w:eastAsia="黑体"/>
          <w:b/>
          <w:color w:val="auto"/>
          <w:sz w:val="30"/>
          <w:szCs w:val="30"/>
        </w:rPr>
        <w:t>第</w:t>
      </w:r>
      <w:r>
        <w:rPr>
          <w:rFonts w:ascii="黑体" w:hAnsi="黑体" w:eastAsia="黑体"/>
          <w:b/>
          <w:color w:val="auto"/>
          <w:sz w:val="30"/>
          <w:szCs w:val="30"/>
        </w:rPr>
        <w:t>一章</w:t>
      </w:r>
      <w:r>
        <w:rPr>
          <w:rFonts w:hint="eastAsia" w:ascii="黑体" w:hAnsi="黑体" w:eastAsia="黑体"/>
          <w:b/>
          <w:color w:val="auto"/>
          <w:sz w:val="30"/>
          <w:szCs w:val="30"/>
        </w:rPr>
        <w:t>“招</w:t>
      </w:r>
      <w:r>
        <w:rPr>
          <w:rFonts w:ascii="黑体" w:hAnsi="黑体" w:eastAsia="黑体"/>
          <w:b/>
          <w:color w:val="auto"/>
          <w:sz w:val="30"/>
          <w:szCs w:val="30"/>
        </w:rPr>
        <w:t>标公</w:t>
      </w:r>
      <w:r>
        <w:rPr>
          <w:rFonts w:hint="eastAsia" w:ascii="黑体" w:hAnsi="黑体" w:eastAsia="黑体"/>
          <w:b/>
          <w:color w:val="auto"/>
          <w:sz w:val="30"/>
          <w:szCs w:val="30"/>
        </w:rPr>
        <w:t>告”</w:t>
      </w:r>
      <w:r>
        <w:rPr>
          <w:rFonts w:ascii="黑体" w:hAnsi="黑体" w:eastAsia="黑体"/>
          <w:b/>
          <w:color w:val="auto"/>
          <w:sz w:val="30"/>
          <w:szCs w:val="30"/>
        </w:rPr>
        <w:t>第二条所要求的</w:t>
      </w:r>
      <w:r>
        <w:rPr>
          <w:rFonts w:hint="eastAsia" w:ascii="黑体" w:hAnsi="黑体" w:eastAsia="黑体"/>
          <w:b/>
          <w:color w:val="auto"/>
          <w:sz w:val="30"/>
          <w:szCs w:val="30"/>
        </w:rPr>
        <w:t>资格性证明文件</w:t>
      </w:r>
    </w:p>
    <w:p>
      <w:pPr>
        <w:widowControl w:val="0"/>
        <w:tabs>
          <w:tab w:val="left" w:pos="9365"/>
        </w:tabs>
        <w:snapToGrid w:val="0"/>
        <w:spacing w:after="56" w:line="560" w:lineRule="exact"/>
        <w:ind w:right="85"/>
        <w:jc w:val="left"/>
        <w:textAlignment w:val="top"/>
        <w:rPr>
          <w:rFonts w:ascii="宋体" w:hAnsi="宋体" w:cs="楷体_GB2312"/>
          <w:color w:val="auto"/>
          <w:sz w:val="24"/>
          <w:lang w:val="zh-CN"/>
        </w:rPr>
      </w:pPr>
    </w:p>
    <w:p>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r>
        <w:rPr>
          <w:rFonts w:hint="eastAsia" w:ascii="黑体" w:hAnsi="黑体" w:eastAsia="黑体"/>
          <w:b/>
          <w:color w:val="auto"/>
          <w:sz w:val="30"/>
          <w:szCs w:val="30"/>
        </w:rPr>
        <w:t>1</w:t>
      </w:r>
      <w:r>
        <w:rPr>
          <w:rFonts w:ascii="黑体" w:hAnsi="黑体" w:eastAsia="黑体"/>
          <w:b/>
          <w:color w:val="auto"/>
          <w:sz w:val="30"/>
          <w:szCs w:val="30"/>
        </w:rPr>
        <w:t>5</w:t>
      </w:r>
      <w:r>
        <w:rPr>
          <w:rFonts w:hint="eastAsia" w:ascii="黑体" w:hAnsi="黑体" w:eastAsia="黑体"/>
          <w:b/>
          <w:color w:val="auto"/>
          <w:sz w:val="30"/>
          <w:szCs w:val="30"/>
        </w:rPr>
        <w:t>-1、《政府采购法》第二十二条第一款规定的供</w:t>
      </w:r>
      <w:r>
        <w:rPr>
          <w:rFonts w:ascii="黑体" w:hAnsi="黑体" w:eastAsia="黑体"/>
          <w:b/>
          <w:color w:val="auto"/>
          <w:sz w:val="30"/>
          <w:szCs w:val="30"/>
        </w:rPr>
        <w:t>应商基础性资</w:t>
      </w:r>
      <w:r>
        <w:rPr>
          <w:rFonts w:hint="eastAsia" w:ascii="黑体" w:hAnsi="黑体" w:eastAsia="黑体"/>
          <w:b/>
          <w:color w:val="auto"/>
          <w:sz w:val="30"/>
          <w:szCs w:val="30"/>
        </w:rPr>
        <w:t>格</w:t>
      </w:r>
      <w:r>
        <w:rPr>
          <w:rFonts w:ascii="黑体" w:hAnsi="黑体" w:eastAsia="黑体"/>
          <w:b/>
          <w:color w:val="auto"/>
          <w:sz w:val="30"/>
          <w:szCs w:val="30"/>
        </w:rPr>
        <w:t>的</w:t>
      </w:r>
    </w:p>
    <w:p>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r>
        <w:rPr>
          <w:rFonts w:hint="eastAsia" w:ascii="黑体" w:hAnsi="黑体" w:eastAsia="黑体"/>
          <w:b/>
          <w:color w:val="auto"/>
          <w:sz w:val="30"/>
          <w:szCs w:val="30"/>
        </w:rPr>
        <w:t>承诺函</w:t>
      </w:r>
    </w:p>
    <w:p>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p>
    <w:p>
      <w:pPr>
        <w:tabs>
          <w:tab w:val="left" w:pos="9365"/>
        </w:tabs>
        <w:spacing w:before="57" w:after="57" w:line="586" w:lineRule="atLeast"/>
        <w:ind w:right="85" w:firstLine="480" w:firstLineChars="200"/>
        <w:jc w:val="left"/>
        <w:textAlignment w:val="top"/>
        <w:rPr>
          <w:rFonts w:ascii="宋体" w:hAnsi="宋体"/>
          <w:color w:val="auto"/>
          <w:sz w:val="24"/>
          <w:szCs w:val="24"/>
        </w:rPr>
      </w:pPr>
      <w:r>
        <w:rPr>
          <w:rFonts w:hint="eastAsia" w:ascii="宋体" w:hAnsi="宋体"/>
          <w:color w:val="auto"/>
          <w:sz w:val="24"/>
          <w:szCs w:val="24"/>
        </w:rPr>
        <w:t>一</w:t>
      </w:r>
      <w:r>
        <w:rPr>
          <w:rFonts w:ascii="宋体" w:hAnsi="宋体"/>
          <w:color w:val="auto"/>
          <w:sz w:val="24"/>
          <w:szCs w:val="24"/>
        </w:rPr>
        <w:t>、</w:t>
      </w:r>
      <w:r>
        <w:rPr>
          <w:rFonts w:hint="eastAsia" w:ascii="宋体" w:hAnsi="宋体"/>
          <w:color w:val="auto"/>
          <w:sz w:val="24"/>
          <w:szCs w:val="24"/>
        </w:rPr>
        <w:t>我公司郑重承诺，我公司符合《政府采购法》第二十二条第一款规定的供应商基础性资格条件，具体如下：</w:t>
      </w:r>
    </w:p>
    <w:p>
      <w:pPr>
        <w:tabs>
          <w:tab w:val="left" w:pos="9365"/>
        </w:tabs>
        <w:spacing w:before="57" w:after="57" w:line="586" w:lineRule="atLeast"/>
        <w:ind w:right="85" w:firstLine="424" w:firstLineChars="177"/>
        <w:jc w:val="left"/>
        <w:textAlignment w:val="top"/>
        <w:rPr>
          <w:rFonts w:ascii="宋体" w:hAnsi="宋体"/>
          <w:color w:val="auto"/>
          <w:sz w:val="24"/>
          <w:szCs w:val="24"/>
        </w:rPr>
      </w:pPr>
      <w:r>
        <w:rPr>
          <w:rFonts w:hint="eastAsia" w:ascii="宋体" w:hAnsi="宋体"/>
          <w:color w:val="auto"/>
          <w:sz w:val="24"/>
          <w:szCs w:val="24"/>
        </w:rPr>
        <w:t>1、我公司承诺具有独立承担民事责任能力；</w:t>
      </w:r>
    </w:p>
    <w:p>
      <w:pPr>
        <w:tabs>
          <w:tab w:val="left" w:pos="9365"/>
        </w:tabs>
        <w:spacing w:before="57" w:after="57" w:line="586" w:lineRule="atLeast"/>
        <w:ind w:right="85" w:firstLine="424" w:firstLineChars="177"/>
        <w:jc w:val="left"/>
        <w:textAlignment w:val="top"/>
        <w:rPr>
          <w:rFonts w:ascii="宋体" w:hAnsi="宋体"/>
          <w:color w:val="auto"/>
          <w:sz w:val="24"/>
          <w:szCs w:val="24"/>
        </w:rPr>
      </w:pPr>
      <w:r>
        <w:rPr>
          <w:rFonts w:hint="eastAsia" w:ascii="宋体" w:hAnsi="宋体"/>
          <w:color w:val="auto"/>
          <w:sz w:val="24"/>
          <w:szCs w:val="24"/>
        </w:rPr>
        <w:t>2、我公司承诺具有良好的商业信誉和健全的财务会计制度；</w:t>
      </w:r>
    </w:p>
    <w:p>
      <w:pPr>
        <w:tabs>
          <w:tab w:val="left" w:pos="9365"/>
        </w:tabs>
        <w:spacing w:before="57" w:after="57" w:line="586" w:lineRule="atLeast"/>
        <w:ind w:right="85" w:firstLine="424" w:firstLineChars="177"/>
        <w:jc w:val="left"/>
        <w:textAlignment w:val="top"/>
        <w:rPr>
          <w:rFonts w:ascii="宋体" w:hAnsi="宋体"/>
          <w:color w:val="auto"/>
          <w:sz w:val="24"/>
          <w:szCs w:val="24"/>
        </w:rPr>
      </w:pPr>
      <w:r>
        <w:rPr>
          <w:rFonts w:hint="eastAsia" w:ascii="宋体" w:hAnsi="宋体"/>
          <w:color w:val="auto"/>
          <w:sz w:val="24"/>
          <w:szCs w:val="24"/>
        </w:rPr>
        <w:t>3、我公司承诺具备履行合同所必需的设备和专业技术能力；</w:t>
      </w:r>
    </w:p>
    <w:p>
      <w:pPr>
        <w:tabs>
          <w:tab w:val="left" w:pos="9365"/>
        </w:tabs>
        <w:spacing w:before="57" w:after="57" w:line="586" w:lineRule="atLeast"/>
        <w:ind w:right="85" w:firstLine="424" w:firstLineChars="177"/>
        <w:jc w:val="left"/>
        <w:textAlignment w:val="top"/>
        <w:rPr>
          <w:rFonts w:ascii="宋体" w:hAnsi="宋体"/>
          <w:color w:val="auto"/>
          <w:sz w:val="24"/>
          <w:szCs w:val="24"/>
        </w:rPr>
      </w:pPr>
      <w:r>
        <w:rPr>
          <w:rFonts w:hint="eastAsia" w:ascii="宋体" w:hAnsi="宋体"/>
          <w:color w:val="auto"/>
          <w:sz w:val="24"/>
          <w:szCs w:val="24"/>
        </w:rPr>
        <w:t>4、我公司承诺具有依法缴纳税收和社会保障资金的良好记录；</w:t>
      </w:r>
    </w:p>
    <w:p>
      <w:pPr>
        <w:tabs>
          <w:tab w:val="left" w:pos="9365"/>
        </w:tabs>
        <w:spacing w:before="57" w:after="57" w:line="586" w:lineRule="atLeast"/>
        <w:ind w:right="85" w:firstLine="424" w:firstLineChars="177"/>
        <w:jc w:val="left"/>
        <w:textAlignment w:val="top"/>
        <w:rPr>
          <w:rFonts w:ascii="宋体" w:hAnsi="宋体"/>
          <w:color w:val="auto"/>
          <w:sz w:val="24"/>
          <w:szCs w:val="24"/>
        </w:rPr>
      </w:pPr>
      <w:r>
        <w:rPr>
          <w:rFonts w:hint="eastAsia" w:ascii="宋体" w:hAnsi="宋体"/>
          <w:color w:val="auto"/>
          <w:sz w:val="24"/>
          <w:szCs w:val="24"/>
        </w:rPr>
        <w:t>5、我公司承诺在参加政府采购活动前三年内，在经营活动中没有重大违法记录。</w:t>
      </w:r>
    </w:p>
    <w:p>
      <w:pPr>
        <w:tabs>
          <w:tab w:val="left" w:pos="9365"/>
        </w:tabs>
        <w:spacing w:beforeLines="50" w:line="240" w:lineRule="auto"/>
        <w:ind w:right="85"/>
        <w:jc w:val="left"/>
        <w:textAlignment w:val="top"/>
        <w:rPr>
          <w:rFonts w:ascii="宋体"/>
          <w:color w:val="auto"/>
          <w:sz w:val="24"/>
          <w:szCs w:val="24"/>
        </w:rPr>
      </w:pPr>
      <w:r>
        <w:rPr>
          <w:rFonts w:hint="eastAsia" w:ascii="宋体"/>
          <w:color w:val="auto"/>
          <w:sz w:val="24"/>
          <w:szCs w:val="24"/>
        </w:rPr>
        <w:t xml:space="preserve">    二</w:t>
      </w:r>
      <w:r>
        <w:rPr>
          <w:rFonts w:ascii="宋体"/>
          <w:color w:val="auto"/>
          <w:sz w:val="24"/>
          <w:szCs w:val="24"/>
        </w:rPr>
        <w:t>、</w:t>
      </w:r>
      <w:r>
        <w:rPr>
          <w:rFonts w:hint="eastAsia" w:ascii="宋体"/>
          <w:color w:val="auto"/>
          <w:sz w:val="24"/>
          <w:szCs w:val="24"/>
        </w:rPr>
        <w:t>我公司保证上述承诺事项的真实性，如有虚假或其他违规违法行为，我公司愿意</w:t>
      </w:r>
      <w:r>
        <w:rPr>
          <w:rFonts w:hint="eastAsia" w:ascii="宋体" w:hAnsi="宋体"/>
          <w:color w:val="auto"/>
          <w:sz w:val="24"/>
          <w:szCs w:val="24"/>
        </w:rPr>
        <w:t>按《政府采购法》提供虚假材料的有关规定</w:t>
      </w:r>
      <w:r>
        <w:rPr>
          <w:rFonts w:hint="eastAsia" w:ascii="宋体"/>
          <w:color w:val="auto"/>
          <w:sz w:val="24"/>
          <w:szCs w:val="24"/>
        </w:rPr>
        <w:t>承担法律责任，并承担因此造成的一切损失。</w:t>
      </w:r>
    </w:p>
    <w:p>
      <w:pPr>
        <w:widowControl w:val="0"/>
        <w:tabs>
          <w:tab w:val="left" w:pos="9365"/>
        </w:tabs>
        <w:snapToGrid w:val="0"/>
        <w:spacing w:beforeLines="50" w:line="240" w:lineRule="auto"/>
        <w:ind w:right="85"/>
        <w:jc w:val="left"/>
        <w:textAlignment w:val="top"/>
        <w:rPr>
          <w:rFonts w:ascii="宋体" w:hAnsi="宋体"/>
          <w:color w:val="auto"/>
          <w:sz w:val="24"/>
          <w:szCs w:val="24"/>
        </w:rPr>
      </w:pPr>
      <w:r>
        <w:rPr>
          <w:rFonts w:hint="eastAsia" w:ascii="宋体"/>
          <w:color w:val="auto"/>
          <w:sz w:val="24"/>
          <w:szCs w:val="24"/>
        </w:rPr>
        <w:t xml:space="preserve">   三</w:t>
      </w:r>
      <w:r>
        <w:rPr>
          <w:rFonts w:ascii="宋体"/>
          <w:color w:val="auto"/>
          <w:sz w:val="24"/>
          <w:szCs w:val="24"/>
        </w:rPr>
        <w:t>、</w:t>
      </w:r>
      <w:r>
        <w:rPr>
          <w:rFonts w:hint="eastAsia" w:ascii="宋体"/>
          <w:color w:val="auto"/>
          <w:sz w:val="24"/>
          <w:szCs w:val="24"/>
        </w:rPr>
        <w:t xml:space="preserve"> 我</w:t>
      </w:r>
      <w:r>
        <w:rPr>
          <w:rFonts w:ascii="宋体"/>
          <w:color w:val="auto"/>
          <w:sz w:val="24"/>
          <w:szCs w:val="24"/>
        </w:rPr>
        <w:t>公司认同</w:t>
      </w:r>
      <w:r>
        <w:rPr>
          <w:rFonts w:hint="eastAsia" w:ascii="宋体"/>
          <w:color w:val="auto"/>
          <w:sz w:val="24"/>
          <w:szCs w:val="24"/>
        </w:rPr>
        <w:t>按</w:t>
      </w:r>
      <w:r>
        <w:rPr>
          <w:rFonts w:ascii="宋体"/>
          <w:color w:val="auto"/>
          <w:sz w:val="24"/>
          <w:szCs w:val="24"/>
        </w:rPr>
        <w:t>照</w:t>
      </w:r>
      <w:r>
        <w:rPr>
          <w:rFonts w:hint="eastAsia" w:ascii="宋体"/>
          <w:color w:val="auto"/>
          <w:sz w:val="24"/>
          <w:szCs w:val="24"/>
        </w:rPr>
        <w:t>《招标</w:t>
      </w:r>
      <w:r>
        <w:rPr>
          <w:rFonts w:ascii="宋体"/>
          <w:color w:val="auto"/>
          <w:sz w:val="24"/>
          <w:szCs w:val="24"/>
        </w:rPr>
        <w:t>文件</w:t>
      </w:r>
      <w:r>
        <w:rPr>
          <w:rFonts w:hint="eastAsia" w:ascii="宋体"/>
          <w:color w:val="auto"/>
          <w:sz w:val="24"/>
          <w:szCs w:val="24"/>
        </w:rPr>
        <w:t>》“</w:t>
      </w:r>
      <w:r>
        <w:rPr>
          <w:rFonts w:hint="eastAsia" w:ascii="宋体" w:hAnsi="宋体"/>
          <w:color w:val="auto"/>
          <w:sz w:val="24"/>
          <w:szCs w:val="24"/>
        </w:rPr>
        <w:t>《政府采购法》第二十二条第一款规定的供</w:t>
      </w:r>
      <w:r>
        <w:rPr>
          <w:rFonts w:ascii="宋体" w:hAnsi="宋体"/>
          <w:color w:val="auto"/>
          <w:sz w:val="24"/>
          <w:szCs w:val="24"/>
        </w:rPr>
        <w:t>应商基础性资</w:t>
      </w:r>
      <w:r>
        <w:rPr>
          <w:rFonts w:hint="eastAsia" w:ascii="宋体" w:hAnsi="宋体"/>
          <w:color w:val="auto"/>
          <w:sz w:val="24"/>
          <w:szCs w:val="24"/>
        </w:rPr>
        <w:t>格</w:t>
      </w:r>
      <w:r>
        <w:rPr>
          <w:rFonts w:ascii="宋体" w:hAnsi="宋体"/>
          <w:color w:val="auto"/>
          <w:sz w:val="24"/>
          <w:szCs w:val="24"/>
        </w:rPr>
        <w:t>的</w:t>
      </w:r>
      <w:r>
        <w:rPr>
          <w:rFonts w:hint="eastAsia" w:ascii="宋体" w:hAnsi="宋体"/>
          <w:color w:val="auto"/>
          <w:sz w:val="24"/>
          <w:szCs w:val="24"/>
        </w:rPr>
        <w:t>承诺认定标准</w:t>
      </w:r>
      <w:r>
        <w:rPr>
          <w:rFonts w:hint="eastAsia" w:ascii="宋体"/>
          <w:color w:val="auto"/>
          <w:sz w:val="24"/>
          <w:szCs w:val="24"/>
        </w:rPr>
        <w:t>”对</w:t>
      </w:r>
      <w:r>
        <w:rPr>
          <w:rFonts w:ascii="宋体"/>
          <w:color w:val="auto"/>
          <w:sz w:val="24"/>
          <w:szCs w:val="24"/>
        </w:rPr>
        <w:t>我公司或其他公司</w:t>
      </w:r>
      <w:r>
        <w:rPr>
          <w:rFonts w:hint="eastAsia" w:ascii="宋体"/>
          <w:color w:val="auto"/>
          <w:sz w:val="24"/>
          <w:szCs w:val="24"/>
        </w:rPr>
        <w:t>进行的</w:t>
      </w:r>
      <w:r>
        <w:rPr>
          <w:rFonts w:hint="eastAsia" w:ascii="宋体" w:hAnsi="宋体"/>
          <w:color w:val="auto"/>
          <w:sz w:val="24"/>
          <w:szCs w:val="24"/>
        </w:rPr>
        <w:t>供</w:t>
      </w:r>
      <w:r>
        <w:rPr>
          <w:rFonts w:ascii="宋体" w:hAnsi="宋体"/>
          <w:color w:val="auto"/>
          <w:sz w:val="24"/>
          <w:szCs w:val="24"/>
        </w:rPr>
        <w:t>应商基础性资</w:t>
      </w:r>
      <w:r>
        <w:rPr>
          <w:rFonts w:hint="eastAsia" w:ascii="宋体" w:hAnsi="宋体"/>
          <w:color w:val="auto"/>
          <w:sz w:val="24"/>
          <w:szCs w:val="24"/>
        </w:rPr>
        <w:t>格的</w:t>
      </w:r>
      <w:r>
        <w:rPr>
          <w:rFonts w:ascii="宋体" w:hAnsi="宋体"/>
          <w:color w:val="auto"/>
          <w:sz w:val="24"/>
          <w:szCs w:val="24"/>
        </w:rPr>
        <w:t>审查</w:t>
      </w:r>
      <w:r>
        <w:rPr>
          <w:rFonts w:hint="eastAsia" w:ascii="宋体" w:hAnsi="宋体"/>
          <w:color w:val="auto"/>
          <w:sz w:val="24"/>
          <w:szCs w:val="24"/>
        </w:rPr>
        <w:t>，</w:t>
      </w:r>
      <w:r>
        <w:rPr>
          <w:rFonts w:ascii="宋体" w:hAnsi="宋体"/>
          <w:color w:val="auto"/>
          <w:sz w:val="24"/>
          <w:szCs w:val="24"/>
        </w:rPr>
        <w:t>对</w:t>
      </w:r>
      <w:r>
        <w:rPr>
          <w:rFonts w:hint="eastAsia" w:ascii="宋体"/>
          <w:color w:val="auto"/>
          <w:sz w:val="24"/>
          <w:szCs w:val="24"/>
        </w:rPr>
        <w:t>按</w:t>
      </w:r>
      <w:r>
        <w:rPr>
          <w:rFonts w:ascii="宋体"/>
          <w:color w:val="auto"/>
          <w:sz w:val="24"/>
          <w:szCs w:val="24"/>
        </w:rPr>
        <w:t>照</w:t>
      </w:r>
      <w:r>
        <w:rPr>
          <w:rFonts w:hint="eastAsia" w:ascii="宋体" w:hAnsi="宋体"/>
          <w:color w:val="auto"/>
          <w:sz w:val="24"/>
          <w:szCs w:val="24"/>
        </w:rPr>
        <w:t>认定标准得</w:t>
      </w:r>
      <w:r>
        <w:rPr>
          <w:rFonts w:ascii="宋体" w:hAnsi="宋体"/>
          <w:color w:val="auto"/>
          <w:sz w:val="24"/>
          <w:szCs w:val="24"/>
        </w:rPr>
        <w:t>出的审查结果无异</w:t>
      </w:r>
      <w:r>
        <w:rPr>
          <w:rFonts w:hint="eastAsia" w:ascii="宋体" w:hAnsi="宋体"/>
          <w:color w:val="auto"/>
          <w:sz w:val="24"/>
          <w:szCs w:val="24"/>
        </w:rPr>
        <w:t>议。</w:t>
      </w:r>
    </w:p>
    <w:p>
      <w:pPr>
        <w:widowControl w:val="0"/>
        <w:tabs>
          <w:tab w:val="left" w:pos="9365"/>
        </w:tabs>
        <w:snapToGrid w:val="0"/>
        <w:spacing w:beforeLines="50" w:line="240" w:lineRule="auto"/>
        <w:ind w:right="85"/>
        <w:jc w:val="left"/>
        <w:textAlignment w:val="top"/>
        <w:rPr>
          <w:rFonts w:ascii="宋体" w:hAnsi="宋体"/>
          <w:color w:val="auto"/>
          <w:sz w:val="24"/>
          <w:szCs w:val="24"/>
        </w:rPr>
      </w:pPr>
      <w:r>
        <w:rPr>
          <w:rFonts w:hint="eastAsia" w:ascii="宋体" w:hAnsi="宋体"/>
          <w:color w:val="auto"/>
          <w:sz w:val="24"/>
          <w:szCs w:val="24"/>
        </w:rPr>
        <w:t xml:space="preserve">    四、</w:t>
      </w:r>
      <w:r>
        <w:rPr>
          <w:rFonts w:hint="eastAsia" w:ascii="宋体"/>
          <w:color w:val="auto"/>
          <w:sz w:val="24"/>
          <w:szCs w:val="24"/>
        </w:rPr>
        <w:t>我公司投</w:t>
      </w:r>
      <w:r>
        <w:rPr>
          <w:rFonts w:ascii="宋体"/>
          <w:color w:val="auto"/>
          <w:sz w:val="24"/>
          <w:szCs w:val="24"/>
        </w:rPr>
        <w:t>标文件或</w:t>
      </w:r>
      <w:r>
        <w:rPr>
          <w:rFonts w:hint="eastAsia" w:ascii="宋体"/>
          <w:color w:val="auto"/>
          <w:sz w:val="24"/>
          <w:szCs w:val="24"/>
        </w:rPr>
        <w:t>公</w:t>
      </w:r>
      <w:r>
        <w:rPr>
          <w:rFonts w:ascii="宋体"/>
          <w:color w:val="auto"/>
          <w:sz w:val="24"/>
          <w:szCs w:val="24"/>
        </w:rPr>
        <w:t>开资</w:t>
      </w:r>
      <w:r>
        <w:rPr>
          <w:rFonts w:hint="eastAsia" w:ascii="宋体"/>
          <w:color w:val="auto"/>
          <w:sz w:val="24"/>
          <w:szCs w:val="24"/>
        </w:rPr>
        <w:t>料或</w:t>
      </w:r>
      <w:r>
        <w:rPr>
          <w:rFonts w:ascii="宋体"/>
          <w:color w:val="auto"/>
          <w:sz w:val="24"/>
          <w:szCs w:val="24"/>
        </w:rPr>
        <w:t>备</w:t>
      </w:r>
      <w:r>
        <w:rPr>
          <w:rFonts w:hint="eastAsia" w:ascii="宋体"/>
          <w:color w:val="auto"/>
          <w:sz w:val="24"/>
          <w:szCs w:val="24"/>
        </w:rPr>
        <w:t>案</w:t>
      </w:r>
      <w:r>
        <w:rPr>
          <w:rFonts w:ascii="宋体"/>
          <w:color w:val="auto"/>
          <w:sz w:val="24"/>
          <w:szCs w:val="24"/>
        </w:rPr>
        <w:t>资</w:t>
      </w:r>
      <w:r>
        <w:rPr>
          <w:rFonts w:hint="eastAsia" w:ascii="宋体"/>
          <w:color w:val="auto"/>
          <w:sz w:val="24"/>
          <w:szCs w:val="24"/>
        </w:rPr>
        <w:t>料</w:t>
      </w:r>
      <w:r>
        <w:rPr>
          <w:rFonts w:ascii="宋体"/>
          <w:color w:val="auto"/>
          <w:sz w:val="24"/>
          <w:szCs w:val="24"/>
        </w:rPr>
        <w:t>中，有不符合</w:t>
      </w:r>
      <w:r>
        <w:rPr>
          <w:rFonts w:hint="eastAsia" w:ascii="宋体"/>
          <w:color w:val="auto"/>
          <w:sz w:val="24"/>
          <w:szCs w:val="24"/>
        </w:rPr>
        <w:t>《招标</w:t>
      </w:r>
      <w:r>
        <w:rPr>
          <w:rFonts w:ascii="宋体"/>
          <w:color w:val="auto"/>
          <w:sz w:val="24"/>
          <w:szCs w:val="24"/>
        </w:rPr>
        <w:t>文件</w:t>
      </w:r>
      <w:r>
        <w:rPr>
          <w:rFonts w:hint="eastAsia" w:ascii="宋体"/>
          <w:color w:val="auto"/>
          <w:sz w:val="24"/>
          <w:szCs w:val="24"/>
        </w:rPr>
        <w:t>》“</w:t>
      </w:r>
      <w:r>
        <w:rPr>
          <w:rFonts w:hint="eastAsia" w:ascii="宋体" w:hAnsi="宋体"/>
          <w:color w:val="auto"/>
          <w:sz w:val="24"/>
          <w:szCs w:val="24"/>
        </w:rPr>
        <w:t>《政府采购法》第二十二条第一款规定的供</w:t>
      </w:r>
      <w:r>
        <w:rPr>
          <w:rFonts w:ascii="宋体" w:hAnsi="宋体"/>
          <w:color w:val="auto"/>
          <w:sz w:val="24"/>
          <w:szCs w:val="24"/>
        </w:rPr>
        <w:t>应商基础性资</w:t>
      </w:r>
      <w:r>
        <w:rPr>
          <w:rFonts w:hint="eastAsia" w:ascii="宋体" w:hAnsi="宋体"/>
          <w:color w:val="auto"/>
          <w:sz w:val="24"/>
          <w:szCs w:val="24"/>
        </w:rPr>
        <w:t>格</w:t>
      </w:r>
      <w:r>
        <w:rPr>
          <w:rFonts w:ascii="宋体" w:hAnsi="宋体"/>
          <w:color w:val="auto"/>
          <w:sz w:val="24"/>
          <w:szCs w:val="24"/>
        </w:rPr>
        <w:t>的</w:t>
      </w:r>
      <w:r>
        <w:rPr>
          <w:rFonts w:hint="eastAsia" w:ascii="宋体" w:hAnsi="宋体"/>
          <w:color w:val="auto"/>
          <w:sz w:val="24"/>
          <w:szCs w:val="24"/>
        </w:rPr>
        <w:t>承诺认定标准</w:t>
      </w:r>
      <w:r>
        <w:rPr>
          <w:rFonts w:hint="eastAsia" w:ascii="宋体"/>
          <w:color w:val="auto"/>
          <w:sz w:val="24"/>
          <w:szCs w:val="24"/>
        </w:rPr>
        <w:t>”的</w:t>
      </w:r>
      <w:r>
        <w:rPr>
          <w:rFonts w:ascii="宋体"/>
          <w:color w:val="auto"/>
          <w:sz w:val="24"/>
          <w:szCs w:val="24"/>
        </w:rPr>
        <w:t>，</w:t>
      </w:r>
      <w:r>
        <w:rPr>
          <w:rFonts w:hint="eastAsia" w:ascii="宋体"/>
          <w:color w:val="auto"/>
          <w:sz w:val="24"/>
          <w:szCs w:val="24"/>
        </w:rPr>
        <w:t>我公司</w:t>
      </w:r>
      <w:r>
        <w:rPr>
          <w:rFonts w:ascii="宋体"/>
          <w:color w:val="auto"/>
          <w:sz w:val="24"/>
          <w:szCs w:val="24"/>
        </w:rPr>
        <w:t>认同</w:t>
      </w:r>
      <w:r>
        <w:rPr>
          <w:rFonts w:hint="eastAsia" w:ascii="宋体"/>
          <w:color w:val="auto"/>
          <w:sz w:val="24"/>
          <w:szCs w:val="24"/>
        </w:rPr>
        <w:t>判</w:t>
      </w:r>
      <w:r>
        <w:rPr>
          <w:rFonts w:ascii="宋体"/>
          <w:color w:val="auto"/>
          <w:sz w:val="24"/>
          <w:szCs w:val="24"/>
        </w:rPr>
        <w:t>定为无</w:t>
      </w:r>
      <w:r>
        <w:rPr>
          <w:rFonts w:hint="eastAsia" w:ascii="宋体"/>
          <w:color w:val="auto"/>
          <w:sz w:val="24"/>
          <w:szCs w:val="24"/>
        </w:rPr>
        <w:t>效</w:t>
      </w:r>
      <w:r>
        <w:rPr>
          <w:rFonts w:ascii="宋体"/>
          <w:color w:val="auto"/>
          <w:sz w:val="24"/>
          <w:szCs w:val="24"/>
        </w:rPr>
        <w:t>投标</w:t>
      </w:r>
      <w:r>
        <w:rPr>
          <w:rFonts w:hint="eastAsia" w:ascii="宋体"/>
          <w:color w:val="auto"/>
          <w:sz w:val="24"/>
          <w:szCs w:val="24"/>
        </w:rPr>
        <w:t>、承担</w:t>
      </w:r>
      <w:r>
        <w:rPr>
          <w:rFonts w:hint="eastAsia" w:ascii="宋体" w:hAnsi="宋体"/>
          <w:color w:val="auto"/>
          <w:sz w:val="24"/>
          <w:szCs w:val="24"/>
        </w:rPr>
        <w:t>虚假</w:t>
      </w:r>
      <w:r>
        <w:rPr>
          <w:rFonts w:hint="eastAsia" w:ascii="宋体"/>
          <w:color w:val="auto"/>
          <w:sz w:val="24"/>
          <w:szCs w:val="24"/>
        </w:rPr>
        <w:t>承诺责任。</w:t>
      </w:r>
    </w:p>
    <w:p>
      <w:pPr>
        <w:tabs>
          <w:tab w:val="left" w:pos="9365"/>
        </w:tabs>
        <w:spacing w:beforeLines="50" w:line="240" w:lineRule="auto"/>
        <w:ind w:right="85" w:firstLine="480"/>
        <w:jc w:val="left"/>
        <w:textAlignment w:val="top"/>
        <w:rPr>
          <w:rFonts w:ascii="宋体"/>
          <w:color w:val="auto"/>
          <w:sz w:val="24"/>
          <w:szCs w:val="24"/>
        </w:rPr>
      </w:pPr>
      <w:r>
        <w:rPr>
          <w:rFonts w:hint="eastAsia" w:ascii="宋体"/>
          <w:color w:val="auto"/>
          <w:sz w:val="24"/>
          <w:szCs w:val="24"/>
        </w:rPr>
        <w:t>五</w:t>
      </w:r>
      <w:r>
        <w:rPr>
          <w:rFonts w:ascii="宋体"/>
          <w:color w:val="auto"/>
          <w:sz w:val="24"/>
          <w:szCs w:val="24"/>
        </w:rPr>
        <w:t>、</w:t>
      </w:r>
      <w:r>
        <w:rPr>
          <w:rFonts w:hint="eastAsia" w:ascii="宋体"/>
          <w:color w:val="auto"/>
          <w:sz w:val="24"/>
          <w:szCs w:val="24"/>
        </w:rPr>
        <w:t>我公司</w:t>
      </w:r>
      <w:r>
        <w:rPr>
          <w:rFonts w:ascii="宋体"/>
          <w:color w:val="auto"/>
          <w:sz w:val="24"/>
          <w:szCs w:val="24"/>
        </w:rPr>
        <w:t>在</w:t>
      </w:r>
      <w:r>
        <w:rPr>
          <w:rFonts w:hint="eastAsia" w:ascii="宋体"/>
          <w:color w:val="auto"/>
          <w:sz w:val="24"/>
          <w:szCs w:val="24"/>
        </w:rPr>
        <w:t>没</w:t>
      </w:r>
      <w:r>
        <w:rPr>
          <w:rFonts w:ascii="宋体"/>
          <w:color w:val="auto"/>
          <w:sz w:val="24"/>
          <w:szCs w:val="24"/>
        </w:rPr>
        <w:t>有有效的证明材</w:t>
      </w:r>
      <w:r>
        <w:rPr>
          <w:rFonts w:hint="eastAsia" w:ascii="宋体"/>
          <w:color w:val="auto"/>
          <w:sz w:val="24"/>
          <w:szCs w:val="24"/>
        </w:rPr>
        <w:t>料，以</w:t>
      </w:r>
      <w:r>
        <w:rPr>
          <w:rFonts w:ascii="宋体"/>
          <w:color w:val="auto"/>
          <w:sz w:val="24"/>
          <w:szCs w:val="24"/>
        </w:rPr>
        <w:t>证明其他投标人不符合</w:t>
      </w:r>
      <w:r>
        <w:rPr>
          <w:rFonts w:hint="eastAsia" w:ascii="宋体"/>
          <w:color w:val="auto"/>
          <w:sz w:val="24"/>
          <w:szCs w:val="24"/>
        </w:rPr>
        <w:t>《招标</w:t>
      </w:r>
      <w:r>
        <w:rPr>
          <w:rFonts w:ascii="宋体"/>
          <w:color w:val="auto"/>
          <w:sz w:val="24"/>
          <w:szCs w:val="24"/>
        </w:rPr>
        <w:t>文件</w:t>
      </w:r>
      <w:r>
        <w:rPr>
          <w:rFonts w:hint="eastAsia" w:ascii="宋体"/>
          <w:color w:val="auto"/>
          <w:sz w:val="24"/>
          <w:szCs w:val="24"/>
        </w:rPr>
        <w:t>》“</w:t>
      </w:r>
      <w:r>
        <w:rPr>
          <w:rFonts w:hint="eastAsia" w:ascii="宋体" w:hAnsi="宋体"/>
          <w:color w:val="auto"/>
          <w:sz w:val="24"/>
          <w:szCs w:val="24"/>
        </w:rPr>
        <w:t>《政府采购法》第二十二条第一款规定的供</w:t>
      </w:r>
      <w:r>
        <w:rPr>
          <w:rFonts w:ascii="宋体" w:hAnsi="宋体"/>
          <w:color w:val="auto"/>
          <w:sz w:val="24"/>
          <w:szCs w:val="24"/>
        </w:rPr>
        <w:t>应商基础性资</w:t>
      </w:r>
      <w:r>
        <w:rPr>
          <w:rFonts w:hint="eastAsia" w:ascii="宋体" w:hAnsi="宋体"/>
          <w:color w:val="auto"/>
          <w:sz w:val="24"/>
          <w:szCs w:val="24"/>
        </w:rPr>
        <w:t>格</w:t>
      </w:r>
      <w:r>
        <w:rPr>
          <w:rFonts w:ascii="宋体" w:hAnsi="宋体"/>
          <w:color w:val="auto"/>
          <w:sz w:val="24"/>
          <w:szCs w:val="24"/>
        </w:rPr>
        <w:t>的</w:t>
      </w:r>
      <w:r>
        <w:rPr>
          <w:rFonts w:hint="eastAsia" w:ascii="宋体" w:hAnsi="宋体"/>
          <w:color w:val="auto"/>
          <w:sz w:val="24"/>
          <w:szCs w:val="24"/>
        </w:rPr>
        <w:t>承诺认定标准</w:t>
      </w:r>
      <w:r>
        <w:rPr>
          <w:rFonts w:hint="eastAsia" w:ascii="宋体"/>
          <w:color w:val="auto"/>
          <w:sz w:val="24"/>
          <w:szCs w:val="24"/>
        </w:rPr>
        <w:t>”时，我公司承诺不</w:t>
      </w:r>
      <w:r>
        <w:rPr>
          <w:rFonts w:ascii="宋体"/>
          <w:color w:val="auto"/>
          <w:sz w:val="24"/>
          <w:szCs w:val="24"/>
        </w:rPr>
        <w:t>对其他投标人</w:t>
      </w:r>
      <w:r>
        <w:rPr>
          <w:rFonts w:hint="eastAsia" w:ascii="宋体"/>
          <w:color w:val="auto"/>
          <w:sz w:val="24"/>
          <w:szCs w:val="24"/>
        </w:rPr>
        <w:t>的承诺函提</w:t>
      </w:r>
      <w:r>
        <w:rPr>
          <w:rFonts w:ascii="宋体"/>
          <w:color w:val="auto"/>
          <w:sz w:val="24"/>
          <w:szCs w:val="24"/>
        </w:rPr>
        <w:t>起质疑投诉，</w:t>
      </w:r>
      <w:r>
        <w:rPr>
          <w:rFonts w:hint="eastAsia" w:ascii="宋体"/>
          <w:color w:val="auto"/>
          <w:sz w:val="24"/>
          <w:szCs w:val="24"/>
        </w:rPr>
        <w:t>同</w:t>
      </w:r>
      <w:r>
        <w:rPr>
          <w:rFonts w:ascii="宋体"/>
          <w:color w:val="auto"/>
          <w:sz w:val="24"/>
          <w:szCs w:val="24"/>
        </w:rPr>
        <w:t>意对已</w:t>
      </w:r>
      <w:r>
        <w:rPr>
          <w:rFonts w:hint="eastAsia" w:ascii="宋体"/>
          <w:color w:val="auto"/>
          <w:sz w:val="24"/>
          <w:szCs w:val="24"/>
        </w:rPr>
        <w:t>提</w:t>
      </w:r>
      <w:r>
        <w:rPr>
          <w:rFonts w:ascii="宋体"/>
          <w:color w:val="auto"/>
          <w:sz w:val="24"/>
          <w:szCs w:val="24"/>
        </w:rPr>
        <w:t>起</w:t>
      </w:r>
      <w:r>
        <w:rPr>
          <w:rFonts w:hint="eastAsia" w:ascii="宋体"/>
          <w:color w:val="auto"/>
          <w:sz w:val="24"/>
          <w:szCs w:val="24"/>
        </w:rPr>
        <w:t>的</w:t>
      </w:r>
      <w:r>
        <w:rPr>
          <w:rFonts w:ascii="宋体"/>
          <w:color w:val="auto"/>
          <w:sz w:val="24"/>
          <w:szCs w:val="24"/>
        </w:rPr>
        <w:t>质疑投诉</w:t>
      </w:r>
      <w:r>
        <w:rPr>
          <w:rFonts w:hint="eastAsia" w:ascii="宋体"/>
          <w:color w:val="auto"/>
          <w:sz w:val="24"/>
          <w:szCs w:val="24"/>
        </w:rPr>
        <w:t>按缺</w:t>
      </w:r>
      <w:r>
        <w:rPr>
          <w:rFonts w:ascii="宋体"/>
          <w:color w:val="auto"/>
          <w:sz w:val="24"/>
          <w:szCs w:val="24"/>
        </w:rPr>
        <w:t>乏</w:t>
      </w:r>
      <w:r>
        <w:rPr>
          <w:rFonts w:hint="eastAsia" w:ascii="宋体" w:hAnsi="宋体"/>
          <w:color w:val="auto"/>
          <w:sz w:val="24"/>
          <w:szCs w:val="24"/>
        </w:rPr>
        <w:t>事实依据、</w:t>
      </w:r>
      <w:r>
        <w:rPr>
          <w:rFonts w:hint="eastAsia" w:ascii="宋体"/>
          <w:color w:val="auto"/>
          <w:sz w:val="24"/>
          <w:szCs w:val="24"/>
        </w:rPr>
        <w:t>按</w:t>
      </w:r>
      <w:r>
        <w:rPr>
          <w:rFonts w:ascii="宋体"/>
          <w:color w:val="auto"/>
          <w:sz w:val="24"/>
          <w:szCs w:val="24"/>
        </w:rPr>
        <w:t>无</w:t>
      </w:r>
      <w:r>
        <w:rPr>
          <w:rFonts w:hint="eastAsia" w:ascii="宋体"/>
          <w:color w:val="auto"/>
          <w:sz w:val="24"/>
          <w:szCs w:val="24"/>
        </w:rPr>
        <w:t>效</w:t>
      </w:r>
      <w:r>
        <w:rPr>
          <w:rFonts w:ascii="宋体"/>
          <w:color w:val="auto"/>
          <w:sz w:val="24"/>
          <w:szCs w:val="24"/>
        </w:rPr>
        <w:t>质疑投诉</w:t>
      </w:r>
      <w:r>
        <w:rPr>
          <w:rFonts w:hint="eastAsia" w:ascii="宋体"/>
          <w:color w:val="auto"/>
          <w:sz w:val="24"/>
          <w:szCs w:val="24"/>
        </w:rPr>
        <w:t>处</w:t>
      </w:r>
      <w:r>
        <w:rPr>
          <w:rFonts w:ascii="宋体"/>
          <w:color w:val="auto"/>
          <w:sz w:val="24"/>
          <w:szCs w:val="24"/>
        </w:rPr>
        <w:t>理。</w:t>
      </w:r>
    </w:p>
    <w:p>
      <w:pPr>
        <w:widowControl w:val="0"/>
        <w:tabs>
          <w:tab w:val="left" w:pos="9365"/>
        </w:tabs>
        <w:snapToGrid w:val="0"/>
        <w:spacing w:after="56" w:line="560" w:lineRule="exact"/>
        <w:ind w:right="85"/>
        <w:jc w:val="center"/>
        <w:textAlignment w:val="top"/>
        <w:rPr>
          <w:rFonts w:ascii="宋体"/>
          <w:color w:val="auto"/>
          <w:sz w:val="24"/>
          <w:szCs w:val="24"/>
        </w:rPr>
      </w:pPr>
    </w:p>
    <w:p>
      <w:pPr>
        <w:widowControl w:val="0"/>
        <w:snapToGrid w:val="0"/>
        <w:spacing w:line="360" w:lineRule="auto"/>
        <w:textAlignment w:val="top"/>
        <w:rPr>
          <w:color w:val="auto"/>
          <w:sz w:val="24"/>
          <w:szCs w:val="24"/>
        </w:rPr>
      </w:pPr>
      <w:r>
        <w:rPr>
          <w:rFonts w:hint="eastAsia"/>
          <w:color w:val="auto"/>
          <w:sz w:val="24"/>
          <w:szCs w:val="24"/>
        </w:rPr>
        <w:t>投标人（电子签章）：</w:t>
      </w:r>
    </w:p>
    <w:p>
      <w:pPr>
        <w:widowControl w:val="0"/>
        <w:snapToGrid w:val="0"/>
        <w:spacing w:line="360" w:lineRule="auto"/>
        <w:textAlignment w:val="top"/>
        <w:rPr>
          <w:color w:val="auto"/>
          <w:sz w:val="24"/>
          <w:szCs w:val="24"/>
        </w:rPr>
      </w:pPr>
      <w:r>
        <w:rPr>
          <w:rFonts w:hint="eastAsia"/>
          <w:color w:val="auto"/>
          <w:sz w:val="24"/>
          <w:szCs w:val="24"/>
        </w:rPr>
        <w:t>法定代表人（电子签名）：</w:t>
      </w:r>
    </w:p>
    <w:p>
      <w:pPr>
        <w:widowControl w:val="0"/>
        <w:snapToGrid w:val="0"/>
        <w:spacing w:line="360" w:lineRule="auto"/>
        <w:textAlignment w:val="top"/>
        <w:rPr>
          <w:color w:val="auto"/>
          <w:sz w:val="24"/>
          <w:szCs w:val="24"/>
        </w:rPr>
      </w:pPr>
      <w:r>
        <w:rPr>
          <w:rFonts w:hint="eastAsia"/>
          <w:color w:val="auto"/>
          <w:sz w:val="24"/>
          <w:szCs w:val="24"/>
        </w:rPr>
        <w:t>日期：</w:t>
      </w:r>
      <w:r>
        <w:rPr>
          <w:color w:val="auto"/>
          <w:sz w:val="24"/>
          <w:szCs w:val="24"/>
        </w:rPr>
        <w:t xml:space="preserve">  </w:t>
      </w:r>
      <w:r>
        <w:rPr>
          <w:rFonts w:hint="eastAsia"/>
          <w:color w:val="auto"/>
          <w:sz w:val="24"/>
          <w:szCs w:val="24"/>
        </w:rPr>
        <w:t>年</w:t>
      </w:r>
      <w:r>
        <w:rPr>
          <w:color w:val="auto"/>
          <w:sz w:val="24"/>
          <w:szCs w:val="24"/>
        </w:rPr>
        <w:t xml:space="preserve">   </w:t>
      </w:r>
      <w:r>
        <w:rPr>
          <w:rFonts w:hint="eastAsia"/>
          <w:color w:val="auto"/>
          <w:sz w:val="24"/>
          <w:szCs w:val="24"/>
        </w:rPr>
        <w:t>月</w:t>
      </w:r>
      <w:r>
        <w:rPr>
          <w:color w:val="auto"/>
          <w:sz w:val="24"/>
          <w:szCs w:val="24"/>
        </w:rPr>
        <w:t xml:space="preserve">   </w:t>
      </w:r>
      <w:r>
        <w:rPr>
          <w:rFonts w:hint="eastAsia"/>
          <w:color w:val="auto"/>
          <w:sz w:val="24"/>
          <w:szCs w:val="24"/>
        </w:rPr>
        <w:t>日</w:t>
      </w:r>
    </w:p>
    <w:p>
      <w:pPr>
        <w:tabs>
          <w:tab w:val="left" w:pos="540"/>
        </w:tabs>
        <w:spacing w:line="440" w:lineRule="exact"/>
        <w:rPr>
          <w:rFonts w:ascii="宋体" w:hAnsi="宋体"/>
          <w:color w:val="auto"/>
          <w:sz w:val="24"/>
          <w:szCs w:val="24"/>
        </w:rPr>
      </w:pPr>
    </w:p>
    <w:p>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p>
    <w:p>
      <w:pPr>
        <w:widowControl w:val="0"/>
        <w:tabs>
          <w:tab w:val="left" w:pos="9365"/>
        </w:tabs>
        <w:snapToGrid w:val="0"/>
        <w:spacing w:after="56" w:line="560" w:lineRule="exact"/>
        <w:ind w:right="85"/>
        <w:jc w:val="center"/>
        <w:textAlignment w:val="top"/>
        <w:rPr>
          <w:rFonts w:ascii="宋体"/>
          <w:color w:val="auto"/>
          <w:sz w:val="24"/>
        </w:rPr>
      </w:pPr>
      <w:r>
        <w:rPr>
          <w:rFonts w:hint="eastAsia" w:ascii="黑体" w:hAnsi="黑体" w:eastAsia="黑体"/>
          <w:b/>
          <w:color w:val="auto"/>
          <w:sz w:val="30"/>
          <w:szCs w:val="30"/>
        </w:rPr>
        <w:t>《政府采购法》第二十二条第一款规定的供</w:t>
      </w:r>
      <w:r>
        <w:rPr>
          <w:rFonts w:ascii="黑体" w:hAnsi="黑体" w:eastAsia="黑体"/>
          <w:b/>
          <w:color w:val="auto"/>
          <w:sz w:val="30"/>
          <w:szCs w:val="30"/>
        </w:rPr>
        <w:t>应商基础性资</w:t>
      </w:r>
      <w:r>
        <w:rPr>
          <w:rFonts w:hint="eastAsia" w:ascii="黑体" w:hAnsi="黑体" w:eastAsia="黑体"/>
          <w:b/>
          <w:color w:val="auto"/>
          <w:sz w:val="30"/>
          <w:szCs w:val="30"/>
        </w:rPr>
        <w:t>格</w:t>
      </w:r>
      <w:r>
        <w:rPr>
          <w:rFonts w:ascii="黑体" w:hAnsi="黑体" w:eastAsia="黑体"/>
          <w:b/>
          <w:color w:val="auto"/>
          <w:sz w:val="30"/>
          <w:szCs w:val="30"/>
        </w:rPr>
        <w:t>的</w:t>
      </w:r>
    </w:p>
    <w:p>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r>
        <w:rPr>
          <w:rFonts w:hint="eastAsia" w:ascii="黑体" w:hAnsi="黑体" w:eastAsia="黑体"/>
          <w:b/>
          <w:color w:val="auto"/>
          <w:sz w:val="30"/>
          <w:szCs w:val="30"/>
        </w:rPr>
        <w:t>承诺事</w:t>
      </w:r>
      <w:r>
        <w:rPr>
          <w:rFonts w:ascii="黑体" w:hAnsi="黑体" w:eastAsia="黑体"/>
          <w:b/>
          <w:color w:val="auto"/>
          <w:sz w:val="30"/>
          <w:szCs w:val="30"/>
        </w:rPr>
        <w:t>项的</w:t>
      </w:r>
      <w:r>
        <w:rPr>
          <w:rFonts w:hint="eastAsia" w:ascii="黑体" w:hAnsi="黑体" w:eastAsia="黑体"/>
          <w:b/>
          <w:color w:val="auto"/>
          <w:sz w:val="30"/>
          <w:szCs w:val="30"/>
        </w:rPr>
        <w:t>认定标准</w:t>
      </w:r>
    </w:p>
    <w:p>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p>
    <w:p>
      <w:pPr>
        <w:widowControl w:val="0"/>
        <w:adjustRightInd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政府采购监督检查、质疑投诉及政府采购行政处罚等</w:t>
      </w:r>
      <w:r>
        <w:rPr>
          <w:rFonts w:ascii="宋体" w:hAnsi="宋体"/>
          <w:color w:val="auto"/>
          <w:sz w:val="24"/>
          <w:szCs w:val="24"/>
        </w:rPr>
        <w:t>情形</w:t>
      </w:r>
      <w:r>
        <w:rPr>
          <w:rFonts w:hint="eastAsia" w:ascii="宋体" w:hAnsi="宋体"/>
          <w:color w:val="auto"/>
          <w:sz w:val="24"/>
          <w:szCs w:val="24"/>
        </w:rPr>
        <w:t>中，需要对资格承诺的真实性的进</w:t>
      </w:r>
      <w:r>
        <w:rPr>
          <w:rFonts w:ascii="宋体" w:hAnsi="宋体"/>
          <w:color w:val="auto"/>
          <w:sz w:val="24"/>
          <w:szCs w:val="24"/>
        </w:rPr>
        <w:t>行</w:t>
      </w:r>
      <w:r>
        <w:rPr>
          <w:rFonts w:hint="eastAsia" w:ascii="宋体" w:hAnsi="宋体"/>
          <w:color w:val="auto"/>
          <w:sz w:val="24"/>
          <w:szCs w:val="24"/>
        </w:rPr>
        <w:t>认定时，相</w:t>
      </w:r>
      <w:r>
        <w:rPr>
          <w:rFonts w:ascii="宋体" w:hAnsi="宋体"/>
          <w:color w:val="auto"/>
          <w:sz w:val="24"/>
          <w:szCs w:val="24"/>
        </w:rPr>
        <w:t>关</w:t>
      </w:r>
      <w:r>
        <w:rPr>
          <w:rFonts w:hint="eastAsia" w:ascii="宋体" w:hAnsi="宋体"/>
          <w:color w:val="auto"/>
          <w:sz w:val="24"/>
          <w:szCs w:val="24"/>
        </w:rPr>
        <w:t>供应商应提供如下关</w:t>
      </w:r>
      <w:r>
        <w:rPr>
          <w:rFonts w:ascii="宋体" w:hAnsi="宋体"/>
          <w:color w:val="auto"/>
          <w:sz w:val="24"/>
          <w:szCs w:val="24"/>
        </w:rPr>
        <w:t>于基础</w:t>
      </w:r>
      <w:r>
        <w:rPr>
          <w:rFonts w:hint="eastAsia" w:ascii="宋体" w:hAnsi="宋体"/>
          <w:color w:val="auto"/>
          <w:sz w:val="24"/>
          <w:szCs w:val="24"/>
        </w:rPr>
        <w:t>性资格的证明材料：</w:t>
      </w:r>
    </w:p>
    <w:p>
      <w:pPr>
        <w:widowControl w:val="0"/>
        <w:snapToGrid w:val="0"/>
        <w:spacing w:line="360" w:lineRule="auto"/>
        <w:ind w:firstLine="540" w:firstLineChars="225"/>
        <w:rPr>
          <w:rFonts w:ascii="宋体"/>
          <w:color w:val="auto"/>
          <w:szCs w:val="21"/>
        </w:rPr>
      </w:pPr>
      <w:r>
        <w:rPr>
          <w:rFonts w:hint="eastAsia" w:ascii="宋体" w:hAnsi="宋体"/>
          <w:color w:val="auto"/>
          <w:sz w:val="24"/>
          <w:szCs w:val="24"/>
        </w:rPr>
        <w:t>（一）具有独立承担民事责任的能力。■提供营业执照或事业单位法人证书，■提供税务登记证（三证合一的只需提供三证合一的营业执照）</w:t>
      </w:r>
      <w:r>
        <w:rPr>
          <w:rFonts w:hint="eastAsia" w:ascii="微软雅黑" w:hAnsi="微软雅黑" w:eastAsia="微软雅黑"/>
          <w:color w:val="auto"/>
          <w:szCs w:val="21"/>
          <w:shd w:val="clear" w:color="auto" w:fill="FFFFFF"/>
        </w:rPr>
        <w:t>。</w:t>
      </w:r>
    </w:p>
    <w:p>
      <w:pPr>
        <w:widowControl w:val="0"/>
        <w:snapToGrid w:val="0"/>
        <w:spacing w:line="360" w:lineRule="auto"/>
        <w:ind w:firstLine="540" w:firstLineChars="225"/>
        <w:rPr>
          <w:rFonts w:ascii="宋体"/>
          <w:color w:val="auto"/>
          <w:sz w:val="24"/>
          <w:szCs w:val="24"/>
        </w:rPr>
      </w:pPr>
      <w:r>
        <w:rPr>
          <w:rFonts w:hint="eastAsia" w:ascii="宋体" w:hAnsi="宋体"/>
          <w:color w:val="auto"/>
          <w:sz w:val="24"/>
          <w:szCs w:val="24"/>
        </w:rPr>
        <w:t>（二）具有良好的商业信誉和健全的财务会计制度。■提供银行出具的近</w:t>
      </w:r>
      <w:r>
        <w:rPr>
          <w:rFonts w:ascii="宋体" w:hAnsi="宋体"/>
          <w:color w:val="auto"/>
          <w:sz w:val="24"/>
          <w:szCs w:val="24"/>
        </w:rPr>
        <w:t>1</w:t>
      </w:r>
      <w:r>
        <w:rPr>
          <w:rFonts w:hint="eastAsia" w:ascii="宋体" w:hAnsi="宋体"/>
          <w:color w:val="auto"/>
          <w:sz w:val="24"/>
          <w:szCs w:val="24"/>
        </w:rPr>
        <w:t>年内资信证明（法人为基本开户行）、或上一年度经审计的财务报告、或银行（保险公司）出具的投标担保函。</w:t>
      </w:r>
    </w:p>
    <w:p>
      <w:pPr>
        <w:widowControl w:val="0"/>
        <w:snapToGrid w:val="0"/>
        <w:spacing w:line="360" w:lineRule="auto"/>
        <w:ind w:firstLine="540" w:firstLineChars="225"/>
        <w:rPr>
          <w:rFonts w:ascii="宋体"/>
          <w:color w:val="auto"/>
          <w:sz w:val="24"/>
          <w:szCs w:val="24"/>
        </w:rPr>
      </w:pPr>
      <w:r>
        <w:rPr>
          <w:rFonts w:hint="eastAsia" w:ascii="宋体" w:hAnsi="宋体"/>
          <w:color w:val="auto"/>
          <w:sz w:val="24"/>
          <w:szCs w:val="24"/>
        </w:rPr>
        <w:t>（三）具备履行合同所必需的设备和专业技术能力。■提供相关设备或设施的购置发票或单据（任一），■专业人员用工合同（任一人），或技术人员的职称证书或职业（执业）资格证或等级证书等相关证书（任一人）等的证明材料。</w:t>
      </w:r>
    </w:p>
    <w:p>
      <w:pPr>
        <w:widowControl w:val="0"/>
        <w:snapToGrid w:val="0"/>
        <w:spacing w:line="360" w:lineRule="auto"/>
        <w:ind w:firstLine="540" w:firstLineChars="225"/>
        <w:rPr>
          <w:rFonts w:ascii="宋体"/>
          <w:color w:val="auto"/>
          <w:sz w:val="24"/>
          <w:szCs w:val="24"/>
        </w:rPr>
      </w:pPr>
      <w:r>
        <w:rPr>
          <w:rFonts w:hint="eastAsia" w:ascii="宋体" w:hAnsi="宋体"/>
          <w:color w:val="auto"/>
          <w:sz w:val="24"/>
          <w:szCs w:val="24"/>
        </w:rPr>
        <w:t>（四）有依法缴纳税收和社会保障资金的良好记录。■提供近</w:t>
      </w:r>
      <w:r>
        <w:rPr>
          <w:rFonts w:ascii="宋体" w:hAnsi="宋体"/>
          <w:color w:val="auto"/>
          <w:sz w:val="24"/>
          <w:szCs w:val="24"/>
        </w:rPr>
        <w:t>12</w:t>
      </w:r>
      <w:r>
        <w:rPr>
          <w:rFonts w:hint="eastAsia" w:ascii="宋体" w:hAnsi="宋体"/>
          <w:color w:val="auto"/>
          <w:sz w:val="24"/>
          <w:szCs w:val="24"/>
        </w:rPr>
        <w:t>个月内（任意</w:t>
      </w:r>
      <w:r>
        <w:rPr>
          <w:rFonts w:ascii="宋体" w:hAnsi="宋体"/>
          <w:color w:val="auto"/>
          <w:sz w:val="24"/>
          <w:szCs w:val="24"/>
        </w:rPr>
        <w:t>1</w:t>
      </w:r>
      <w:r>
        <w:rPr>
          <w:rFonts w:hint="eastAsia" w:ascii="宋体" w:hAnsi="宋体"/>
          <w:color w:val="auto"/>
          <w:sz w:val="24"/>
          <w:szCs w:val="24"/>
        </w:rPr>
        <w:t>个月）已依法缴纳税收的凭据；■提供近</w:t>
      </w:r>
      <w:r>
        <w:rPr>
          <w:rFonts w:ascii="宋体" w:hAnsi="宋体"/>
          <w:color w:val="auto"/>
          <w:sz w:val="24"/>
          <w:szCs w:val="24"/>
        </w:rPr>
        <w:t>12</w:t>
      </w:r>
      <w:r>
        <w:rPr>
          <w:rFonts w:hint="eastAsia" w:ascii="宋体" w:hAnsi="宋体"/>
          <w:color w:val="auto"/>
          <w:sz w:val="24"/>
          <w:szCs w:val="24"/>
        </w:rPr>
        <w:t>个月内（任意</w:t>
      </w:r>
      <w:r>
        <w:rPr>
          <w:rFonts w:ascii="宋体" w:hAnsi="宋体"/>
          <w:color w:val="auto"/>
          <w:sz w:val="24"/>
          <w:szCs w:val="24"/>
        </w:rPr>
        <w:t>1</w:t>
      </w:r>
      <w:r>
        <w:rPr>
          <w:rFonts w:hint="eastAsia" w:ascii="宋体" w:hAnsi="宋体"/>
          <w:color w:val="auto"/>
          <w:sz w:val="24"/>
          <w:szCs w:val="24"/>
        </w:rPr>
        <w:t>个月）已依法缴纳社会保险的凭据。依法免税或不需要缴纳社会保障资金的供应商，应提供相应证明文件。</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（五）参加政府采购活动前</w:t>
      </w:r>
      <w:r>
        <w:rPr>
          <w:rFonts w:ascii="宋体" w:hAnsi="宋体"/>
          <w:color w:val="auto"/>
          <w:sz w:val="24"/>
          <w:szCs w:val="24"/>
        </w:rPr>
        <w:t>3</w:t>
      </w:r>
      <w:r>
        <w:rPr>
          <w:rFonts w:hint="eastAsia" w:ascii="宋体" w:hAnsi="宋体"/>
          <w:color w:val="auto"/>
          <w:sz w:val="24"/>
          <w:szCs w:val="24"/>
        </w:rPr>
        <w:t>年内在经营活动中没有重大违法记录。</w:t>
      </w:r>
    </w:p>
    <w:p>
      <w:pPr>
        <w:widowControl w:val="0"/>
        <w:snapToGrid w:val="0"/>
        <w:spacing w:line="360" w:lineRule="auto"/>
        <w:ind w:firstLine="540" w:firstLineChars="225"/>
        <w:rPr>
          <w:rFonts w:ascii="宋体" w:hAnsi="宋体"/>
          <w:color w:val="auto"/>
          <w:sz w:val="24"/>
          <w:szCs w:val="24"/>
        </w:rPr>
      </w:pP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供应商提供的证明材料不</w:t>
      </w:r>
      <w:r>
        <w:rPr>
          <w:rFonts w:ascii="宋体" w:hAnsi="宋体"/>
          <w:color w:val="auto"/>
          <w:sz w:val="24"/>
          <w:szCs w:val="24"/>
        </w:rPr>
        <w:t>符合上述认定标准的</w:t>
      </w:r>
      <w:r>
        <w:rPr>
          <w:rFonts w:hint="eastAsia" w:ascii="宋体" w:hAnsi="宋体"/>
          <w:color w:val="auto"/>
          <w:sz w:val="24"/>
          <w:szCs w:val="24"/>
        </w:rPr>
        <w:t>，评定该投标人不满足《政府采购法》投标人资格要求，为提供虚假承诺，投标、中标无效，并上报财政部门对其违规违法行为作进一步处理。</w:t>
      </w:r>
    </w:p>
    <w:p>
      <w:pPr>
        <w:tabs>
          <w:tab w:val="left" w:pos="540"/>
        </w:tabs>
        <w:spacing w:line="440" w:lineRule="exact"/>
        <w:rPr>
          <w:rFonts w:ascii="宋体"/>
          <w:color w:val="auto"/>
          <w:sz w:val="24"/>
          <w:szCs w:val="24"/>
        </w:rPr>
      </w:pPr>
      <w:r>
        <w:rPr>
          <w:rFonts w:hint="eastAsia" w:ascii="宋体"/>
          <w:color w:val="auto"/>
          <w:sz w:val="24"/>
          <w:szCs w:val="24"/>
        </w:rPr>
        <w:t xml:space="preserve">    </w:t>
      </w:r>
    </w:p>
    <w:p>
      <w:pPr>
        <w:tabs>
          <w:tab w:val="left" w:pos="540"/>
        </w:tabs>
        <w:spacing w:line="440" w:lineRule="exact"/>
        <w:rPr>
          <w:rFonts w:ascii="宋体"/>
          <w:color w:val="auto"/>
          <w:sz w:val="24"/>
          <w:szCs w:val="24"/>
        </w:rPr>
      </w:pPr>
    </w:p>
    <w:p>
      <w:pPr>
        <w:widowControl w:val="0"/>
        <w:snapToGrid w:val="0"/>
        <w:spacing w:line="360" w:lineRule="auto"/>
        <w:textAlignment w:val="top"/>
        <w:rPr>
          <w:color w:val="auto"/>
          <w:sz w:val="24"/>
          <w:szCs w:val="24"/>
        </w:rPr>
      </w:pPr>
      <w:r>
        <w:rPr>
          <w:rFonts w:hint="eastAsia"/>
          <w:color w:val="auto"/>
          <w:sz w:val="24"/>
          <w:szCs w:val="24"/>
        </w:rPr>
        <w:t>投标人（电子签章）：</w:t>
      </w:r>
    </w:p>
    <w:p>
      <w:pPr>
        <w:widowControl w:val="0"/>
        <w:snapToGrid w:val="0"/>
        <w:spacing w:line="360" w:lineRule="auto"/>
        <w:textAlignment w:val="top"/>
        <w:rPr>
          <w:color w:val="auto"/>
          <w:sz w:val="24"/>
          <w:szCs w:val="24"/>
        </w:rPr>
      </w:pPr>
      <w:r>
        <w:rPr>
          <w:rFonts w:hint="eastAsia"/>
          <w:color w:val="auto"/>
          <w:sz w:val="24"/>
          <w:szCs w:val="24"/>
        </w:rPr>
        <w:t>法定代表人（电子签名）：</w:t>
      </w:r>
    </w:p>
    <w:p>
      <w:pPr>
        <w:widowControl w:val="0"/>
        <w:snapToGrid w:val="0"/>
        <w:spacing w:line="360" w:lineRule="auto"/>
        <w:textAlignment w:val="top"/>
        <w:rPr>
          <w:color w:val="auto"/>
          <w:sz w:val="24"/>
          <w:szCs w:val="24"/>
        </w:rPr>
      </w:pPr>
      <w:r>
        <w:rPr>
          <w:rFonts w:hint="eastAsia"/>
          <w:color w:val="auto"/>
          <w:sz w:val="24"/>
          <w:szCs w:val="24"/>
        </w:rPr>
        <w:t>日期：</w:t>
      </w:r>
      <w:r>
        <w:rPr>
          <w:color w:val="auto"/>
          <w:sz w:val="24"/>
          <w:szCs w:val="24"/>
        </w:rPr>
        <w:t xml:space="preserve">  </w:t>
      </w:r>
      <w:r>
        <w:rPr>
          <w:rFonts w:hint="eastAsia"/>
          <w:color w:val="auto"/>
          <w:sz w:val="24"/>
          <w:szCs w:val="24"/>
        </w:rPr>
        <w:t>年</w:t>
      </w:r>
      <w:r>
        <w:rPr>
          <w:color w:val="auto"/>
          <w:sz w:val="24"/>
          <w:szCs w:val="24"/>
        </w:rPr>
        <w:t xml:space="preserve">   </w:t>
      </w:r>
      <w:r>
        <w:rPr>
          <w:rFonts w:hint="eastAsia"/>
          <w:color w:val="auto"/>
          <w:sz w:val="24"/>
          <w:szCs w:val="24"/>
        </w:rPr>
        <w:t>月</w:t>
      </w:r>
      <w:r>
        <w:rPr>
          <w:color w:val="auto"/>
          <w:sz w:val="24"/>
          <w:szCs w:val="24"/>
        </w:rPr>
        <w:t xml:space="preserve">   </w:t>
      </w:r>
      <w:r>
        <w:rPr>
          <w:rFonts w:hint="eastAsia"/>
          <w:color w:val="auto"/>
          <w:sz w:val="24"/>
          <w:szCs w:val="24"/>
        </w:rPr>
        <w:t>日</w:t>
      </w:r>
    </w:p>
    <w:p>
      <w:pPr>
        <w:tabs>
          <w:tab w:val="left" w:pos="540"/>
        </w:tabs>
        <w:spacing w:line="440" w:lineRule="exact"/>
        <w:rPr>
          <w:rFonts w:ascii="宋体" w:hAnsi="宋体"/>
          <w:color w:val="auto"/>
          <w:sz w:val="24"/>
          <w:szCs w:val="24"/>
        </w:rPr>
      </w:pPr>
      <w:r>
        <w:rPr>
          <w:rFonts w:ascii="宋体" w:hAnsi="宋体"/>
          <w:color w:val="auto"/>
          <w:sz w:val="24"/>
          <w:szCs w:val="24"/>
        </w:rPr>
        <w:br w:type="page"/>
      </w:r>
    </w:p>
    <w:p>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p>
    <w:p>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r>
        <w:rPr>
          <w:rFonts w:hint="eastAsia" w:ascii="黑体" w:hAnsi="黑体" w:eastAsia="黑体"/>
          <w:b/>
          <w:color w:val="auto"/>
          <w:sz w:val="30"/>
          <w:szCs w:val="30"/>
        </w:rPr>
        <w:t>1</w:t>
      </w:r>
      <w:r>
        <w:rPr>
          <w:rFonts w:ascii="黑体" w:hAnsi="黑体" w:eastAsia="黑体"/>
          <w:b/>
          <w:color w:val="auto"/>
          <w:sz w:val="30"/>
          <w:szCs w:val="30"/>
        </w:rPr>
        <w:t>5-</w:t>
      </w:r>
      <w:r>
        <w:rPr>
          <w:rFonts w:hint="eastAsia" w:ascii="黑体" w:hAnsi="黑体" w:eastAsia="黑体"/>
          <w:b/>
          <w:color w:val="auto"/>
          <w:sz w:val="30"/>
          <w:szCs w:val="30"/>
        </w:rPr>
        <w:t>2、供应商负责人控股、设计等相关承诺书</w:t>
      </w:r>
    </w:p>
    <w:p>
      <w:pPr>
        <w:tabs>
          <w:tab w:val="left" w:pos="9365"/>
        </w:tabs>
        <w:spacing w:before="360" w:after="360" w:line="586" w:lineRule="atLeast"/>
        <w:ind w:right="85"/>
        <w:jc w:val="left"/>
        <w:textAlignment w:val="top"/>
        <w:rPr>
          <w:rFonts w:ascii="宋体" w:hAnsi="宋体"/>
          <w:color w:val="auto"/>
          <w:sz w:val="24"/>
          <w:szCs w:val="24"/>
        </w:rPr>
      </w:pPr>
      <w:r>
        <w:rPr>
          <w:rFonts w:hint="eastAsia" w:ascii="宋体" w:hAnsi="宋体"/>
          <w:color w:val="auto"/>
          <w:sz w:val="24"/>
          <w:szCs w:val="24"/>
        </w:rPr>
        <w:t>致：</w:t>
      </w:r>
      <w:r>
        <w:rPr>
          <w:rFonts w:hint="eastAsia" w:ascii="宋体" w:hAnsi="宋体"/>
          <w:color w:val="auto"/>
          <w:sz w:val="24"/>
          <w:szCs w:val="24"/>
          <w:u w:val="single"/>
        </w:rPr>
        <w:t xml:space="preserve">    </w:t>
      </w:r>
      <w:r>
        <w:rPr>
          <w:rFonts w:hint="eastAsia" w:ascii="宋体" w:hAnsi="宋体"/>
          <w:color w:val="auto"/>
          <w:spacing w:val="11"/>
          <w:sz w:val="24"/>
          <w:szCs w:val="24"/>
          <w:u w:val="single"/>
        </w:rPr>
        <w:t xml:space="preserve">(采购人名称）    </w:t>
      </w:r>
    </w:p>
    <w:p>
      <w:pPr>
        <w:tabs>
          <w:tab w:val="left" w:pos="65"/>
        </w:tabs>
        <w:spacing w:line="740" w:lineRule="exact"/>
        <w:ind w:firstLine="480" w:firstLineChars="200"/>
        <w:rPr>
          <w:rFonts w:ascii="宋体" w:hAnsi="宋体"/>
          <w:color w:val="auto"/>
          <w:sz w:val="24"/>
          <w:szCs w:val="24"/>
        </w:rPr>
      </w:pPr>
      <w:r>
        <w:rPr>
          <w:rFonts w:hint="eastAsia" w:ascii="宋体" w:hAnsi="宋体"/>
          <w:color w:val="auto"/>
          <w:sz w:val="24"/>
          <w:szCs w:val="24"/>
        </w:rPr>
        <w:t>在项目编号为</w:t>
      </w:r>
      <w:r>
        <w:rPr>
          <w:rFonts w:hint="eastAsia" w:ascii="宋体" w:hAnsi="宋体"/>
          <w:color w:val="auto"/>
          <w:sz w:val="24"/>
          <w:szCs w:val="24"/>
          <w:u w:val="single"/>
        </w:rPr>
        <w:t xml:space="preserve">                  </w:t>
      </w:r>
      <w:r>
        <w:rPr>
          <w:rFonts w:hint="eastAsia" w:ascii="宋体" w:hAnsi="宋体"/>
          <w:color w:val="auto"/>
          <w:sz w:val="24"/>
          <w:szCs w:val="24"/>
        </w:rPr>
        <w:t xml:space="preserve"> 的</w:t>
      </w:r>
      <w:r>
        <w:rPr>
          <w:rFonts w:hint="eastAsia" w:ascii="宋体" w:hAnsi="宋体"/>
          <w:color w:val="auto"/>
          <w:sz w:val="24"/>
          <w:szCs w:val="24"/>
          <w:u w:val="single"/>
        </w:rPr>
        <w:t xml:space="preserve">    （项目名称）  </w:t>
      </w:r>
      <w:r>
        <w:rPr>
          <w:rFonts w:hint="eastAsia" w:ascii="宋体" w:hAnsi="宋体"/>
          <w:color w:val="auto"/>
          <w:sz w:val="24"/>
          <w:szCs w:val="24"/>
        </w:rPr>
        <w:t xml:space="preserve"> 招标活动中，我单位承诺满足以下要求：</w:t>
      </w:r>
    </w:p>
    <w:p>
      <w:pPr>
        <w:tabs>
          <w:tab w:val="left" w:pos="65"/>
        </w:tabs>
        <w:spacing w:line="740" w:lineRule="exact"/>
        <w:ind w:firstLine="480" w:firstLineChars="200"/>
        <w:rPr>
          <w:rFonts w:ascii="宋体" w:hAnsi="宋体"/>
          <w:color w:val="auto"/>
          <w:sz w:val="24"/>
          <w:szCs w:val="24"/>
        </w:rPr>
      </w:pPr>
      <w:r>
        <w:rPr>
          <w:rFonts w:hint="eastAsia" w:ascii="宋体" w:hAnsi="宋体"/>
          <w:color w:val="auto"/>
          <w:sz w:val="24"/>
          <w:szCs w:val="24"/>
        </w:rPr>
        <w:t>一、单位负责人为同一人或者存在直接控股、管理关系的不同供应商，不参加同一合同项下的政府采购活动。</w:t>
      </w:r>
    </w:p>
    <w:p>
      <w:pPr>
        <w:tabs>
          <w:tab w:val="left" w:pos="65"/>
        </w:tabs>
        <w:spacing w:line="740" w:lineRule="exact"/>
        <w:ind w:firstLine="480" w:firstLineChars="200"/>
        <w:rPr>
          <w:rFonts w:ascii="宋体" w:hAnsi="宋体"/>
          <w:color w:val="auto"/>
          <w:sz w:val="24"/>
          <w:szCs w:val="24"/>
        </w:rPr>
      </w:pPr>
      <w:r>
        <w:rPr>
          <w:rFonts w:hint="eastAsia" w:ascii="宋体" w:hAnsi="宋体"/>
          <w:color w:val="auto"/>
          <w:sz w:val="24"/>
          <w:szCs w:val="24"/>
        </w:rPr>
        <w:t>二、没有为本项目提供整体设计、规范编制或者项目管理、监理、检测等服务。</w:t>
      </w:r>
    </w:p>
    <w:p>
      <w:pPr>
        <w:tabs>
          <w:tab w:val="left" w:pos="9365"/>
        </w:tabs>
        <w:spacing w:before="57" w:after="57" w:line="586" w:lineRule="atLeast"/>
        <w:ind w:right="85" w:firstLine="480" w:firstLineChars="200"/>
        <w:jc w:val="left"/>
        <w:textAlignment w:val="top"/>
        <w:rPr>
          <w:rFonts w:ascii="宋体" w:hAnsi="宋体"/>
          <w:color w:val="auto"/>
          <w:sz w:val="24"/>
          <w:szCs w:val="24"/>
        </w:rPr>
      </w:pPr>
      <w:r>
        <w:rPr>
          <w:rFonts w:hint="eastAsia" w:ascii="宋体" w:hAnsi="宋体"/>
          <w:color w:val="auto"/>
          <w:sz w:val="24"/>
          <w:szCs w:val="24"/>
        </w:rPr>
        <w:t>三、若出现上述行为，我单位确</w:t>
      </w:r>
      <w:r>
        <w:rPr>
          <w:rFonts w:ascii="宋体" w:hAnsi="宋体"/>
          <w:color w:val="auto"/>
          <w:sz w:val="24"/>
          <w:szCs w:val="24"/>
        </w:rPr>
        <w:t>认投标无</w:t>
      </w:r>
      <w:r>
        <w:rPr>
          <w:rFonts w:hint="eastAsia" w:ascii="宋体" w:hAnsi="宋体"/>
          <w:color w:val="auto"/>
          <w:sz w:val="24"/>
          <w:szCs w:val="24"/>
        </w:rPr>
        <w:t>效、</w:t>
      </w:r>
      <w:r>
        <w:rPr>
          <w:rFonts w:ascii="宋体" w:hAnsi="宋体"/>
          <w:color w:val="auto"/>
          <w:sz w:val="24"/>
          <w:szCs w:val="24"/>
        </w:rPr>
        <w:t>承诺</w:t>
      </w:r>
      <w:r>
        <w:rPr>
          <w:rFonts w:hint="eastAsia" w:ascii="宋体" w:hAnsi="宋体"/>
          <w:color w:val="auto"/>
          <w:sz w:val="24"/>
          <w:szCs w:val="24"/>
        </w:rPr>
        <w:t>书</w:t>
      </w:r>
      <w:r>
        <w:rPr>
          <w:rFonts w:ascii="宋体" w:hAnsi="宋体"/>
          <w:color w:val="auto"/>
          <w:sz w:val="24"/>
          <w:szCs w:val="24"/>
        </w:rPr>
        <w:t>虚假</w:t>
      </w:r>
      <w:r>
        <w:rPr>
          <w:rFonts w:hint="eastAsia" w:ascii="宋体" w:hAnsi="宋体"/>
          <w:color w:val="auto"/>
          <w:sz w:val="24"/>
          <w:szCs w:val="24"/>
        </w:rPr>
        <w:t>，接受相关部门按照国家法律法规等有关规定对</w:t>
      </w:r>
      <w:r>
        <w:rPr>
          <w:rFonts w:ascii="宋体" w:hAnsi="宋体"/>
          <w:color w:val="auto"/>
          <w:sz w:val="24"/>
          <w:szCs w:val="24"/>
        </w:rPr>
        <w:t>我单位虚假承诺所</w:t>
      </w:r>
      <w:r>
        <w:rPr>
          <w:rFonts w:hint="eastAsia" w:ascii="宋体" w:hAnsi="宋体"/>
          <w:color w:val="auto"/>
          <w:sz w:val="24"/>
          <w:szCs w:val="24"/>
        </w:rPr>
        <w:t>给予的处理。</w:t>
      </w:r>
    </w:p>
    <w:p>
      <w:pPr>
        <w:tabs>
          <w:tab w:val="left" w:pos="9365"/>
        </w:tabs>
        <w:spacing w:before="57" w:after="57" w:line="586" w:lineRule="atLeast"/>
        <w:ind w:right="85"/>
        <w:jc w:val="left"/>
        <w:textAlignment w:val="top"/>
        <w:rPr>
          <w:rFonts w:ascii="宋体" w:hAnsi="宋体"/>
          <w:color w:val="auto"/>
          <w:sz w:val="24"/>
          <w:szCs w:val="24"/>
        </w:rPr>
      </w:pPr>
      <w:r>
        <w:rPr>
          <w:rFonts w:ascii="宋体" w:hAnsi="宋体"/>
          <w:color w:val="auto"/>
          <w:sz w:val="24"/>
          <w:szCs w:val="24"/>
        </w:rPr>
        <w:t> </w:t>
      </w:r>
    </w:p>
    <w:p>
      <w:pPr>
        <w:snapToGrid w:val="0"/>
        <w:spacing w:before="100" w:beforeAutospacing="1" w:after="100" w:afterAutospacing="1" w:line="700" w:lineRule="exact"/>
        <w:ind w:right="641"/>
        <w:rPr>
          <w:rFonts w:ascii="宋体" w:hAnsi="宋体"/>
          <w:color w:val="auto"/>
          <w:sz w:val="24"/>
          <w:szCs w:val="24"/>
        </w:rPr>
      </w:pPr>
      <w:r>
        <w:rPr>
          <w:rFonts w:hint="eastAsia" w:ascii="宋体" w:hAnsi="宋体"/>
          <w:color w:val="auto"/>
          <w:sz w:val="24"/>
          <w:szCs w:val="24"/>
        </w:rPr>
        <w:t>投标人（电子签章）：</w:t>
      </w:r>
    </w:p>
    <w:p>
      <w:pPr>
        <w:snapToGrid w:val="0"/>
        <w:spacing w:before="100" w:beforeAutospacing="1" w:after="100" w:afterAutospacing="1" w:line="700" w:lineRule="exact"/>
        <w:ind w:right="641"/>
        <w:rPr>
          <w:rFonts w:ascii="宋体" w:hAnsi="宋体"/>
          <w:color w:val="auto"/>
          <w:sz w:val="24"/>
          <w:szCs w:val="24"/>
        </w:rPr>
      </w:pPr>
      <w:r>
        <w:rPr>
          <w:rFonts w:hint="eastAsia" w:ascii="宋体" w:hAnsi="宋体"/>
          <w:color w:val="auto"/>
          <w:sz w:val="24"/>
          <w:szCs w:val="24"/>
        </w:rPr>
        <w:t>法定代表人（电子签名）：</w:t>
      </w:r>
    </w:p>
    <w:p>
      <w:pPr>
        <w:widowControl w:val="0"/>
        <w:tabs>
          <w:tab w:val="left" w:pos="9365"/>
        </w:tabs>
        <w:snapToGrid w:val="0"/>
        <w:spacing w:after="56" w:line="560" w:lineRule="exact"/>
        <w:ind w:right="85"/>
        <w:jc w:val="left"/>
        <w:textAlignment w:val="top"/>
        <w:rPr>
          <w:color w:val="auto"/>
          <w:sz w:val="24"/>
          <w:szCs w:val="24"/>
        </w:rPr>
      </w:pPr>
      <w:r>
        <w:rPr>
          <w:rFonts w:hint="eastAsia" w:ascii="宋体" w:hAnsi="宋体"/>
          <w:color w:val="auto"/>
          <w:sz w:val="24"/>
          <w:szCs w:val="24"/>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tabs>
          <w:tab w:val="left" w:pos="540"/>
        </w:tabs>
        <w:spacing w:line="440" w:lineRule="exact"/>
        <w:jc w:val="left"/>
        <w:rPr>
          <w:rFonts w:ascii="宋体" w:hAnsi="宋体"/>
          <w:b/>
          <w:color w:val="auto"/>
          <w:sz w:val="32"/>
          <w:szCs w:val="32"/>
        </w:rPr>
      </w:pPr>
      <w:r>
        <w:rPr>
          <w:rFonts w:ascii="宋体" w:hAnsi="宋体"/>
          <w:b/>
          <w:color w:val="auto"/>
          <w:sz w:val="32"/>
          <w:szCs w:val="32"/>
        </w:rPr>
        <w:br w:type="page"/>
      </w:r>
    </w:p>
    <w:p>
      <w:pPr>
        <w:snapToGrid w:val="0"/>
        <w:spacing w:line="560" w:lineRule="atLeast"/>
        <w:jc w:val="center"/>
        <w:rPr>
          <w:rFonts w:ascii="黑体" w:hAnsi="黑体" w:eastAsia="黑体"/>
          <w:b/>
          <w:color w:val="auto"/>
          <w:sz w:val="30"/>
          <w:szCs w:val="30"/>
        </w:rPr>
      </w:pPr>
    </w:p>
    <w:p>
      <w:pPr>
        <w:snapToGrid w:val="0"/>
        <w:spacing w:line="560" w:lineRule="atLeast"/>
        <w:jc w:val="center"/>
        <w:rPr>
          <w:rFonts w:ascii="黑体" w:hAnsi="黑体" w:eastAsia="黑体"/>
          <w:b/>
          <w:color w:val="auto"/>
          <w:sz w:val="30"/>
          <w:szCs w:val="30"/>
        </w:rPr>
      </w:pPr>
      <w:r>
        <w:rPr>
          <w:rFonts w:hint="eastAsia" w:ascii="黑体" w:hAnsi="黑体" w:eastAsia="黑体"/>
          <w:b/>
          <w:color w:val="auto"/>
          <w:sz w:val="30"/>
          <w:szCs w:val="30"/>
        </w:rPr>
        <w:t>15-3、投标承诺函</w:t>
      </w:r>
    </w:p>
    <w:p>
      <w:pPr>
        <w:widowControl w:val="0"/>
        <w:autoSpaceDE w:val="0"/>
        <w:autoSpaceDN w:val="0"/>
        <w:adjustRightInd w:val="0"/>
        <w:spacing w:line="240" w:lineRule="auto"/>
        <w:jc w:val="center"/>
        <w:textAlignment w:val="auto"/>
        <w:rPr>
          <w:rFonts w:ascii="黑体" w:hAnsi="黑体" w:eastAsia="黑体"/>
          <w:b/>
          <w:color w:val="auto"/>
          <w:sz w:val="30"/>
          <w:szCs w:val="30"/>
        </w:rPr>
      </w:pPr>
      <w:r>
        <w:rPr>
          <w:rFonts w:hint="eastAsia" w:ascii="黑体" w:hAnsi="黑体" w:eastAsia="黑体"/>
          <w:b/>
          <w:color w:val="auto"/>
          <w:sz w:val="30"/>
          <w:szCs w:val="30"/>
        </w:rPr>
        <w:t>（以投标承诺函形式，替代投标保证金的相关承诺事项）</w:t>
      </w:r>
    </w:p>
    <w:p>
      <w:pPr>
        <w:widowControl w:val="0"/>
        <w:tabs>
          <w:tab w:val="left" w:pos="9365"/>
        </w:tabs>
        <w:spacing w:before="360" w:after="360" w:line="360" w:lineRule="auto"/>
        <w:ind w:right="85"/>
        <w:jc w:val="left"/>
        <w:textAlignment w:val="top"/>
        <w:rPr>
          <w:rFonts w:ascii="宋体" w:hAnsi="宋体"/>
          <w:color w:val="auto"/>
          <w:sz w:val="24"/>
          <w:szCs w:val="24"/>
        </w:rPr>
      </w:pPr>
      <w:r>
        <w:rPr>
          <w:rFonts w:hint="eastAsia" w:ascii="宋体" w:hAnsi="宋体"/>
          <w:color w:val="auto"/>
          <w:sz w:val="24"/>
          <w:szCs w:val="24"/>
        </w:rPr>
        <w:t>致：</w:t>
      </w:r>
      <w:r>
        <w:rPr>
          <w:rFonts w:hint="eastAsia" w:ascii="宋体" w:hAnsi="宋体"/>
          <w:color w:val="auto"/>
          <w:sz w:val="24"/>
          <w:szCs w:val="24"/>
          <w:u w:val="single"/>
        </w:rPr>
        <w:t xml:space="preserve">    </w:t>
      </w:r>
      <w:r>
        <w:rPr>
          <w:rFonts w:hint="eastAsia" w:ascii="宋体" w:hAnsi="宋体"/>
          <w:color w:val="auto"/>
          <w:spacing w:val="11"/>
          <w:sz w:val="24"/>
          <w:szCs w:val="24"/>
          <w:u w:val="single"/>
        </w:rPr>
        <w:t>(采购人名称） 、</w:t>
      </w:r>
      <w:r>
        <w:rPr>
          <w:rFonts w:hint="eastAsia"/>
          <w:color w:val="auto"/>
          <w:sz w:val="24"/>
          <w:szCs w:val="24"/>
        </w:rPr>
        <w:t>安阳市方正招标采购服务有限责任公司</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在项目编号为</w:t>
      </w:r>
      <w:r>
        <w:rPr>
          <w:rFonts w:hint="eastAsia" w:ascii="宋体" w:hAnsi="宋体"/>
          <w:color w:val="auto"/>
          <w:sz w:val="24"/>
          <w:szCs w:val="24"/>
          <w:u w:val="single"/>
        </w:rPr>
        <w:t xml:space="preserve">                  </w:t>
      </w:r>
      <w:r>
        <w:rPr>
          <w:rFonts w:hint="eastAsia" w:ascii="宋体" w:hAnsi="宋体"/>
          <w:color w:val="auto"/>
          <w:sz w:val="24"/>
          <w:szCs w:val="24"/>
        </w:rPr>
        <w:t xml:space="preserve"> 的</w:t>
      </w:r>
      <w:r>
        <w:rPr>
          <w:rFonts w:hint="eastAsia" w:ascii="宋体" w:hAnsi="宋体"/>
          <w:color w:val="auto"/>
          <w:sz w:val="24"/>
          <w:szCs w:val="24"/>
          <w:u w:val="single"/>
        </w:rPr>
        <w:t xml:space="preserve">    （项目名称）  </w:t>
      </w:r>
      <w:r>
        <w:rPr>
          <w:rFonts w:hint="eastAsia" w:ascii="宋体" w:hAnsi="宋体"/>
          <w:color w:val="auto"/>
          <w:sz w:val="24"/>
          <w:szCs w:val="24"/>
        </w:rPr>
        <w:t xml:space="preserve"> 采购活动中，我</w:t>
      </w:r>
      <w:r>
        <w:rPr>
          <w:rFonts w:hint="eastAsia"/>
          <w:color w:val="auto"/>
          <w:sz w:val="24"/>
        </w:rPr>
        <w:t>单位</w:t>
      </w:r>
      <w:r>
        <w:rPr>
          <w:rFonts w:hint="eastAsia" w:ascii="宋体" w:hAnsi="宋体"/>
          <w:color w:val="auto"/>
          <w:sz w:val="24"/>
          <w:szCs w:val="24"/>
        </w:rPr>
        <w:t>承诺：</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一、遵循公开、公平、公正和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的原则自愿参加本项目投标；</w:t>
      </w:r>
      <w:r>
        <w:rPr>
          <w:rFonts w:hint="eastAsia" w:ascii="宋体" w:hAnsi="宋体"/>
          <w:color w:val="auto"/>
          <w:sz w:val="24"/>
          <w:szCs w:val="24"/>
        </w:rPr>
        <w:br w:type="textWrapping"/>
      </w:r>
      <w:r>
        <w:rPr>
          <w:rFonts w:hint="eastAsia" w:ascii="宋体" w:hAnsi="宋体"/>
          <w:color w:val="auto"/>
          <w:sz w:val="24"/>
          <w:szCs w:val="24"/>
        </w:rPr>
        <w:t xml:space="preserve">    二、在政府采购活动中提供真实、准确、有效、合法的材料，不</w:t>
      </w:r>
      <w:r>
        <w:rPr>
          <w:rFonts w:hint="eastAsia" w:ascii="宋体" w:hAnsi="宋体" w:cs="楷体_GB2312"/>
          <w:color w:val="auto"/>
          <w:sz w:val="24"/>
          <w:lang w:val="zh-CN"/>
        </w:rPr>
        <w:t>提供虚假材料；</w:t>
      </w:r>
    </w:p>
    <w:p>
      <w:pPr>
        <w:topLinePunct/>
        <w:adjustRightInd w:val="0"/>
        <w:snapToGrid w:val="0"/>
        <w:spacing w:beforeLines="50" w:line="300" w:lineRule="auto"/>
        <w:ind w:firstLine="480" w:firstLineChars="200"/>
        <w:rPr>
          <w:rFonts w:ascii="宋体" w:hAnsi="宋体" w:cs="楷体_GB2312"/>
          <w:color w:val="auto"/>
          <w:sz w:val="24"/>
          <w:lang w:val="zh-CN"/>
        </w:rPr>
      </w:pPr>
      <w:r>
        <w:rPr>
          <w:rFonts w:hint="eastAsia" w:ascii="宋体" w:hAnsi="宋体"/>
          <w:color w:val="auto"/>
          <w:sz w:val="24"/>
          <w:szCs w:val="24"/>
        </w:rPr>
        <w:t>三、</w:t>
      </w:r>
      <w:r>
        <w:rPr>
          <w:rFonts w:hint="eastAsia"/>
          <w:color w:val="auto"/>
          <w:sz w:val="24"/>
          <w:lang w:val="zh-CN"/>
        </w:rPr>
        <w:t>按照招标文件规定，</w:t>
      </w:r>
      <w:r>
        <w:rPr>
          <w:rFonts w:hint="eastAsia" w:ascii="宋体" w:hAnsi="宋体" w:cs="楷体_GB2312"/>
          <w:color w:val="auto"/>
          <w:sz w:val="24"/>
          <w:lang w:val="zh-CN"/>
        </w:rPr>
        <w:t>在提交投标文件截止时间后，在招标文件规定的投标有效期限内不撤回投标文件；</w:t>
      </w:r>
    </w:p>
    <w:p>
      <w:pPr>
        <w:topLinePunct/>
        <w:adjustRightInd w:val="0"/>
        <w:snapToGrid w:val="0"/>
        <w:spacing w:beforeLines="50" w:line="300" w:lineRule="auto"/>
        <w:ind w:firstLine="480" w:firstLineChars="200"/>
        <w:rPr>
          <w:rFonts w:ascii="宋体" w:cs="楷体_GB2312"/>
          <w:color w:val="auto"/>
          <w:sz w:val="24"/>
          <w:lang w:val="zh-CN"/>
        </w:rPr>
      </w:pPr>
      <w:r>
        <w:rPr>
          <w:rFonts w:hint="eastAsia"/>
          <w:color w:val="auto"/>
          <w:sz w:val="24"/>
        </w:rPr>
        <w:t>四、不</w:t>
      </w:r>
      <w:r>
        <w:rPr>
          <w:rFonts w:hint="eastAsia" w:ascii="宋体" w:hAnsi="宋体" w:cs="楷体_GB2312"/>
          <w:color w:val="auto"/>
          <w:sz w:val="24"/>
          <w:lang w:val="zh-CN"/>
        </w:rPr>
        <w:t>与其他投标人、采购人或采购代理机构串通或恶意串通。</w:t>
      </w:r>
    </w:p>
    <w:p>
      <w:pPr>
        <w:widowControl w:val="0"/>
        <w:tabs>
          <w:tab w:val="left" w:pos="65"/>
        </w:tabs>
        <w:spacing w:line="460" w:lineRule="atLeast"/>
        <w:ind w:firstLine="480" w:firstLineChars="200"/>
        <w:textAlignment w:val="auto"/>
        <w:rPr>
          <w:color w:val="auto"/>
          <w:sz w:val="24"/>
        </w:rPr>
      </w:pPr>
      <w:r>
        <w:rPr>
          <w:rFonts w:hint="eastAsia"/>
          <w:color w:val="auto"/>
          <w:sz w:val="24"/>
        </w:rPr>
        <w:t>五、如我单位中标，</w:t>
      </w:r>
      <w:r>
        <w:rPr>
          <w:rFonts w:hint="eastAsia" w:ascii="宋体" w:hAnsi="宋体" w:cs="楷体_GB2312"/>
          <w:color w:val="auto"/>
          <w:sz w:val="24"/>
          <w:lang w:val="zh-CN"/>
        </w:rPr>
        <w:t>除不可抗拒力或</w:t>
      </w:r>
      <w:r>
        <w:rPr>
          <w:rFonts w:hint="eastAsia" w:ascii="宋体" w:hAnsi="宋体" w:cs="楷体_GB2312"/>
          <w:color w:val="auto"/>
          <w:sz w:val="24"/>
        </w:rPr>
        <w:t>招标</w:t>
      </w:r>
      <w:r>
        <w:rPr>
          <w:rFonts w:hint="eastAsia" w:ascii="宋体" w:hAnsi="宋体" w:cs="楷体_GB2312"/>
          <w:color w:val="auto"/>
          <w:sz w:val="24"/>
          <w:lang w:val="zh-CN"/>
        </w:rPr>
        <w:t>文件认可的情形外</w:t>
      </w:r>
      <w:r>
        <w:rPr>
          <w:rFonts w:hint="eastAsia"/>
          <w:color w:val="auto"/>
          <w:sz w:val="24"/>
        </w:rPr>
        <w:t>，我单位</w:t>
      </w:r>
      <w:r>
        <w:rPr>
          <w:rFonts w:hint="eastAsia" w:ascii="宋体" w:hAnsi="宋体"/>
          <w:color w:val="auto"/>
          <w:sz w:val="24"/>
          <w:szCs w:val="24"/>
        </w:rPr>
        <w:t>承诺</w:t>
      </w:r>
      <w:r>
        <w:rPr>
          <w:rFonts w:hint="eastAsia"/>
          <w:color w:val="auto"/>
          <w:sz w:val="24"/>
        </w:rPr>
        <w:t>及时领取中标通知书，</w:t>
      </w:r>
      <w:r>
        <w:rPr>
          <w:rFonts w:hint="eastAsia" w:ascii="宋体" w:hAnsi="宋体" w:cs="楷体_GB2312"/>
          <w:color w:val="auto"/>
          <w:sz w:val="24"/>
          <w:lang w:val="zh-CN"/>
        </w:rPr>
        <w:t>在成交通知书规定时间、地点与采购人签订合同</w:t>
      </w:r>
      <w:r>
        <w:rPr>
          <w:rFonts w:hint="eastAsia"/>
          <w:color w:val="auto"/>
          <w:sz w:val="24"/>
          <w:lang w:val="zh-CN"/>
        </w:rPr>
        <w:t>；</w:t>
      </w:r>
      <w:r>
        <w:rPr>
          <w:rFonts w:hint="eastAsia"/>
          <w:color w:val="auto"/>
          <w:sz w:val="24"/>
        </w:rPr>
        <w:br w:type="textWrapping"/>
      </w:r>
      <w:r>
        <w:rPr>
          <w:rFonts w:hint="eastAsia"/>
          <w:color w:val="auto"/>
          <w:sz w:val="24"/>
        </w:rPr>
        <w:t xml:space="preserve">    六、</w:t>
      </w:r>
      <w:r>
        <w:rPr>
          <w:rFonts w:hint="eastAsia" w:ascii="宋体" w:hAnsi="宋体" w:cs="楷体_GB2312"/>
          <w:color w:val="auto"/>
          <w:sz w:val="24"/>
          <w:lang w:val="zh-CN"/>
        </w:rPr>
        <w:t>遵守法律法规及招标文件规定的其他情况；</w:t>
      </w:r>
    </w:p>
    <w:p>
      <w:pPr>
        <w:widowControl w:val="0"/>
        <w:tabs>
          <w:tab w:val="left" w:pos="65"/>
        </w:tabs>
        <w:spacing w:line="460" w:lineRule="atLeast"/>
        <w:ind w:firstLine="480" w:firstLineChars="200"/>
        <w:textAlignment w:val="auto"/>
        <w:rPr>
          <w:color w:val="auto"/>
          <w:sz w:val="24"/>
        </w:rPr>
      </w:pPr>
      <w:r>
        <w:rPr>
          <w:rFonts w:hint="eastAsia"/>
          <w:color w:val="auto"/>
          <w:sz w:val="24"/>
        </w:rPr>
        <w:t>七、按招标文件规定</w:t>
      </w:r>
      <w:r>
        <w:rPr>
          <w:rFonts w:hint="eastAsia" w:ascii="宋体" w:hAnsi="宋体"/>
          <w:color w:val="auto"/>
          <w:sz w:val="24"/>
          <w:szCs w:val="24"/>
        </w:rPr>
        <w:t>及时</w:t>
      </w:r>
      <w:r>
        <w:rPr>
          <w:rFonts w:hint="eastAsia"/>
          <w:color w:val="auto"/>
          <w:sz w:val="24"/>
        </w:rPr>
        <w:t>缴纳中标服务费。</w:t>
      </w:r>
    </w:p>
    <w:p>
      <w:pPr>
        <w:widowControl w:val="0"/>
        <w:tabs>
          <w:tab w:val="left" w:pos="65"/>
        </w:tabs>
        <w:spacing w:line="460" w:lineRule="atLeast"/>
        <w:ind w:firstLine="480" w:firstLineChars="200"/>
        <w:textAlignment w:val="auto"/>
        <w:rPr>
          <w:color w:val="auto"/>
          <w:sz w:val="24"/>
        </w:rPr>
      </w:pPr>
      <w:r>
        <w:rPr>
          <w:rFonts w:hint="eastAsia"/>
          <w:color w:val="auto"/>
          <w:sz w:val="24"/>
        </w:rPr>
        <w:t>八、违背上述承诺事项的，我单位无条件接受以下责任追究：</w:t>
      </w:r>
    </w:p>
    <w:p>
      <w:pPr>
        <w:widowControl w:val="0"/>
        <w:tabs>
          <w:tab w:val="left" w:pos="65"/>
        </w:tabs>
        <w:spacing w:line="460" w:lineRule="atLeast"/>
        <w:ind w:firstLine="480" w:firstLineChars="200"/>
        <w:textAlignment w:val="auto"/>
        <w:rPr>
          <w:rFonts w:ascii="宋体" w:hAnsi="宋体" w:cs="楷体_GB2312"/>
          <w:color w:val="auto"/>
          <w:sz w:val="24"/>
          <w:lang w:val="zh-CN"/>
        </w:rPr>
      </w:pPr>
      <w:r>
        <w:rPr>
          <w:rFonts w:hint="eastAsia" w:ascii="宋体" w:hAnsi="宋体" w:cs="楷体_GB2312"/>
          <w:color w:val="auto"/>
          <w:sz w:val="24"/>
          <w:lang w:val="zh-CN"/>
        </w:rPr>
        <w:t>（一）法定责任：</w:t>
      </w:r>
      <w:r>
        <w:rPr>
          <w:rFonts w:hint="eastAsia"/>
          <w:color w:val="auto"/>
          <w:sz w:val="24"/>
        </w:rPr>
        <w:t>按照政府采购相关法规，</w:t>
      </w:r>
      <w:r>
        <w:rPr>
          <w:rFonts w:ascii="宋体" w:hAnsi="宋体" w:cs="楷体_GB2312"/>
          <w:color w:val="auto"/>
          <w:sz w:val="24"/>
          <w:lang w:val="zh-CN"/>
        </w:rPr>
        <w:t>处以罚款，列入不良行为记录名单，在一至三年内禁止参加政府采购活动，有违法所得的，并处没收违法所得，情节严重的，由工商行政管理机关</w:t>
      </w:r>
      <w:r>
        <w:rPr>
          <w:rFonts w:hint="eastAsia" w:ascii="宋体" w:hAnsi="宋体" w:cs="楷体_GB2312"/>
          <w:color w:val="auto"/>
          <w:sz w:val="24"/>
          <w:lang w:val="zh-CN"/>
        </w:rPr>
        <w:t>（市场监督机关）</w:t>
      </w:r>
      <w:r>
        <w:rPr>
          <w:rFonts w:ascii="宋体" w:hAnsi="宋体" w:cs="楷体_GB2312"/>
          <w:color w:val="auto"/>
          <w:sz w:val="24"/>
          <w:lang w:val="zh-CN"/>
        </w:rPr>
        <w:t>吊销营业执照；构成犯罪的，依法追究刑事责任</w:t>
      </w:r>
      <w:r>
        <w:rPr>
          <w:rFonts w:hint="eastAsia" w:ascii="宋体" w:hAnsi="宋体" w:cs="楷体_GB2312"/>
          <w:color w:val="auto"/>
          <w:sz w:val="24"/>
          <w:lang w:val="zh-CN"/>
        </w:rPr>
        <w:t>。</w:t>
      </w:r>
    </w:p>
    <w:p>
      <w:pPr>
        <w:widowControl w:val="0"/>
        <w:tabs>
          <w:tab w:val="left" w:pos="65"/>
        </w:tabs>
        <w:spacing w:line="460" w:lineRule="atLeast"/>
        <w:ind w:firstLine="480" w:firstLineChars="200"/>
        <w:textAlignment w:val="auto"/>
        <w:rPr>
          <w:rFonts w:ascii="宋体" w:hAnsi="宋体" w:cs="楷体_GB2312"/>
          <w:color w:val="auto"/>
          <w:sz w:val="24"/>
          <w:lang w:val="zh-CN"/>
        </w:rPr>
      </w:pPr>
      <w:r>
        <w:rPr>
          <w:rFonts w:hint="eastAsia"/>
          <w:color w:val="auto"/>
          <w:sz w:val="24"/>
        </w:rPr>
        <w:t>给采购人及他人造成损失的，愿承担相应的赔偿责任。</w:t>
      </w:r>
    </w:p>
    <w:p>
      <w:pPr>
        <w:widowControl w:val="0"/>
        <w:tabs>
          <w:tab w:val="left" w:pos="65"/>
        </w:tabs>
        <w:spacing w:line="460" w:lineRule="atLeast"/>
        <w:ind w:firstLine="480" w:firstLineChars="200"/>
        <w:textAlignment w:val="auto"/>
        <w:rPr>
          <w:color w:val="auto"/>
          <w:sz w:val="24"/>
        </w:rPr>
      </w:pPr>
      <w:r>
        <w:rPr>
          <w:rFonts w:hint="eastAsia" w:ascii="宋体" w:hAnsi="宋体" w:cs="楷体_GB2312"/>
          <w:color w:val="auto"/>
          <w:sz w:val="24"/>
          <w:lang w:val="zh-CN"/>
        </w:rPr>
        <w:t>（二）违约责任：</w:t>
      </w:r>
      <w:r>
        <w:rPr>
          <w:rFonts w:hint="eastAsia"/>
          <w:color w:val="auto"/>
          <w:sz w:val="24"/>
        </w:rPr>
        <w:t xml:space="preserve"> </w:t>
      </w:r>
    </w:p>
    <w:p>
      <w:pPr>
        <w:widowControl w:val="0"/>
        <w:tabs>
          <w:tab w:val="left" w:pos="65"/>
        </w:tabs>
        <w:spacing w:line="460" w:lineRule="atLeast"/>
        <w:ind w:firstLine="480" w:firstLineChars="200"/>
        <w:textAlignment w:val="auto"/>
        <w:rPr>
          <w:color w:val="auto"/>
          <w:sz w:val="24"/>
        </w:rPr>
      </w:pPr>
      <w:r>
        <w:rPr>
          <w:rFonts w:hint="eastAsia"/>
          <w:color w:val="auto"/>
          <w:sz w:val="24"/>
        </w:rPr>
        <w:t>1、已中标的，中标（</w:t>
      </w:r>
      <w:r>
        <w:rPr>
          <w:rFonts w:hint="eastAsia" w:ascii="宋体" w:hAnsi="宋体" w:cs="宋体"/>
          <w:color w:val="auto"/>
          <w:szCs w:val="21"/>
        </w:rPr>
        <w:t>成交</w:t>
      </w:r>
      <w:r>
        <w:rPr>
          <w:rFonts w:hint="eastAsia"/>
          <w:color w:val="auto"/>
          <w:sz w:val="24"/>
        </w:rPr>
        <w:t>）无效；</w:t>
      </w:r>
    </w:p>
    <w:p>
      <w:pPr>
        <w:widowControl w:val="0"/>
        <w:tabs>
          <w:tab w:val="left" w:pos="65"/>
        </w:tabs>
        <w:spacing w:line="460" w:lineRule="atLeast"/>
        <w:ind w:firstLine="480" w:firstLineChars="200"/>
        <w:textAlignment w:val="auto"/>
        <w:rPr>
          <w:color w:val="auto"/>
          <w:sz w:val="24"/>
        </w:rPr>
      </w:pPr>
      <w:r>
        <w:rPr>
          <w:rFonts w:hint="eastAsia"/>
          <w:color w:val="auto"/>
          <w:sz w:val="24"/>
        </w:rPr>
        <w:t>2、支付采购人违约标的预算金额2%的</w:t>
      </w:r>
      <w:r>
        <w:rPr>
          <w:rFonts w:hint="eastAsia" w:ascii="宋体" w:hAnsi="宋体" w:cs="楷体_GB2312"/>
          <w:color w:val="auto"/>
          <w:sz w:val="24"/>
          <w:lang w:val="zh-CN"/>
        </w:rPr>
        <w:t>违约金</w:t>
      </w:r>
      <w:r>
        <w:rPr>
          <w:rFonts w:hint="eastAsia"/>
          <w:color w:val="auto"/>
          <w:sz w:val="24"/>
        </w:rPr>
        <w:t>；</w:t>
      </w:r>
    </w:p>
    <w:p>
      <w:pPr>
        <w:widowControl w:val="0"/>
        <w:tabs>
          <w:tab w:val="left" w:pos="65"/>
        </w:tabs>
        <w:spacing w:line="460" w:lineRule="atLeast"/>
        <w:ind w:firstLine="480" w:firstLineChars="200"/>
        <w:textAlignment w:val="auto"/>
        <w:rPr>
          <w:color w:val="auto"/>
          <w:sz w:val="24"/>
          <w:lang w:val="zh-CN"/>
        </w:rPr>
      </w:pPr>
      <w:r>
        <w:rPr>
          <w:rFonts w:hint="eastAsia"/>
          <w:color w:val="auto"/>
          <w:sz w:val="24"/>
        </w:rPr>
        <w:t>3、中标后</w:t>
      </w:r>
      <w:r>
        <w:rPr>
          <w:rFonts w:hint="eastAsia" w:ascii="宋体" w:hAnsi="宋体"/>
          <w:color w:val="auto"/>
          <w:sz w:val="24"/>
          <w:szCs w:val="24"/>
        </w:rPr>
        <w:t>未缴</w:t>
      </w:r>
      <w:r>
        <w:rPr>
          <w:rFonts w:hint="eastAsia"/>
          <w:color w:val="auto"/>
          <w:sz w:val="24"/>
        </w:rPr>
        <w:t>中标服务费的，作为违约及违背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原则，在履行承诺前，代理机构将视我单位为失信企业、不予办理其后相关业务。</w:t>
      </w:r>
    </w:p>
    <w:p>
      <w:pPr>
        <w:widowControl w:val="0"/>
        <w:autoSpaceDE w:val="0"/>
        <w:autoSpaceDN w:val="0"/>
        <w:adjustRightInd w:val="0"/>
        <w:spacing w:line="460" w:lineRule="atLeast"/>
        <w:ind w:left="-2" w:right="-817" w:hanging="149"/>
        <w:textAlignment w:val="auto"/>
        <w:rPr>
          <w:rFonts w:ascii="宋体" w:cs="楷体_GB2312"/>
          <w:color w:val="auto"/>
          <w:sz w:val="24"/>
          <w:lang w:val="zh-CN"/>
        </w:rPr>
      </w:pPr>
    </w:p>
    <w:p>
      <w:pPr>
        <w:widowControl w:val="0"/>
        <w:snapToGrid w:val="0"/>
        <w:spacing w:line="360" w:lineRule="auto"/>
        <w:textAlignment w:val="top"/>
        <w:rPr>
          <w:color w:val="auto"/>
          <w:sz w:val="24"/>
          <w:szCs w:val="24"/>
        </w:rPr>
      </w:pPr>
      <w:r>
        <w:rPr>
          <w:rFonts w:hint="eastAsia"/>
          <w:color w:val="auto"/>
          <w:sz w:val="24"/>
          <w:szCs w:val="24"/>
        </w:rPr>
        <w:t>投标人（电子签章）：</w:t>
      </w:r>
    </w:p>
    <w:p>
      <w:pPr>
        <w:widowControl w:val="0"/>
        <w:snapToGrid w:val="0"/>
        <w:spacing w:line="360" w:lineRule="auto"/>
        <w:textAlignment w:val="top"/>
        <w:rPr>
          <w:color w:val="auto"/>
          <w:sz w:val="24"/>
          <w:szCs w:val="24"/>
        </w:rPr>
      </w:pPr>
      <w:r>
        <w:rPr>
          <w:rFonts w:hint="eastAsia"/>
          <w:color w:val="auto"/>
          <w:sz w:val="24"/>
          <w:szCs w:val="24"/>
        </w:rPr>
        <w:t>法定代表人（电子签名）：</w:t>
      </w:r>
    </w:p>
    <w:p>
      <w:pPr>
        <w:widowControl w:val="0"/>
        <w:snapToGrid w:val="0"/>
        <w:spacing w:line="360" w:lineRule="auto"/>
        <w:textAlignment w:val="top"/>
        <w:rPr>
          <w:color w:val="auto"/>
          <w:sz w:val="24"/>
          <w:szCs w:val="24"/>
        </w:rPr>
      </w:pPr>
      <w:r>
        <w:rPr>
          <w:rFonts w:hint="eastAsia"/>
          <w:color w:val="auto"/>
          <w:sz w:val="24"/>
          <w:szCs w:val="24"/>
        </w:rPr>
        <w:t>日期：</w:t>
      </w:r>
      <w:r>
        <w:rPr>
          <w:color w:val="auto"/>
          <w:sz w:val="24"/>
          <w:szCs w:val="24"/>
        </w:rPr>
        <w:t xml:space="preserve">  </w:t>
      </w:r>
      <w:r>
        <w:rPr>
          <w:rFonts w:hint="eastAsia"/>
          <w:color w:val="auto"/>
          <w:sz w:val="24"/>
          <w:szCs w:val="24"/>
        </w:rPr>
        <w:t>年</w:t>
      </w:r>
      <w:r>
        <w:rPr>
          <w:color w:val="auto"/>
          <w:sz w:val="24"/>
          <w:szCs w:val="24"/>
        </w:rPr>
        <w:t xml:space="preserve">   </w:t>
      </w:r>
      <w:r>
        <w:rPr>
          <w:rFonts w:hint="eastAsia"/>
          <w:color w:val="auto"/>
          <w:sz w:val="24"/>
          <w:szCs w:val="24"/>
        </w:rPr>
        <w:t>月</w:t>
      </w:r>
      <w:r>
        <w:rPr>
          <w:color w:val="auto"/>
          <w:sz w:val="24"/>
          <w:szCs w:val="24"/>
        </w:rPr>
        <w:t xml:space="preserve">   </w:t>
      </w:r>
      <w:r>
        <w:rPr>
          <w:rFonts w:hint="eastAsia"/>
          <w:color w:val="auto"/>
          <w:sz w:val="24"/>
          <w:szCs w:val="24"/>
        </w:rPr>
        <w:t>日</w:t>
      </w:r>
    </w:p>
    <w:p>
      <w:pPr>
        <w:snapToGrid w:val="0"/>
        <w:spacing w:line="560" w:lineRule="atLeast"/>
        <w:jc w:val="center"/>
        <w:rPr>
          <w:rFonts w:ascii="宋体" w:hAnsi="宋体"/>
          <w:b/>
          <w:color w:val="auto"/>
          <w:sz w:val="32"/>
          <w:szCs w:val="32"/>
        </w:rPr>
      </w:pPr>
      <w:r>
        <w:rPr>
          <w:rFonts w:ascii="宋体" w:hAnsi="宋体"/>
          <w:b/>
          <w:color w:val="auto"/>
          <w:sz w:val="32"/>
          <w:szCs w:val="32"/>
        </w:rPr>
        <w:br w:type="page"/>
      </w:r>
    </w:p>
    <w:p>
      <w:pPr>
        <w:snapToGrid w:val="0"/>
        <w:spacing w:line="560" w:lineRule="atLeast"/>
        <w:jc w:val="center"/>
        <w:rPr>
          <w:rFonts w:ascii="黑体" w:hAnsi="黑体" w:eastAsia="黑体"/>
          <w:b/>
          <w:color w:val="auto"/>
          <w:sz w:val="30"/>
          <w:szCs w:val="30"/>
        </w:rPr>
      </w:pPr>
    </w:p>
    <w:p>
      <w:pPr>
        <w:snapToGrid w:val="0"/>
        <w:spacing w:line="560" w:lineRule="atLeast"/>
        <w:jc w:val="center"/>
        <w:rPr>
          <w:rFonts w:ascii="黑体" w:hAnsi="黑体" w:eastAsia="黑体"/>
          <w:b/>
          <w:color w:val="auto"/>
          <w:sz w:val="30"/>
          <w:szCs w:val="30"/>
        </w:rPr>
      </w:pPr>
      <w:r>
        <w:rPr>
          <w:rFonts w:hint="eastAsia" w:ascii="黑体" w:hAnsi="黑体" w:eastAsia="黑体"/>
          <w:b/>
          <w:color w:val="auto"/>
          <w:sz w:val="30"/>
          <w:szCs w:val="30"/>
        </w:rPr>
        <w:t>1</w:t>
      </w:r>
      <w:r>
        <w:rPr>
          <w:rFonts w:ascii="黑体" w:hAnsi="黑体" w:eastAsia="黑体"/>
          <w:b/>
          <w:color w:val="auto"/>
          <w:sz w:val="30"/>
          <w:szCs w:val="30"/>
        </w:rPr>
        <w:t>5</w:t>
      </w:r>
      <w:r>
        <w:rPr>
          <w:rFonts w:hint="eastAsia" w:ascii="黑体" w:hAnsi="黑体" w:eastAsia="黑体"/>
          <w:b/>
          <w:color w:val="auto"/>
          <w:sz w:val="30"/>
          <w:szCs w:val="30"/>
        </w:rPr>
        <w:t>-4、其他资格证明材料</w:t>
      </w:r>
    </w:p>
    <w:p>
      <w:pPr>
        <w:snapToGrid w:val="0"/>
        <w:spacing w:line="560" w:lineRule="atLeast"/>
        <w:ind w:firstLine="480" w:firstLineChars="200"/>
        <w:rPr>
          <w:rFonts w:ascii="宋体" w:hAnsi="宋体"/>
          <w:b/>
          <w:color w:val="auto"/>
          <w:sz w:val="24"/>
          <w:szCs w:val="24"/>
        </w:rPr>
      </w:pPr>
      <w:r>
        <w:rPr>
          <w:rFonts w:hint="eastAsia" w:ascii="宋体" w:hAnsi="宋体"/>
          <w:color w:val="auto"/>
          <w:sz w:val="24"/>
          <w:szCs w:val="24"/>
        </w:rPr>
        <w:t>按招标文件要求提供的其他资格证明材料或供应商认为有必要提供的其他证明材料。（按招标文件要求</w:t>
      </w:r>
      <w:r>
        <w:rPr>
          <w:rFonts w:hint="eastAsia" w:ascii="宋体" w:hAnsi="宋体" w:cs="楷体_GB2312"/>
          <w:color w:val="auto"/>
          <w:sz w:val="24"/>
          <w:lang w:val="zh-CN"/>
        </w:rPr>
        <w:t>电子签名&lt;签</w:t>
      </w:r>
      <w:r>
        <w:rPr>
          <w:rFonts w:hint="eastAsia" w:ascii="宋体" w:hAnsi="宋体"/>
          <w:color w:val="auto"/>
          <w:sz w:val="24"/>
          <w:szCs w:val="24"/>
        </w:rPr>
        <w:t>章&gt;。）</w:t>
      </w:r>
    </w:p>
    <w:p>
      <w:pPr>
        <w:tabs>
          <w:tab w:val="left" w:pos="9365"/>
        </w:tabs>
        <w:spacing w:before="360" w:after="360" w:line="586" w:lineRule="atLeast"/>
        <w:ind w:right="85" w:firstLine="600" w:firstLineChars="250"/>
        <w:jc w:val="left"/>
        <w:textAlignment w:val="top"/>
        <w:rPr>
          <w:rFonts w:ascii="宋体" w:hAnsi="宋体"/>
          <w:color w:val="auto"/>
          <w:sz w:val="24"/>
          <w:szCs w:val="24"/>
        </w:rPr>
      </w:pPr>
    </w:p>
    <w:p>
      <w:pPr>
        <w:snapToGrid w:val="0"/>
        <w:spacing w:before="240" w:after="240" w:line="540" w:lineRule="exact"/>
        <w:ind w:right="85"/>
        <w:jc w:val="left"/>
        <w:textAlignment w:val="top"/>
        <w:rPr>
          <w:rFonts w:ascii="宋体" w:hAnsi="宋体"/>
          <w:color w:val="auto"/>
          <w:sz w:val="24"/>
          <w:szCs w:val="24"/>
        </w:rPr>
      </w:pPr>
    </w:p>
    <w:p>
      <w:pPr>
        <w:snapToGrid w:val="0"/>
        <w:spacing w:line="560" w:lineRule="atLeast"/>
        <w:jc w:val="center"/>
        <w:rPr>
          <w:rFonts w:ascii="宋体" w:hAnsi="宋体"/>
          <w:b/>
          <w:color w:val="auto"/>
          <w:sz w:val="32"/>
          <w:szCs w:val="32"/>
        </w:rPr>
      </w:pPr>
    </w:p>
    <w:p>
      <w:pPr>
        <w:widowControl w:val="0"/>
        <w:snapToGrid w:val="0"/>
        <w:spacing w:line="560" w:lineRule="exact"/>
        <w:jc w:val="center"/>
        <w:rPr>
          <w:rFonts w:eastAsia="方正黑体简体"/>
          <w:b/>
          <w:color w:val="auto"/>
          <w:sz w:val="30"/>
          <w:szCs w:val="30"/>
        </w:rPr>
      </w:pPr>
    </w:p>
    <w:p>
      <w:pPr>
        <w:widowControl w:val="0"/>
        <w:snapToGrid w:val="0"/>
        <w:spacing w:line="560" w:lineRule="exact"/>
        <w:rPr>
          <w:rFonts w:eastAsia="方正黑体简体"/>
          <w:b/>
          <w:color w:val="auto"/>
          <w:sz w:val="30"/>
          <w:szCs w:val="30"/>
        </w:rPr>
      </w:pPr>
    </w:p>
    <w:p>
      <w:pPr>
        <w:widowControl w:val="0"/>
        <w:snapToGrid w:val="0"/>
        <w:spacing w:line="560" w:lineRule="exact"/>
        <w:rPr>
          <w:rFonts w:eastAsia="方正黑体简体"/>
          <w:b/>
          <w:color w:val="auto"/>
          <w:sz w:val="30"/>
          <w:szCs w:val="30"/>
        </w:rPr>
      </w:pPr>
    </w:p>
    <w:sectPr>
      <w:pgSz w:w="11905" w:h="16837"/>
      <w:pgMar w:top="1091" w:right="1106" w:bottom="993" w:left="1418" w:header="567" w:footer="567"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华文新魏">
    <w:altName w:val="微软雅黑"/>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0000000000000000000"/>
    <w:charset w:val="86"/>
    <w:family w:val="auto"/>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Adobe 宋体 Std L">
    <w:altName w:val="黑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ind w:right="21" w:firstLine="105" w:firstLineChars="50"/>
      <w:jc w:val="left"/>
      <w:rPr>
        <w:rFonts w:ascii="宋体" w:hAnsi="宋体"/>
        <w:szCs w:val="21"/>
        <w:u w:val="single"/>
      </w:rPr>
    </w:pPr>
    <w:r>
      <w:rPr>
        <w:rFonts w:hint="eastAsia" w:ascii="宋体" w:hAnsi="宋体"/>
        <w:szCs w:val="21"/>
        <w:u w:val="single"/>
      </w:rPr>
      <w:t>《招标文件》</w:t>
    </w:r>
    <w:r>
      <w:rPr>
        <w:rFonts w:ascii="宋体" w:hAnsi="宋体"/>
        <w:szCs w:val="21"/>
        <w:u w:val="single"/>
      </w:rPr>
      <w:t xml:space="preserve">                                                          </w:t>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NUMPAGES-1\* Arabic \* MERGEFORMAT</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Style w:val="23"/>
        <w:rFonts w:ascii="宋体" w:hAnsi="宋体"/>
        <w:szCs w:val="21"/>
        <w:u w:val="single"/>
      </w:rPr>
      <w:fldChar w:fldCharType="begin"/>
    </w:r>
    <w:r>
      <w:rPr>
        <w:rStyle w:val="23"/>
        <w:rFonts w:ascii="宋体" w:hAnsi="宋体"/>
        <w:szCs w:val="21"/>
        <w:u w:val="single"/>
      </w:rPr>
      <w:instrText xml:space="preserve"> PAGE </w:instrText>
    </w:r>
    <w:r>
      <w:rPr>
        <w:rStyle w:val="23"/>
        <w:rFonts w:ascii="宋体" w:hAnsi="宋体"/>
        <w:szCs w:val="21"/>
        <w:u w:val="single"/>
      </w:rPr>
      <w:fldChar w:fldCharType="separate"/>
    </w:r>
    <w:r>
      <w:rPr>
        <w:rStyle w:val="23"/>
        <w:rFonts w:ascii="宋体" w:hAnsi="宋体"/>
        <w:szCs w:val="21"/>
        <w:u w:val="single"/>
      </w:rPr>
      <w:t>- 3 -</w:t>
    </w:r>
    <w:r>
      <w:rPr>
        <w:rStyle w:val="23"/>
        <w:rFonts w:ascii="宋体" w:hAnsi="宋体"/>
        <w:szCs w:val="21"/>
        <w:u w:val="single"/>
      </w:rPr>
      <w:fldChar w:fldCharType="end"/>
    </w:r>
    <w:r>
      <w:rPr>
        <w:rStyle w:val="23"/>
        <w:rFonts w:ascii="宋体" w:hAnsi="宋体"/>
        <w:szCs w:val="21"/>
        <w:u w:val="single"/>
      </w:rPr>
      <w:t xml:space="preserve"> </w:t>
    </w:r>
    <w:r>
      <w:rPr>
        <w:rStyle w:val="23"/>
        <w:rFonts w:hint="eastAsia" w:ascii="宋体" w:hAnsi="宋体"/>
        <w:szCs w:val="21"/>
        <w:u w:val="single"/>
      </w:rPr>
      <w:t>（</w:t>
    </w:r>
    <w:r>
      <w:rPr>
        <w:rFonts w:hint="eastAsia" w:ascii="宋体" w:hAnsi="宋体"/>
        <w:szCs w:val="21"/>
        <w:u w:val="single"/>
      </w:rPr>
      <w:t>共</w:t>
    </w:r>
    <w:r>
      <w:fldChar w:fldCharType="begin"/>
    </w:r>
    <w:r>
      <w:instrText xml:space="preserve"> SECTIONPAGES   \* MERGEFORMAT </w:instrText>
    </w:r>
    <w:r>
      <w:fldChar w:fldCharType="separate"/>
    </w:r>
    <w:r>
      <w:rPr>
        <w:rStyle w:val="23"/>
        <w:szCs w:val="21"/>
        <w:u w:val="single"/>
      </w:rPr>
      <w:t>79</w:t>
    </w:r>
    <w:r>
      <w:rPr>
        <w:rStyle w:val="23"/>
        <w:szCs w:val="21"/>
        <w:u w:val="single"/>
      </w:rPr>
      <w:fldChar w:fldCharType="end"/>
    </w:r>
    <w:r>
      <w:rPr>
        <w:rFonts w:hint="eastAsia" w:ascii="宋体" w:hAnsi="宋体"/>
        <w:szCs w:val="21"/>
        <w:u w:val="single"/>
      </w:rPr>
      <w:t>页</w:t>
    </w:r>
    <w:r>
      <w:rPr>
        <w:rFonts w:ascii="宋体" w:hAnsi="宋体"/>
        <w:szCs w:val="21"/>
        <w:u w:val="single"/>
      </w:rPr>
      <w:t>)</w:t>
    </w:r>
    <w:r>
      <w:rPr>
        <w:rFonts w:ascii="宋体" w:hAnsi="宋体"/>
      </w:rPr>
      <w:pict>
        <v:shape id="Text Box 2" o:spid="_x0000_s1027" o:spt="202" type="#_x0000_t202" style="position:absolute;left:0pt;margin-left:70.85pt;margin-top:799.35pt;height:14.15pt;width:453.5pt;mso-position-horizontal-relative:page;mso-position-vertical-relative:page;z-index:-251656192;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">
          <v:path/>
          <v:fill on="f" focussize="0,0"/>
          <v:stroke on="f" joinstyle="miter"/>
          <v:imagedata o:title=""/>
          <o:lock v:ext="edit"/>
          <v:textbox inset="0mm,0mm,0mm,0mm"/>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23"/>
      </w:rPr>
    </w:pPr>
    <w:r>
      <w:rPr>
        <w:rStyle w:val="23"/>
      </w:rPr>
      <w:fldChar w:fldCharType="begin"/>
    </w:r>
    <w:r>
      <w:rPr>
        <w:rStyle w:val="23"/>
      </w:rPr>
      <w:instrText xml:space="preserve">PAGE  </w:instrText>
    </w:r>
    <w:r>
      <w:rPr>
        <w:rStyle w:val="23"/>
      </w:rP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rPr>
        <w:rFonts w:ascii="宋体" w:hAnsi="宋体"/>
        <w:szCs w:val="21"/>
      </w:rPr>
    </w:pPr>
    <w:r>
      <w:rPr>
        <w:rFonts w:hint="eastAsia" w:ascii="宋体" w:hAnsi="宋体"/>
        <w:szCs w:val="21"/>
        <w:u w:val="single"/>
      </w:rPr>
      <w:t>安阳市方正招标采购服务有限责任公司</w:t>
    </w:r>
    <w:r>
      <w:rPr>
        <w:rFonts w:ascii="宋体" w:hAnsi="宋体"/>
        <w:szCs w:val="21"/>
        <w:u w:val="single"/>
      </w:rPr>
      <w:t xml:space="preserve">        </w:t>
    </w:r>
    <w:r>
      <w:rPr>
        <w:rFonts w:hint="eastAsia" w:ascii="宋体" w:hAnsi="宋体"/>
        <w:szCs w:val="21"/>
        <w:u w:val="single"/>
      </w:rPr>
      <w:t>电话及传真：</w:t>
    </w:r>
    <w:r>
      <w:rPr>
        <w:rFonts w:ascii="宋体" w:hAnsi="宋体"/>
        <w:szCs w:val="21"/>
        <w:u w:val="single"/>
      </w:rPr>
      <w:t>0372—2283981</w:t>
    </w:r>
    <w:r>
      <w:rPr>
        <w:rFonts w:hint="eastAsia" w:ascii="宋体" w:hAnsi="宋体"/>
        <w:szCs w:val="21"/>
        <w:u w:val="single"/>
      </w:rPr>
      <w:t>、</w:t>
    </w:r>
    <w:r>
      <w:rPr>
        <w:rFonts w:ascii="宋体" w:hAnsi="宋体"/>
        <w:szCs w:val="21"/>
        <w:u w:val="single"/>
      </w:rPr>
      <w:t>2283982</w:t>
    </w:r>
    <w:r>
      <w:rPr>
        <w:rFonts w:hint="eastAsia" w:ascii="宋体" w:hAnsi="宋体"/>
        <w:szCs w:val="21"/>
        <w:u w:val="single"/>
      </w:rPr>
      <w:t>、</w:t>
    </w:r>
    <w:r>
      <w:rPr>
        <w:rFonts w:ascii="宋体" w:hAnsi="宋体"/>
        <w:szCs w:val="21"/>
        <w:u w:val="single"/>
      </w:rPr>
      <w:t>2283983 .</w:t>
    </w:r>
    <w:r>
      <w:rPr>
        <w:rFonts w:ascii="宋体" w:hAnsi="宋体"/>
      </w:rPr>
      <w:pict>
        <v:shape id="Text Box 1" o:spid="_x0000_s1026" o:spt="202" type="#_x0000_t202" style="position:absolute;left:0pt;margin-left:70.85pt;margin-top:28.3pt;height:14.15pt;width:453.5pt;mso-position-horizontal-relative:page;mso-position-vertical-relative:page;z-index:-251657216;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">
          <v:path/>
          <v:fill on="f" focussize="0,0"/>
          <v:stroke on="f" joinstyle="miter"/>
          <v:imagedata o:title=""/>
          <o:lock v:ext="edit"/>
          <v:textbox inset="0mm,0mm,0mm,0mm"/>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05C1B"/>
    <w:multiLevelType w:val="singleLevel"/>
    <w:tmpl w:val="B3805C1B"/>
    <w:lvl w:ilvl="0" w:tentative="0">
      <w:start w:val="1"/>
      <w:numFmt w:val="decimal"/>
      <w:suff w:val="space"/>
      <w:lvlText w:val="%1."/>
      <w:lvlJc w:val="left"/>
    </w:lvl>
  </w:abstractNum>
  <w:abstractNum w:abstractNumId="1">
    <w:nsid w:val="387B79CE"/>
    <w:multiLevelType w:val="multilevel"/>
    <w:tmpl w:val="387B79CE"/>
    <w:lvl w:ilvl="0" w:tentative="0">
      <w:start w:val="1"/>
      <w:numFmt w:val="decimal"/>
      <w:lvlText w:val="%1."/>
      <w:lvlJc w:val="left"/>
      <w:pPr>
        <w:ind w:left="938" w:hanging="360"/>
      </w:pPr>
      <w:rPr>
        <w:rFonts w:hint="default"/>
      </w:rPr>
    </w:lvl>
    <w:lvl w:ilvl="1" w:tentative="0">
      <w:start w:val="1"/>
      <w:numFmt w:val="lowerLetter"/>
      <w:lvlText w:val="%2)"/>
      <w:lvlJc w:val="left"/>
      <w:pPr>
        <w:ind w:left="1418" w:hanging="420"/>
      </w:pPr>
    </w:lvl>
    <w:lvl w:ilvl="2" w:tentative="0">
      <w:start w:val="1"/>
      <w:numFmt w:val="lowerRoman"/>
      <w:lvlText w:val="%3."/>
      <w:lvlJc w:val="right"/>
      <w:pPr>
        <w:ind w:left="1838" w:hanging="420"/>
      </w:pPr>
    </w:lvl>
    <w:lvl w:ilvl="3" w:tentative="0">
      <w:start w:val="1"/>
      <w:numFmt w:val="decimal"/>
      <w:lvlText w:val="%4."/>
      <w:lvlJc w:val="left"/>
      <w:pPr>
        <w:ind w:left="2258" w:hanging="420"/>
      </w:pPr>
    </w:lvl>
    <w:lvl w:ilvl="4" w:tentative="0">
      <w:start w:val="1"/>
      <w:numFmt w:val="lowerLetter"/>
      <w:lvlText w:val="%5)"/>
      <w:lvlJc w:val="left"/>
      <w:pPr>
        <w:ind w:left="2678" w:hanging="420"/>
      </w:pPr>
    </w:lvl>
    <w:lvl w:ilvl="5" w:tentative="0">
      <w:start w:val="1"/>
      <w:numFmt w:val="lowerRoman"/>
      <w:lvlText w:val="%6."/>
      <w:lvlJc w:val="right"/>
      <w:pPr>
        <w:ind w:left="3098" w:hanging="420"/>
      </w:pPr>
    </w:lvl>
    <w:lvl w:ilvl="6" w:tentative="0">
      <w:start w:val="1"/>
      <w:numFmt w:val="decimal"/>
      <w:lvlText w:val="%7."/>
      <w:lvlJc w:val="left"/>
      <w:pPr>
        <w:ind w:left="3518" w:hanging="420"/>
      </w:pPr>
    </w:lvl>
    <w:lvl w:ilvl="7" w:tentative="0">
      <w:start w:val="1"/>
      <w:numFmt w:val="lowerLetter"/>
      <w:lvlText w:val="%8)"/>
      <w:lvlJc w:val="left"/>
      <w:pPr>
        <w:ind w:left="3938" w:hanging="420"/>
      </w:pPr>
    </w:lvl>
    <w:lvl w:ilvl="8" w:tentative="0">
      <w:start w:val="1"/>
      <w:numFmt w:val="lowerRoman"/>
      <w:lvlText w:val="%9."/>
      <w:lvlJc w:val="right"/>
      <w:pPr>
        <w:ind w:left="4358" w:hanging="420"/>
      </w:pPr>
    </w:lvl>
  </w:abstractNum>
  <w:abstractNum w:abstractNumId="2">
    <w:nsid w:val="46434B90"/>
    <w:multiLevelType w:val="singleLevel"/>
    <w:tmpl w:val="46434B90"/>
    <w:lvl w:ilvl="0" w:tentative="0">
      <w:start w:val="2"/>
      <w:numFmt w:val="chineseCounting"/>
      <w:suff w:val="nothing"/>
      <w:lvlText w:val="%1、"/>
      <w:lvlJc w:val="left"/>
      <w:rPr>
        <w:rFonts w:hint="eastAsia"/>
      </w:rPr>
    </w:lvl>
  </w:abstractNum>
  <w:abstractNum w:abstractNumId="3">
    <w:nsid w:val="707AA634"/>
    <w:multiLevelType w:val="singleLevel"/>
    <w:tmpl w:val="707AA634"/>
    <w:lvl w:ilvl="0" w:tentative="0">
      <w:start w:val="1"/>
      <w:numFmt w:val="decimal"/>
      <w:suff w:val="nothing"/>
      <w:lvlText w:val="（%1）"/>
      <w:lvlJc w:val="left"/>
      <w:pPr>
        <w:ind w:left="3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dit="forms" w:formatting="1" w:enforcement="1" w:cryptProviderType="rsaFull" w:cryptAlgorithmClass="hash" w:cryptAlgorithmType="typeAny" w:cryptAlgorithmSid="4" w:cryptSpinCount="0" w:hash="yhK/JwOuDJSgZnAMlIwwuNu3+us=" w:salt="hTedcR52Zvhe3Mwc4l6IGw=="/>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2"/>
  </w:compat>
  <w:docVars>
    <w:docVar w:name="commondata" w:val="eyJoZGlkIjoiYWViYWFjMDEyOWIxMDRiMzJjNmM0MTE3OGZjYjA0YjkifQ=="/>
  </w:docVars>
  <w:rsids>
    <w:rsidRoot w:val="00172A27"/>
    <w:rsid w:val="00001AFE"/>
    <w:rsid w:val="00001D7A"/>
    <w:rsid w:val="00004FEA"/>
    <w:rsid w:val="00006184"/>
    <w:rsid w:val="00010A0D"/>
    <w:rsid w:val="000118FF"/>
    <w:rsid w:val="00011F9D"/>
    <w:rsid w:val="000129C4"/>
    <w:rsid w:val="00013814"/>
    <w:rsid w:val="00013DB2"/>
    <w:rsid w:val="00014CB5"/>
    <w:rsid w:val="00014FA0"/>
    <w:rsid w:val="00015C36"/>
    <w:rsid w:val="00016334"/>
    <w:rsid w:val="00017560"/>
    <w:rsid w:val="0001783F"/>
    <w:rsid w:val="00017E1E"/>
    <w:rsid w:val="00020336"/>
    <w:rsid w:val="00023676"/>
    <w:rsid w:val="000241D3"/>
    <w:rsid w:val="00024608"/>
    <w:rsid w:val="00025438"/>
    <w:rsid w:val="00025F1E"/>
    <w:rsid w:val="0002701F"/>
    <w:rsid w:val="0002737B"/>
    <w:rsid w:val="0003123D"/>
    <w:rsid w:val="0003321D"/>
    <w:rsid w:val="000339BC"/>
    <w:rsid w:val="000339BD"/>
    <w:rsid w:val="00035408"/>
    <w:rsid w:val="0003567F"/>
    <w:rsid w:val="00036AA4"/>
    <w:rsid w:val="00040523"/>
    <w:rsid w:val="0004137D"/>
    <w:rsid w:val="00041891"/>
    <w:rsid w:val="00042CA8"/>
    <w:rsid w:val="00042F27"/>
    <w:rsid w:val="000435E8"/>
    <w:rsid w:val="000437D6"/>
    <w:rsid w:val="00043821"/>
    <w:rsid w:val="00043CBA"/>
    <w:rsid w:val="00043D90"/>
    <w:rsid w:val="000441FD"/>
    <w:rsid w:val="00045899"/>
    <w:rsid w:val="000458E7"/>
    <w:rsid w:val="00047D2A"/>
    <w:rsid w:val="00050832"/>
    <w:rsid w:val="00050E05"/>
    <w:rsid w:val="00052D79"/>
    <w:rsid w:val="00053112"/>
    <w:rsid w:val="000532EB"/>
    <w:rsid w:val="00056986"/>
    <w:rsid w:val="00056C7E"/>
    <w:rsid w:val="00057BA0"/>
    <w:rsid w:val="00057F78"/>
    <w:rsid w:val="0006134B"/>
    <w:rsid w:val="000622B5"/>
    <w:rsid w:val="00062784"/>
    <w:rsid w:val="00062821"/>
    <w:rsid w:val="0006439B"/>
    <w:rsid w:val="00065301"/>
    <w:rsid w:val="00067F66"/>
    <w:rsid w:val="00070DCC"/>
    <w:rsid w:val="00071C34"/>
    <w:rsid w:val="00072834"/>
    <w:rsid w:val="00072ABE"/>
    <w:rsid w:val="000732AB"/>
    <w:rsid w:val="0007358E"/>
    <w:rsid w:val="0007390E"/>
    <w:rsid w:val="00073A45"/>
    <w:rsid w:val="00074985"/>
    <w:rsid w:val="00077629"/>
    <w:rsid w:val="00080AE9"/>
    <w:rsid w:val="0008112C"/>
    <w:rsid w:val="00081801"/>
    <w:rsid w:val="00081C6C"/>
    <w:rsid w:val="000823AD"/>
    <w:rsid w:val="0008258F"/>
    <w:rsid w:val="000829A8"/>
    <w:rsid w:val="000829DB"/>
    <w:rsid w:val="0008333C"/>
    <w:rsid w:val="00083869"/>
    <w:rsid w:val="00084C56"/>
    <w:rsid w:val="00085435"/>
    <w:rsid w:val="00086B70"/>
    <w:rsid w:val="000872DA"/>
    <w:rsid w:val="000906F2"/>
    <w:rsid w:val="00090D6B"/>
    <w:rsid w:val="00090EB6"/>
    <w:rsid w:val="00091C5E"/>
    <w:rsid w:val="0009268E"/>
    <w:rsid w:val="000929AC"/>
    <w:rsid w:val="00093A6B"/>
    <w:rsid w:val="000956CE"/>
    <w:rsid w:val="000962DF"/>
    <w:rsid w:val="000967FD"/>
    <w:rsid w:val="000A1B29"/>
    <w:rsid w:val="000A1EF0"/>
    <w:rsid w:val="000A2F4F"/>
    <w:rsid w:val="000A3FE8"/>
    <w:rsid w:val="000A4640"/>
    <w:rsid w:val="000A4A99"/>
    <w:rsid w:val="000A55EE"/>
    <w:rsid w:val="000A61F5"/>
    <w:rsid w:val="000A688B"/>
    <w:rsid w:val="000A70A2"/>
    <w:rsid w:val="000A7A3C"/>
    <w:rsid w:val="000B1334"/>
    <w:rsid w:val="000B2559"/>
    <w:rsid w:val="000B3DD8"/>
    <w:rsid w:val="000B4150"/>
    <w:rsid w:val="000B4758"/>
    <w:rsid w:val="000B535A"/>
    <w:rsid w:val="000B5412"/>
    <w:rsid w:val="000B6571"/>
    <w:rsid w:val="000C0072"/>
    <w:rsid w:val="000C0358"/>
    <w:rsid w:val="000C17C5"/>
    <w:rsid w:val="000C1BB9"/>
    <w:rsid w:val="000C2AA6"/>
    <w:rsid w:val="000C418B"/>
    <w:rsid w:val="000C4488"/>
    <w:rsid w:val="000C5E57"/>
    <w:rsid w:val="000D1898"/>
    <w:rsid w:val="000D2631"/>
    <w:rsid w:val="000E02FC"/>
    <w:rsid w:val="000E127A"/>
    <w:rsid w:val="000E153A"/>
    <w:rsid w:val="000E3874"/>
    <w:rsid w:val="000E41D5"/>
    <w:rsid w:val="000E54A0"/>
    <w:rsid w:val="000E6E96"/>
    <w:rsid w:val="000F0906"/>
    <w:rsid w:val="000F108C"/>
    <w:rsid w:val="000F3188"/>
    <w:rsid w:val="000F3282"/>
    <w:rsid w:val="000F3D46"/>
    <w:rsid w:val="000F3E7E"/>
    <w:rsid w:val="000F4146"/>
    <w:rsid w:val="000F49BD"/>
    <w:rsid w:val="000F4C91"/>
    <w:rsid w:val="000F71A3"/>
    <w:rsid w:val="000F756B"/>
    <w:rsid w:val="000F7917"/>
    <w:rsid w:val="000F79CB"/>
    <w:rsid w:val="000F7BE8"/>
    <w:rsid w:val="0010005D"/>
    <w:rsid w:val="00103B89"/>
    <w:rsid w:val="001056D3"/>
    <w:rsid w:val="00107435"/>
    <w:rsid w:val="0010797B"/>
    <w:rsid w:val="00110434"/>
    <w:rsid w:val="001106D7"/>
    <w:rsid w:val="00110916"/>
    <w:rsid w:val="00110E80"/>
    <w:rsid w:val="00111476"/>
    <w:rsid w:val="001118D4"/>
    <w:rsid w:val="00112AEB"/>
    <w:rsid w:val="00113D0A"/>
    <w:rsid w:val="00115075"/>
    <w:rsid w:val="001163D8"/>
    <w:rsid w:val="00117724"/>
    <w:rsid w:val="00120466"/>
    <w:rsid w:val="00123128"/>
    <w:rsid w:val="00124C33"/>
    <w:rsid w:val="00124FA8"/>
    <w:rsid w:val="0012536B"/>
    <w:rsid w:val="00126132"/>
    <w:rsid w:val="00126947"/>
    <w:rsid w:val="00126CF1"/>
    <w:rsid w:val="001301D3"/>
    <w:rsid w:val="001301F8"/>
    <w:rsid w:val="00131B13"/>
    <w:rsid w:val="00131CCB"/>
    <w:rsid w:val="00132364"/>
    <w:rsid w:val="001331D2"/>
    <w:rsid w:val="001336BC"/>
    <w:rsid w:val="001342A5"/>
    <w:rsid w:val="001348F0"/>
    <w:rsid w:val="00135227"/>
    <w:rsid w:val="0013534D"/>
    <w:rsid w:val="001364C3"/>
    <w:rsid w:val="001373F3"/>
    <w:rsid w:val="001376B5"/>
    <w:rsid w:val="001378C9"/>
    <w:rsid w:val="001401E4"/>
    <w:rsid w:val="001403FB"/>
    <w:rsid w:val="001409F2"/>
    <w:rsid w:val="001410AA"/>
    <w:rsid w:val="00142AE3"/>
    <w:rsid w:val="00143774"/>
    <w:rsid w:val="00144530"/>
    <w:rsid w:val="001531FB"/>
    <w:rsid w:val="001532B2"/>
    <w:rsid w:val="001537D5"/>
    <w:rsid w:val="0015450A"/>
    <w:rsid w:val="00157A88"/>
    <w:rsid w:val="00157DA4"/>
    <w:rsid w:val="00161EAD"/>
    <w:rsid w:val="00164338"/>
    <w:rsid w:val="001662F0"/>
    <w:rsid w:val="00166938"/>
    <w:rsid w:val="0016693E"/>
    <w:rsid w:val="00167109"/>
    <w:rsid w:val="0016783C"/>
    <w:rsid w:val="001708C3"/>
    <w:rsid w:val="00170AE1"/>
    <w:rsid w:val="00171587"/>
    <w:rsid w:val="0017176A"/>
    <w:rsid w:val="001717B5"/>
    <w:rsid w:val="001719D7"/>
    <w:rsid w:val="00172A27"/>
    <w:rsid w:val="00172A7E"/>
    <w:rsid w:val="00174A16"/>
    <w:rsid w:val="00175E3A"/>
    <w:rsid w:val="001812BF"/>
    <w:rsid w:val="00182CA9"/>
    <w:rsid w:val="00186884"/>
    <w:rsid w:val="00187C84"/>
    <w:rsid w:val="001918A1"/>
    <w:rsid w:val="00191971"/>
    <w:rsid w:val="00192DD9"/>
    <w:rsid w:val="00194451"/>
    <w:rsid w:val="001965DC"/>
    <w:rsid w:val="0019697C"/>
    <w:rsid w:val="00196E5D"/>
    <w:rsid w:val="001A01A7"/>
    <w:rsid w:val="001A02B0"/>
    <w:rsid w:val="001A1BB5"/>
    <w:rsid w:val="001A1D5B"/>
    <w:rsid w:val="001A2564"/>
    <w:rsid w:val="001A2827"/>
    <w:rsid w:val="001A46D0"/>
    <w:rsid w:val="001A5D00"/>
    <w:rsid w:val="001A733E"/>
    <w:rsid w:val="001B3387"/>
    <w:rsid w:val="001B353D"/>
    <w:rsid w:val="001B4202"/>
    <w:rsid w:val="001B5626"/>
    <w:rsid w:val="001B598B"/>
    <w:rsid w:val="001B6072"/>
    <w:rsid w:val="001B7085"/>
    <w:rsid w:val="001B7B35"/>
    <w:rsid w:val="001C015C"/>
    <w:rsid w:val="001C050D"/>
    <w:rsid w:val="001C078C"/>
    <w:rsid w:val="001C1554"/>
    <w:rsid w:val="001C219F"/>
    <w:rsid w:val="001C2389"/>
    <w:rsid w:val="001C2D34"/>
    <w:rsid w:val="001C397C"/>
    <w:rsid w:val="001C4B92"/>
    <w:rsid w:val="001C56BF"/>
    <w:rsid w:val="001C58DB"/>
    <w:rsid w:val="001C6505"/>
    <w:rsid w:val="001C6FC8"/>
    <w:rsid w:val="001D14A1"/>
    <w:rsid w:val="001D17A7"/>
    <w:rsid w:val="001D292F"/>
    <w:rsid w:val="001D2CF7"/>
    <w:rsid w:val="001D2F63"/>
    <w:rsid w:val="001D2FB8"/>
    <w:rsid w:val="001D3921"/>
    <w:rsid w:val="001D3B0B"/>
    <w:rsid w:val="001D6772"/>
    <w:rsid w:val="001D6C63"/>
    <w:rsid w:val="001D742A"/>
    <w:rsid w:val="001D79E1"/>
    <w:rsid w:val="001D7FC1"/>
    <w:rsid w:val="001E04F2"/>
    <w:rsid w:val="001E0A3F"/>
    <w:rsid w:val="001E1A46"/>
    <w:rsid w:val="001E25BA"/>
    <w:rsid w:val="001E25FA"/>
    <w:rsid w:val="001E2ED6"/>
    <w:rsid w:val="001E30AE"/>
    <w:rsid w:val="001E364B"/>
    <w:rsid w:val="001E45BE"/>
    <w:rsid w:val="001F6921"/>
    <w:rsid w:val="001F7D39"/>
    <w:rsid w:val="001F7ECB"/>
    <w:rsid w:val="00201557"/>
    <w:rsid w:val="00202D93"/>
    <w:rsid w:val="00202E2A"/>
    <w:rsid w:val="00203933"/>
    <w:rsid w:val="00204C09"/>
    <w:rsid w:val="002052BF"/>
    <w:rsid w:val="0020536F"/>
    <w:rsid w:val="002053E8"/>
    <w:rsid w:val="00205670"/>
    <w:rsid w:val="002057B6"/>
    <w:rsid w:val="00205DC9"/>
    <w:rsid w:val="0020635B"/>
    <w:rsid w:val="002064E1"/>
    <w:rsid w:val="00207968"/>
    <w:rsid w:val="00207B50"/>
    <w:rsid w:val="00212022"/>
    <w:rsid w:val="00214144"/>
    <w:rsid w:val="00214228"/>
    <w:rsid w:val="0021493D"/>
    <w:rsid w:val="00214DD7"/>
    <w:rsid w:val="00214F54"/>
    <w:rsid w:val="002155C5"/>
    <w:rsid w:val="0021708F"/>
    <w:rsid w:val="002228C6"/>
    <w:rsid w:val="002238AE"/>
    <w:rsid w:val="002238BD"/>
    <w:rsid w:val="002247B5"/>
    <w:rsid w:val="00225E50"/>
    <w:rsid w:val="0022623B"/>
    <w:rsid w:val="0022680B"/>
    <w:rsid w:val="00227CB1"/>
    <w:rsid w:val="0023012A"/>
    <w:rsid w:val="00231D21"/>
    <w:rsid w:val="0023225F"/>
    <w:rsid w:val="0023255F"/>
    <w:rsid w:val="00233A21"/>
    <w:rsid w:val="00235797"/>
    <w:rsid w:val="0023589D"/>
    <w:rsid w:val="00235F2B"/>
    <w:rsid w:val="00235F6E"/>
    <w:rsid w:val="00236EE2"/>
    <w:rsid w:val="00237A15"/>
    <w:rsid w:val="00240733"/>
    <w:rsid w:val="00241D3A"/>
    <w:rsid w:val="002423AD"/>
    <w:rsid w:val="0024269B"/>
    <w:rsid w:val="002430B2"/>
    <w:rsid w:val="002441A6"/>
    <w:rsid w:val="00244532"/>
    <w:rsid w:val="00244845"/>
    <w:rsid w:val="00244B40"/>
    <w:rsid w:val="00246A36"/>
    <w:rsid w:val="00247523"/>
    <w:rsid w:val="002475F4"/>
    <w:rsid w:val="00247993"/>
    <w:rsid w:val="00247F59"/>
    <w:rsid w:val="0025043E"/>
    <w:rsid w:val="00250D5C"/>
    <w:rsid w:val="0025169E"/>
    <w:rsid w:val="00253446"/>
    <w:rsid w:val="00253701"/>
    <w:rsid w:val="00253A7C"/>
    <w:rsid w:val="00254149"/>
    <w:rsid w:val="00254F6E"/>
    <w:rsid w:val="0025656F"/>
    <w:rsid w:val="002574D7"/>
    <w:rsid w:val="00257B22"/>
    <w:rsid w:val="00262FD4"/>
    <w:rsid w:val="002665E4"/>
    <w:rsid w:val="002673AF"/>
    <w:rsid w:val="00270437"/>
    <w:rsid w:val="0027067C"/>
    <w:rsid w:val="00270D09"/>
    <w:rsid w:val="00270FE1"/>
    <w:rsid w:val="00271ABB"/>
    <w:rsid w:val="0027281A"/>
    <w:rsid w:val="00272DEC"/>
    <w:rsid w:val="002759A2"/>
    <w:rsid w:val="00275EA8"/>
    <w:rsid w:val="00276204"/>
    <w:rsid w:val="0027648D"/>
    <w:rsid w:val="00276C58"/>
    <w:rsid w:val="00280E45"/>
    <w:rsid w:val="002810F8"/>
    <w:rsid w:val="00282504"/>
    <w:rsid w:val="00283767"/>
    <w:rsid w:val="00287D26"/>
    <w:rsid w:val="002901A4"/>
    <w:rsid w:val="00290D50"/>
    <w:rsid w:val="00291105"/>
    <w:rsid w:val="002936B7"/>
    <w:rsid w:val="0029442F"/>
    <w:rsid w:val="0029533C"/>
    <w:rsid w:val="0029595B"/>
    <w:rsid w:val="00295A34"/>
    <w:rsid w:val="0029638B"/>
    <w:rsid w:val="00296501"/>
    <w:rsid w:val="00297034"/>
    <w:rsid w:val="002975BF"/>
    <w:rsid w:val="0029799B"/>
    <w:rsid w:val="002A0906"/>
    <w:rsid w:val="002A1CD2"/>
    <w:rsid w:val="002A2B5C"/>
    <w:rsid w:val="002A2B93"/>
    <w:rsid w:val="002A4898"/>
    <w:rsid w:val="002A4F6F"/>
    <w:rsid w:val="002A5411"/>
    <w:rsid w:val="002A5D4C"/>
    <w:rsid w:val="002A6206"/>
    <w:rsid w:val="002B01D6"/>
    <w:rsid w:val="002B2CE9"/>
    <w:rsid w:val="002B2F3A"/>
    <w:rsid w:val="002B5E0D"/>
    <w:rsid w:val="002B6471"/>
    <w:rsid w:val="002B7A62"/>
    <w:rsid w:val="002C00FF"/>
    <w:rsid w:val="002C30F7"/>
    <w:rsid w:val="002C4340"/>
    <w:rsid w:val="002C4F66"/>
    <w:rsid w:val="002C61E4"/>
    <w:rsid w:val="002C65FF"/>
    <w:rsid w:val="002C698C"/>
    <w:rsid w:val="002C75BE"/>
    <w:rsid w:val="002D157C"/>
    <w:rsid w:val="002D3A86"/>
    <w:rsid w:val="002D40BF"/>
    <w:rsid w:val="002D6B6F"/>
    <w:rsid w:val="002D7A77"/>
    <w:rsid w:val="002D7BE8"/>
    <w:rsid w:val="002E098C"/>
    <w:rsid w:val="002E22C8"/>
    <w:rsid w:val="002E3E40"/>
    <w:rsid w:val="002E474B"/>
    <w:rsid w:val="002E76EF"/>
    <w:rsid w:val="002E7E70"/>
    <w:rsid w:val="002F08C6"/>
    <w:rsid w:val="002F14E3"/>
    <w:rsid w:val="002F24F3"/>
    <w:rsid w:val="002F2754"/>
    <w:rsid w:val="002F27B6"/>
    <w:rsid w:val="002F2CD7"/>
    <w:rsid w:val="002F37CB"/>
    <w:rsid w:val="002F4ADA"/>
    <w:rsid w:val="002F5465"/>
    <w:rsid w:val="002F7AD0"/>
    <w:rsid w:val="002F7EF3"/>
    <w:rsid w:val="0030169A"/>
    <w:rsid w:val="003018BC"/>
    <w:rsid w:val="0030198D"/>
    <w:rsid w:val="00303A7C"/>
    <w:rsid w:val="00306123"/>
    <w:rsid w:val="00307CF1"/>
    <w:rsid w:val="0031007D"/>
    <w:rsid w:val="003107DD"/>
    <w:rsid w:val="00311B9B"/>
    <w:rsid w:val="00311CDC"/>
    <w:rsid w:val="00311CFF"/>
    <w:rsid w:val="0031279C"/>
    <w:rsid w:val="00313380"/>
    <w:rsid w:val="00313E93"/>
    <w:rsid w:val="003142BE"/>
    <w:rsid w:val="0031536A"/>
    <w:rsid w:val="003157D1"/>
    <w:rsid w:val="00317222"/>
    <w:rsid w:val="0031763C"/>
    <w:rsid w:val="00321555"/>
    <w:rsid w:val="00322799"/>
    <w:rsid w:val="003241F1"/>
    <w:rsid w:val="00324777"/>
    <w:rsid w:val="00324984"/>
    <w:rsid w:val="00325EB2"/>
    <w:rsid w:val="00327E3D"/>
    <w:rsid w:val="003301E5"/>
    <w:rsid w:val="00333BB7"/>
    <w:rsid w:val="00334CC7"/>
    <w:rsid w:val="003355B7"/>
    <w:rsid w:val="00335844"/>
    <w:rsid w:val="00336333"/>
    <w:rsid w:val="00336C72"/>
    <w:rsid w:val="0034044F"/>
    <w:rsid w:val="00343634"/>
    <w:rsid w:val="00343A1D"/>
    <w:rsid w:val="00343D9C"/>
    <w:rsid w:val="00344987"/>
    <w:rsid w:val="00345839"/>
    <w:rsid w:val="003459A8"/>
    <w:rsid w:val="003463EF"/>
    <w:rsid w:val="00346AF1"/>
    <w:rsid w:val="00347CFE"/>
    <w:rsid w:val="0035121B"/>
    <w:rsid w:val="003527A5"/>
    <w:rsid w:val="00352A69"/>
    <w:rsid w:val="00352D4E"/>
    <w:rsid w:val="00353D74"/>
    <w:rsid w:val="0035556C"/>
    <w:rsid w:val="0035574A"/>
    <w:rsid w:val="00356466"/>
    <w:rsid w:val="00357CF3"/>
    <w:rsid w:val="00360A1D"/>
    <w:rsid w:val="00360ACB"/>
    <w:rsid w:val="00361670"/>
    <w:rsid w:val="00361811"/>
    <w:rsid w:val="00363155"/>
    <w:rsid w:val="00363B02"/>
    <w:rsid w:val="00364024"/>
    <w:rsid w:val="003642B6"/>
    <w:rsid w:val="003649C7"/>
    <w:rsid w:val="00365BD8"/>
    <w:rsid w:val="0036763F"/>
    <w:rsid w:val="003676C5"/>
    <w:rsid w:val="0037102A"/>
    <w:rsid w:val="003716BF"/>
    <w:rsid w:val="00371760"/>
    <w:rsid w:val="00372E14"/>
    <w:rsid w:val="00372FB1"/>
    <w:rsid w:val="003731C2"/>
    <w:rsid w:val="003758BE"/>
    <w:rsid w:val="00375BC2"/>
    <w:rsid w:val="00376869"/>
    <w:rsid w:val="003768B2"/>
    <w:rsid w:val="003778E8"/>
    <w:rsid w:val="00380598"/>
    <w:rsid w:val="00380ED1"/>
    <w:rsid w:val="00381B01"/>
    <w:rsid w:val="00382099"/>
    <w:rsid w:val="00382317"/>
    <w:rsid w:val="003829D9"/>
    <w:rsid w:val="00383B17"/>
    <w:rsid w:val="00384A92"/>
    <w:rsid w:val="003854F3"/>
    <w:rsid w:val="00385956"/>
    <w:rsid w:val="00386518"/>
    <w:rsid w:val="00391A61"/>
    <w:rsid w:val="00397B1C"/>
    <w:rsid w:val="00397E86"/>
    <w:rsid w:val="003A01CC"/>
    <w:rsid w:val="003A027C"/>
    <w:rsid w:val="003A0ECA"/>
    <w:rsid w:val="003A1388"/>
    <w:rsid w:val="003A14BA"/>
    <w:rsid w:val="003A1D20"/>
    <w:rsid w:val="003A258C"/>
    <w:rsid w:val="003A40E7"/>
    <w:rsid w:val="003A4472"/>
    <w:rsid w:val="003A5DC1"/>
    <w:rsid w:val="003A66AB"/>
    <w:rsid w:val="003A78B7"/>
    <w:rsid w:val="003B06A2"/>
    <w:rsid w:val="003B0EA2"/>
    <w:rsid w:val="003B13BE"/>
    <w:rsid w:val="003B24AF"/>
    <w:rsid w:val="003B5B12"/>
    <w:rsid w:val="003B5BD6"/>
    <w:rsid w:val="003B5D7B"/>
    <w:rsid w:val="003B5F19"/>
    <w:rsid w:val="003B6A79"/>
    <w:rsid w:val="003B72E5"/>
    <w:rsid w:val="003C0E0B"/>
    <w:rsid w:val="003C1220"/>
    <w:rsid w:val="003C29E7"/>
    <w:rsid w:val="003C2C2C"/>
    <w:rsid w:val="003C3A7B"/>
    <w:rsid w:val="003C5333"/>
    <w:rsid w:val="003C5626"/>
    <w:rsid w:val="003C6339"/>
    <w:rsid w:val="003C6B76"/>
    <w:rsid w:val="003C6D3A"/>
    <w:rsid w:val="003D0DB0"/>
    <w:rsid w:val="003D3B92"/>
    <w:rsid w:val="003D4056"/>
    <w:rsid w:val="003D415D"/>
    <w:rsid w:val="003D46D1"/>
    <w:rsid w:val="003D5FAD"/>
    <w:rsid w:val="003E1356"/>
    <w:rsid w:val="003E4925"/>
    <w:rsid w:val="003E58E5"/>
    <w:rsid w:val="003E67CA"/>
    <w:rsid w:val="003E7C9B"/>
    <w:rsid w:val="003E7D25"/>
    <w:rsid w:val="003F0417"/>
    <w:rsid w:val="003F19AA"/>
    <w:rsid w:val="003F1A0D"/>
    <w:rsid w:val="003F36ED"/>
    <w:rsid w:val="003F428A"/>
    <w:rsid w:val="003F5AB0"/>
    <w:rsid w:val="003F5BC2"/>
    <w:rsid w:val="003F6324"/>
    <w:rsid w:val="00400F91"/>
    <w:rsid w:val="00402338"/>
    <w:rsid w:val="0040272E"/>
    <w:rsid w:val="00403958"/>
    <w:rsid w:val="00404C6D"/>
    <w:rsid w:val="00405A9D"/>
    <w:rsid w:val="00406843"/>
    <w:rsid w:val="00406CCB"/>
    <w:rsid w:val="00406E3F"/>
    <w:rsid w:val="00406E48"/>
    <w:rsid w:val="004137F3"/>
    <w:rsid w:val="00415470"/>
    <w:rsid w:val="00416388"/>
    <w:rsid w:val="0041692D"/>
    <w:rsid w:val="00417D4F"/>
    <w:rsid w:val="004207AF"/>
    <w:rsid w:val="004208A8"/>
    <w:rsid w:val="00420D65"/>
    <w:rsid w:val="004223F4"/>
    <w:rsid w:val="004224DB"/>
    <w:rsid w:val="00424E3C"/>
    <w:rsid w:val="00427087"/>
    <w:rsid w:val="004300B5"/>
    <w:rsid w:val="00430E6B"/>
    <w:rsid w:val="0043103D"/>
    <w:rsid w:val="00431912"/>
    <w:rsid w:val="004342C9"/>
    <w:rsid w:val="00435B06"/>
    <w:rsid w:val="00436A49"/>
    <w:rsid w:val="00436DE1"/>
    <w:rsid w:val="00440412"/>
    <w:rsid w:val="004410FF"/>
    <w:rsid w:val="00443674"/>
    <w:rsid w:val="00443769"/>
    <w:rsid w:val="00443935"/>
    <w:rsid w:val="004442B3"/>
    <w:rsid w:val="004446EF"/>
    <w:rsid w:val="00444A73"/>
    <w:rsid w:val="00445986"/>
    <w:rsid w:val="00446613"/>
    <w:rsid w:val="0044662E"/>
    <w:rsid w:val="00447654"/>
    <w:rsid w:val="004476BD"/>
    <w:rsid w:val="004476E6"/>
    <w:rsid w:val="004513F9"/>
    <w:rsid w:val="004529F7"/>
    <w:rsid w:val="00452F36"/>
    <w:rsid w:val="00453130"/>
    <w:rsid w:val="0045394E"/>
    <w:rsid w:val="00453C73"/>
    <w:rsid w:val="00454AB2"/>
    <w:rsid w:val="00454B5D"/>
    <w:rsid w:val="00455B44"/>
    <w:rsid w:val="00456FA3"/>
    <w:rsid w:val="0045754E"/>
    <w:rsid w:val="0046086D"/>
    <w:rsid w:val="00461466"/>
    <w:rsid w:val="004621FC"/>
    <w:rsid w:val="004624DE"/>
    <w:rsid w:val="00462CC5"/>
    <w:rsid w:val="004640E1"/>
    <w:rsid w:val="00464491"/>
    <w:rsid w:val="00465DE3"/>
    <w:rsid w:val="004668C7"/>
    <w:rsid w:val="0047305B"/>
    <w:rsid w:val="004755C3"/>
    <w:rsid w:val="00475A0F"/>
    <w:rsid w:val="00475FF7"/>
    <w:rsid w:val="004766C8"/>
    <w:rsid w:val="00476B16"/>
    <w:rsid w:val="004771A7"/>
    <w:rsid w:val="00477DF1"/>
    <w:rsid w:val="004805E1"/>
    <w:rsid w:val="0048088F"/>
    <w:rsid w:val="0048194E"/>
    <w:rsid w:val="00481A4B"/>
    <w:rsid w:val="004852F8"/>
    <w:rsid w:val="004864A7"/>
    <w:rsid w:val="00486D4E"/>
    <w:rsid w:val="004902F5"/>
    <w:rsid w:val="00492B91"/>
    <w:rsid w:val="0049352F"/>
    <w:rsid w:val="00493D28"/>
    <w:rsid w:val="00495099"/>
    <w:rsid w:val="004964CB"/>
    <w:rsid w:val="004A1557"/>
    <w:rsid w:val="004A40B9"/>
    <w:rsid w:val="004A465C"/>
    <w:rsid w:val="004A6204"/>
    <w:rsid w:val="004A67AF"/>
    <w:rsid w:val="004A73CD"/>
    <w:rsid w:val="004A791C"/>
    <w:rsid w:val="004B0C70"/>
    <w:rsid w:val="004B0D1F"/>
    <w:rsid w:val="004B10CD"/>
    <w:rsid w:val="004B2765"/>
    <w:rsid w:val="004B2A37"/>
    <w:rsid w:val="004B30E9"/>
    <w:rsid w:val="004B3309"/>
    <w:rsid w:val="004B362E"/>
    <w:rsid w:val="004B3835"/>
    <w:rsid w:val="004B43B7"/>
    <w:rsid w:val="004B6984"/>
    <w:rsid w:val="004C01CB"/>
    <w:rsid w:val="004C05F2"/>
    <w:rsid w:val="004C223F"/>
    <w:rsid w:val="004C2689"/>
    <w:rsid w:val="004C2B0F"/>
    <w:rsid w:val="004C407E"/>
    <w:rsid w:val="004C4AB1"/>
    <w:rsid w:val="004C7A15"/>
    <w:rsid w:val="004D11B7"/>
    <w:rsid w:val="004D3F97"/>
    <w:rsid w:val="004D52E2"/>
    <w:rsid w:val="004D55CE"/>
    <w:rsid w:val="004D57A0"/>
    <w:rsid w:val="004D61D0"/>
    <w:rsid w:val="004D69B9"/>
    <w:rsid w:val="004E0086"/>
    <w:rsid w:val="004E0448"/>
    <w:rsid w:val="004E0508"/>
    <w:rsid w:val="004E0791"/>
    <w:rsid w:val="004E0DB8"/>
    <w:rsid w:val="004E1C15"/>
    <w:rsid w:val="004E411E"/>
    <w:rsid w:val="004E44CC"/>
    <w:rsid w:val="004E4850"/>
    <w:rsid w:val="004E5CA5"/>
    <w:rsid w:val="004E60AA"/>
    <w:rsid w:val="004E635C"/>
    <w:rsid w:val="004E640D"/>
    <w:rsid w:val="004E7D70"/>
    <w:rsid w:val="004F0E19"/>
    <w:rsid w:val="004F176F"/>
    <w:rsid w:val="004F345D"/>
    <w:rsid w:val="004F354D"/>
    <w:rsid w:val="004F6977"/>
    <w:rsid w:val="004F6AD2"/>
    <w:rsid w:val="004F7B32"/>
    <w:rsid w:val="00500F3C"/>
    <w:rsid w:val="00501FA2"/>
    <w:rsid w:val="005034FC"/>
    <w:rsid w:val="00503F67"/>
    <w:rsid w:val="005045FB"/>
    <w:rsid w:val="005055E2"/>
    <w:rsid w:val="00506448"/>
    <w:rsid w:val="005106D5"/>
    <w:rsid w:val="00510994"/>
    <w:rsid w:val="005112F3"/>
    <w:rsid w:val="005126E8"/>
    <w:rsid w:val="0051591D"/>
    <w:rsid w:val="005171DA"/>
    <w:rsid w:val="00517BF1"/>
    <w:rsid w:val="00520645"/>
    <w:rsid w:val="00520920"/>
    <w:rsid w:val="0052107B"/>
    <w:rsid w:val="00521372"/>
    <w:rsid w:val="00523184"/>
    <w:rsid w:val="0052357A"/>
    <w:rsid w:val="00523AEC"/>
    <w:rsid w:val="00530CE7"/>
    <w:rsid w:val="005316A8"/>
    <w:rsid w:val="00531DBF"/>
    <w:rsid w:val="00535C65"/>
    <w:rsid w:val="005366E1"/>
    <w:rsid w:val="00536DF1"/>
    <w:rsid w:val="00540FEC"/>
    <w:rsid w:val="005414D6"/>
    <w:rsid w:val="00541F83"/>
    <w:rsid w:val="00542867"/>
    <w:rsid w:val="00542E00"/>
    <w:rsid w:val="005430C7"/>
    <w:rsid w:val="00543809"/>
    <w:rsid w:val="00543CB6"/>
    <w:rsid w:val="005446B0"/>
    <w:rsid w:val="005465AC"/>
    <w:rsid w:val="0054690E"/>
    <w:rsid w:val="00546B8F"/>
    <w:rsid w:val="005475A9"/>
    <w:rsid w:val="00547E4F"/>
    <w:rsid w:val="00550074"/>
    <w:rsid w:val="00551DFC"/>
    <w:rsid w:val="0055211A"/>
    <w:rsid w:val="005526CA"/>
    <w:rsid w:val="00552F55"/>
    <w:rsid w:val="0055455F"/>
    <w:rsid w:val="00555BCD"/>
    <w:rsid w:val="005605F8"/>
    <w:rsid w:val="005633D7"/>
    <w:rsid w:val="0056343B"/>
    <w:rsid w:val="00563DD5"/>
    <w:rsid w:val="005650C2"/>
    <w:rsid w:val="00565484"/>
    <w:rsid w:val="00565A8C"/>
    <w:rsid w:val="00565EF8"/>
    <w:rsid w:val="005727B7"/>
    <w:rsid w:val="00574068"/>
    <w:rsid w:val="00574682"/>
    <w:rsid w:val="0057682D"/>
    <w:rsid w:val="005807B2"/>
    <w:rsid w:val="00580954"/>
    <w:rsid w:val="00581DAF"/>
    <w:rsid w:val="00582FCA"/>
    <w:rsid w:val="005833B5"/>
    <w:rsid w:val="00583A5C"/>
    <w:rsid w:val="00583C23"/>
    <w:rsid w:val="00584238"/>
    <w:rsid w:val="005850D6"/>
    <w:rsid w:val="0058565E"/>
    <w:rsid w:val="005859D3"/>
    <w:rsid w:val="0058643C"/>
    <w:rsid w:val="00586EDA"/>
    <w:rsid w:val="0058757D"/>
    <w:rsid w:val="005927CD"/>
    <w:rsid w:val="00592F0D"/>
    <w:rsid w:val="0059343A"/>
    <w:rsid w:val="005946B8"/>
    <w:rsid w:val="00595F94"/>
    <w:rsid w:val="00596297"/>
    <w:rsid w:val="005964EC"/>
    <w:rsid w:val="00596E98"/>
    <w:rsid w:val="005971FD"/>
    <w:rsid w:val="0059746C"/>
    <w:rsid w:val="005A0661"/>
    <w:rsid w:val="005A129B"/>
    <w:rsid w:val="005A1DA9"/>
    <w:rsid w:val="005A1FDF"/>
    <w:rsid w:val="005A4F1F"/>
    <w:rsid w:val="005A5411"/>
    <w:rsid w:val="005A6732"/>
    <w:rsid w:val="005A6BD9"/>
    <w:rsid w:val="005A6F0F"/>
    <w:rsid w:val="005B0458"/>
    <w:rsid w:val="005B143F"/>
    <w:rsid w:val="005B1DF6"/>
    <w:rsid w:val="005B213E"/>
    <w:rsid w:val="005B216A"/>
    <w:rsid w:val="005B2AC3"/>
    <w:rsid w:val="005B49EB"/>
    <w:rsid w:val="005B6992"/>
    <w:rsid w:val="005B7AC1"/>
    <w:rsid w:val="005B7FA4"/>
    <w:rsid w:val="005C043C"/>
    <w:rsid w:val="005C1F34"/>
    <w:rsid w:val="005C3296"/>
    <w:rsid w:val="005C528B"/>
    <w:rsid w:val="005C70CC"/>
    <w:rsid w:val="005D2CB5"/>
    <w:rsid w:val="005D37A8"/>
    <w:rsid w:val="005D386F"/>
    <w:rsid w:val="005D3969"/>
    <w:rsid w:val="005D726C"/>
    <w:rsid w:val="005D72C1"/>
    <w:rsid w:val="005E1AFA"/>
    <w:rsid w:val="005E28E6"/>
    <w:rsid w:val="005E4813"/>
    <w:rsid w:val="005E6E82"/>
    <w:rsid w:val="005E7DDA"/>
    <w:rsid w:val="005F0A97"/>
    <w:rsid w:val="005F1051"/>
    <w:rsid w:val="005F6167"/>
    <w:rsid w:val="005F7150"/>
    <w:rsid w:val="005F7CCD"/>
    <w:rsid w:val="0060041E"/>
    <w:rsid w:val="00601855"/>
    <w:rsid w:val="006026FD"/>
    <w:rsid w:val="006031DC"/>
    <w:rsid w:val="00604425"/>
    <w:rsid w:val="0060535C"/>
    <w:rsid w:val="0060542A"/>
    <w:rsid w:val="006061C8"/>
    <w:rsid w:val="00607010"/>
    <w:rsid w:val="00607538"/>
    <w:rsid w:val="006102B7"/>
    <w:rsid w:val="00613D71"/>
    <w:rsid w:val="0061459D"/>
    <w:rsid w:val="006243E7"/>
    <w:rsid w:val="006254F3"/>
    <w:rsid w:val="00625C51"/>
    <w:rsid w:val="00625F00"/>
    <w:rsid w:val="006266EB"/>
    <w:rsid w:val="00627144"/>
    <w:rsid w:val="00627321"/>
    <w:rsid w:val="00627D30"/>
    <w:rsid w:val="006313EC"/>
    <w:rsid w:val="006326CB"/>
    <w:rsid w:val="0063507E"/>
    <w:rsid w:val="00635319"/>
    <w:rsid w:val="0063603C"/>
    <w:rsid w:val="00636176"/>
    <w:rsid w:val="0063697C"/>
    <w:rsid w:val="006369CC"/>
    <w:rsid w:val="006374EF"/>
    <w:rsid w:val="00640174"/>
    <w:rsid w:val="00640E45"/>
    <w:rsid w:val="006428C7"/>
    <w:rsid w:val="00642EAE"/>
    <w:rsid w:val="00643275"/>
    <w:rsid w:val="00643E16"/>
    <w:rsid w:val="00645391"/>
    <w:rsid w:val="00646631"/>
    <w:rsid w:val="00646BFA"/>
    <w:rsid w:val="00646F06"/>
    <w:rsid w:val="00647F26"/>
    <w:rsid w:val="00651697"/>
    <w:rsid w:val="00652737"/>
    <w:rsid w:val="00652D37"/>
    <w:rsid w:val="006536D6"/>
    <w:rsid w:val="00654653"/>
    <w:rsid w:val="006555AD"/>
    <w:rsid w:val="006560FF"/>
    <w:rsid w:val="00657569"/>
    <w:rsid w:val="00661118"/>
    <w:rsid w:val="00662875"/>
    <w:rsid w:val="00663399"/>
    <w:rsid w:val="00663870"/>
    <w:rsid w:val="00663C71"/>
    <w:rsid w:val="006640F9"/>
    <w:rsid w:val="006641C6"/>
    <w:rsid w:val="006647CF"/>
    <w:rsid w:val="00664E25"/>
    <w:rsid w:val="006656A2"/>
    <w:rsid w:val="006656BA"/>
    <w:rsid w:val="00665738"/>
    <w:rsid w:val="00666247"/>
    <w:rsid w:val="006679EB"/>
    <w:rsid w:val="00672A26"/>
    <w:rsid w:val="00674C5F"/>
    <w:rsid w:val="00674F5E"/>
    <w:rsid w:val="00675866"/>
    <w:rsid w:val="006763B3"/>
    <w:rsid w:val="006765BB"/>
    <w:rsid w:val="006778A5"/>
    <w:rsid w:val="00677A19"/>
    <w:rsid w:val="00680491"/>
    <w:rsid w:val="00682F0F"/>
    <w:rsid w:val="006830A1"/>
    <w:rsid w:val="00683222"/>
    <w:rsid w:val="00683387"/>
    <w:rsid w:val="00686A7A"/>
    <w:rsid w:val="00686F46"/>
    <w:rsid w:val="00687B51"/>
    <w:rsid w:val="006900BC"/>
    <w:rsid w:val="006907CD"/>
    <w:rsid w:val="00690B47"/>
    <w:rsid w:val="006919C3"/>
    <w:rsid w:val="00692DDF"/>
    <w:rsid w:val="0069376A"/>
    <w:rsid w:val="00694AAB"/>
    <w:rsid w:val="00694BF0"/>
    <w:rsid w:val="00697F32"/>
    <w:rsid w:val="006A14CE"/>
    <w:rsid w:val="006A1725"/>
    <w:rsid w:val="006A1854"/>
    <w:rsid w:val="006A5EAE"/>
    <w:rsid w:val="006A61E5"/>
    <w:rsid w:val="006A7616"/>
    <w:rsid w:val="006A76FE"/>
    <w:rsid w:val="006B46DC"/>
    <w:rsid w:val="006B666A"/>
    <w:rsid w:val="006B74E9"/>
    <w:rsid w:val="006B755E"/>
    <w:rsid w:val="006B7F89"/>
    <w:rsid w:val="006C05F3"/>
    <w:rsid w:val="006C0C8E"/>
    <w:rsid w:val="006C2A54"/>
    <w:rsid w:val="006C3846"/>
    <w:rsid w:val="006C4725"/>
    <w:rsid w:val="006C62A8"/>
    <w:rsid w:val="006D13F5"/>
    <w:rsid w:val="006D1FA6"/>
    <w:rsid w:val="006D21F0"/>
    <w:rsid w:val="006D2952"/>
    <w:rsid w:val="006D3090"/>
    <w:rsid w:val="006D386C"/>
    <w:rsid w:val="006D3EDC"/>
    <w:rsid w:val="006D4845"/>
    <w:rsid w:val="006D5CDB"/>
    <w:rsid w:val="006D6ADF"/>
    <w:rsid w:val="006D6BD7"/>
    <w:rsid w:val="006D7839"/>
    <w:rsid w:val="006E02B1"/>
    <w:rsid w:val="006E0414"/>
    <w:rsid w:val="006E06C4"/>
    <w:rsid w:val="006E1084"/>
    <w:rsid w:val="006E157D"/>
    <w:rsid w:val="006E34FF"/>
    <w:rsid w:val="006E60D0"/>
    <w:rsid w:val="006E6DDB"/>
    <w:rsid w:val="006F0AC4"/>
    <w:rsid w:val="006F2128"/>
    <w:rsid w:val="006F2CEE"/>
    <w:rsid w:val="006F4297"/>
    <w:rsid w:val="006F5195"/>
    <w:rsid w:val="006F61C3"/>
    <w:rsid w:val="006F730A"/>
    <w:rsid w:val="006F7546"/>
    <w:rsid w:val="00700495"/>
    <w:rsid w:val="00701907"/>
    <w:rsid w:val="0070375B"/>
    <w:rsid w:val="00704686"/>
    <w:rsid w:val="007064D1"/>
    <w:rsid w:val="00706C75"/>
    <w:rsid w:val="00707EEA"/>
    <w:rsid w:val="007106FF"/>
    <w:rsid w:val="00710932"/>
    <w:rsid w:val="00711C46"/>
    <w:rsid w:val="0071220C"/>
    <w:rsid w:val="00714BDB"/>
    <w:rsid w:val="00714E63"/>
    <w:rsid w:val="0071751C"/>
    <w:rsid w:val="007178AF"/>
    <w:rsid w:val="007259AE"/>
    <w:rsid w:val="00725BFA"/>
    <w:rsid w:val="00726131"/>
    <w:rsid w:val="007269A4"/>
    <w:rsid w:val="00732632"/>
    <w:rsid w:val="00732BD2"/>
    <w:rsid w:val="00733AA3"/>
    <w:rsid w:val="00733D68"/>
    <w:rsid w:val="00733E60"/>
    <w:rsid w:val="00734BF0"/>
    <w:rsid w:val="007358D4"/>
    <w:rsid w:val="00737B33"/>
    <w:rsid w:val="00737D3F"/>
    <w:rsid w:val="0074025C"/>
    <w:rsid w:val="00742808"/>
    <w:rsid w:val="0074297D"/>
    <w:rsid w:val="00743951"/>
    <w:rsid w:val="0074407F"/>
    <w:rsid w:val="007453C6"/>
    <w:rsid w:val="00745C40"/>
    <w:rsid w:val="00746488"/>
    <w:rsid w:val="00746653"/>
    <w:rsid w:val="0074680B"/>
    <w:rsid w:val="007475D7"/>
    <w:rsid w:val="00750CFD"/>
    <w:rsid w:val="007532C7"/>
    <w:rsid w:val="00753442"/>
    <w:rsid w:val="00754000"/>
    <w:rsid w:val="0075534B"/>
    <w:rsid w:val="0075586C"/>
    <w:rsid w:val="007561EF"/>
    <w:rsid w:val="0075646B"/>
    <w:rsid w:val="00757C0C"/>
    <w:rsid w:val="00760447"/>
    <w:rsid w:val="00760C76"/>
    <w:rsid w:val="0076115B"/>
    <w:rsid w:val="007623A6"/>
    <w:rsid w:val="007644D4"/>
    <w:rsid w:val="007676D8"/>
    <w:rsid w:val="00767E50"/>
    <w:rsid w:val="00770BE0"/>
    <w:rsid w:val="00771BDB"/>
    <w:rsid w:val="00774DD6"/>
    <w:rsid w:val="00775BE5"/>
    <w:rsid w:val="007773D4"/>
    <w:rsid w:val="0077782A"/>
    <w:rsid w:val="007806EF"/>
    <w:rsid w:val="007830DD"/>
    <w:rsid w:val="0078437C"/>
    <w:rsid w:val="00784AE6"/>
    <w:rsid w:val="00784CA4"/>
    <w:rsid w:val="00784D51"/>
    <w:rsid w:val="0078521D"/>
    <w:rsid w:val="0078535A"/>
    <w:rsid w:val="007859D4"/>
    <w:rsid w:val="007864CA"/>
    <w:rsid w:val="00787769"/>
    <w:rsid w:val="007909DF"/>
    <w:rsid w:val="00794040"/>
    <w:rsid w:val="0079507F"/>
    <w:rsid w:val="00795703"/>
    <w:rsid w:val="00797162"/>
    <w:rsid w:val="007A030A"/>
    <w:rsid w:val="007A0608"/>
    <w:rsid w:val="007A1A61"/>
    <w:rsid w:val="007A2172"/>
    <w:rsid w:val="007A2E2A"/>
    <w:rsid w:val="007A31E6"/>
    <w:rsid w:val="007A3201"/>
    <w:rsid w:val="007A4296"/>
    <w:rsid w:val="007A4477"/>
    <w:rsid w:val="007A4951"/>
    <w:rsid w:val="007A69E3"/>
    <w:rsid w:val="007A7D92"/>
    <w:rsid w:val="007B1D8C"/>
    <w:rsid w:val="007B2424"/>
    <w:rsid w:val="007B39B5"/>
    <w:rsid w:val="007B44B7"/>
    <w:rsid w:val="007B47F3"/>
    <w:rsid w:val="007B76CF"/>
    <w:rsid w:val="007C06DB"/>
    <w:rsid w:val="007C07F2"/>
    <w:rsid w:val="007C1F9B"/>
    <w:rsid w:val="007C442F"/>
    <w:rsid w:val="007C7F1C"/>
    <w:rsid w:val="007D194E"/>
    <w:rsid w:val="007D19D1"/>
    <w:rsid w:val="007D26D0"/>
    <w:rsid w:val="007D2F6E"/>
    <w:rsid w:val="007D31FD"/>
    <w:rsid w:val="007D4096"/>
    <w:rsid w:val="007D47F1"/>
    <w:rsid w:val="007D502C"/>
    <w:rsid w:val="007D5FE6"/>
    <w:rsid w:val="007D71B9"/>
    <w:rsid w:val="007D79F3"/>
    <w:rsid w:val="007E03DA"/>
    <w:rsid w:val="007E21C1"/>
    <w:rsid w:val="007E37B6"/>
    <w:rsid w:val="007E7CC7"/>
    <w:rsid w:val="007F0892"/>
    <w:rsid w:val="007F12B7"/>
    <w:rsid w:val="007F1647"/>
    <w:rsid w:val="007F1AEC"/>
    <w:rsid w:val="007F1EC8"/>
    <w:rsid w:val="007F25A9"/>
    <w:rsid w:val="007F33A7"/>
    <w:rsid w:val="007F40D3"/>
    <w:rsid w:val="007F539D"/>
    <w:rsid w:val="007F5717"/>
    <w:rsid w:val="007F5EF2"/>
    <w:rsid w:val="00800944"/>
    <w:rsid w:val="00801036"/>
    <w:rsid w:val="00801575"/>
    <w:rsid w:val="00804AE3"/>
    <w:rsid w:val="00804B83"/>
    <w:rsid w:val="00804F81"/>
    <w:rsid w:val="00805853"/>
    <w:rsid w:val="00807AA6"/>
    <w:rsid w:val="00810FF6"/>
    <w:rsid w:val="0081368C"/>
    <w:rsid w:val="00813C37"/>
    <w:rsid w:val="00813D5B"/>
    <w:rsid w:val="008147EC"/>
    <w:rsid w:val="00815D71"/>
    <w:rsid w:val="008164DC"/>
    <w:rsid w:val="008174D5"/>
    <w:rsid w:val="00817DF4"/>
    <w:rsid w:val="00820836"/>
    <w:rsid w:val="008231BA"/>
    <w:rsid w:val="00824E2B"/>
    <w:rsid w:val="00826980"/>
    <w:rsid w:val="00826D2F"/>
    <w:rsid w:val="0082721B"/>
    <w:rsid w:val="008306DE"/>
    <w:rsid w:val="00830FB6"/>
    <w:rsid w:val="008313B2"/>
    <w:rsid w:val="00832276"/>
    <w:rsid w:val="00832B98"/>
    <w:rsid w:val="00833512"/>
    <w:rsid w:val="00835309"/>
    <w:rsid w:val="00837F0A"/>
    <w:rsid w:val="00840112"/>
    <w:rsid w:val="00840140"/>
    <w:rsid w:val="00840199"/>
    <w:rsid w:val="008405A7"/>
    <w:rsid w:val="00841134"/>
    <w:rsid w:val="0084151A"/>
    <w:rsid w:val="00842423"/>
    <w:rsid w:val="00843DEE"/>
    <w:rsid w:val="00845419"/>
    <w:rsid w:val="00846055"/>
    <w:rsid w:val="00847405"/>
    <w:rsid w:val="00850132"/>
    <w:rsid w:val="008516FA"/>
    <w:rsid w:val="00853B1B"/>
    <w:rsid w:val="00855A00"/>
    <w:rsid w:val="00856495"/>
    <w:rsid w:val="0085721D"/>
    <w:rsid w:val="008577D4"/>
    <w:rsid w:val="0086059E"/>
    <w:rsid w:val="00860DDC"/>
    <w:rsid w:val="00862065"/>
    <w:rsid w:val="00863DB6"/>
    <w:rsid w:val="00863FD0"/>
    <w:rsid w:val="008644A7"/>
    <w:rsid w:val="008657F9"/>
    <w:rsid w:val="00865B14"/>
    <w:rsid w:val="00866479"/>
    <w:rsid w:val="00866FAD"/>
    <w:rsid w:val="00871667"/>
    <w:rsid w:val="008720D8"/>
    <w:rsid w:val="0087367F"/>
    <w:rsid w:val="00873A06"/>
    <w:rsid w:val="00874D70"/>
    <w:rsid w:val="00875555"/>
    <w:rsid w:val="00876C5D"/>
    <w:rsid w:val="00880915"/>
    <w:rsid w:val="00881282"/>
    <w:rsid w:val="00883E6C"/>
    <w:rsid w:val="00885AD4"/>
    <w:rsid w:val="008862B5"/>
    <w:rsid w:val="0088721E"/>
    <w:rsid w:val="0088740B"/>
    <w:rsid w:val="00887544"/>
    <w:rsid w:val="0089060D"/>
    <w:rsid w:val="008908F5"/>
    <w:rsid w:val="00890A4C"/>
    <w:rsid w:val="00890DDA"/>
    <w:rsid w:val="00891513"/>
    <w:rsid w:val="00891914"/>
    <w:rsid w:val="0089402E"/>
    <w:rsid w:val="008945FD"/>
    <w:rsid w:val="008951AC"/>
    <w:rsid w:val="00895402"/>
    <w:rsid w:val="008961B7"/>
    <w:rsid w:val="0089654C"/>
    <w:rsid w:val="00896708"/>
    <w:rsid w:val="0089677E"/>
    <w:rsid w:val="008978CC"/>
    <w:rsid w:val="00897E6F"/>
    <w:rsid w:val="008A0D16"/>
    <w:rsid w:val="008A1673"/>
    <w:rsid w:val="008A1F71"/>
    <w:rsid w:val="008A226B"/>
    <w:rsid w:val="008A2808"/>
    <w:rsid w:val="008A694E"/>
    <w:rsid w:val="008B354A"/>
    <w:rsid w:val="008B5987"/>
    <w:rsid w:val="008B6B10"/>
    <w:rsid w:val="008C2E65"/>
    <w:rsid w:val="008C34DE"/>
    <w:rsid w:val="008C37C8"/>
    <w:rsid w:val="008C4DFD"/>
    <w:rsid w:val="008C5BD8"/>
    <w:rsid w:val="008C5C8C"/>
    <w:rsid w:val="008D0BF5"/>
    <w:rsid w:val="008D114B"/>
    <w:rsid w:val="008D34FE"/>
    <w:rsid w:val="008D4E68"/>
    <w:rsid w:val="008D52D6"/>
    <w:rsid w:val="008D6987"/>
    <w:rsid w:val="008D7DDB"/>
    <w:rsid w:val="008E08F8"/>
    <w:rsid w:val="008E1F19"/>
    <w:rsid w:val="008E5912"/>
    <w:rsid w:val="008F075C"/>
    <w:rsid w:val="008F0AF1"/>
    <w:rsid w:val="008F0B32"/>
    <w:rsid w:val="008F11E2"/>
    <w:rsid w:val="008F208A"/>
    <w:rsid w:val="008F3660"/>
    <w:rsid w:val="008F3B03"/>
    <w:rsid w:val="008F3F09"/>
    <w:rsid w:val="008F436E"/>
    <w:rsid w:val="008F7180"/>
    <w:rsid w:val="008F7B87"/>
    <w:rsid w:val="009005F8"/>
    <w:rsid w:val="00901F97"/>
    <w:rsid w:val="009025A6"/>
    <w:rsid w:val="009027DA"/>
    <w:rsid w:val="00902C55"/>
    <w:rsid w:val="00904F5A"/>
    <w:rsid w:val="00906098"/>
    <w:rsid w:val="00907206"/>
    <w:rsid w:val="00907611"/>
    <w:rsid w:val="00910BF0"/>
    <w:rsid w:val="00911C69"/>
    <w:rsid w:val="009121CD"/>
    <w:rsid w:val="009129DD"/>
    <w:rsid w:val="00912DEC"/>
    <w:rsid w:val="0091364C"/>
    <w:rsid w:val="009149A9"/>
    <w:rsid w:val="009152A2"/>
    <w:rsid w:val="00915D80"/>
    <w:rsid w:val="0092040D"/>
    <w:rsid w:val="009205BD"/>
    <w:rsid w:val="00924E28"/>
    <w:rsid w:val="00925384"/>
    <w:rsid w:val="00926348"/>
    <w:rsid w:val="00926F34"/>
    <w:rsid w:val="0092735E"/>
    <w:rsid w:val="009301F1"/>
    <w:rsid w:val="00930D8F"/>
    <w:rsid w:val="00933311"/>
    <w:rsid w:val="0093472B"/>
    <w:rsid w:val="00934A69"/>
    <w:rsid w:val="00935197"/>
    <w:rsid w:val="009353BF"/>
    <w:rsid w:val="009356A4"/>
    <w:rsid w:val="00936722"/>
    <w:rsid w:val="0093769C"/>
    <w:rsid w:val="009376A3"/>
    <w:rsid w:val="00937A0D"/>
    <w:rsid w:val="009405F0"/>
    <w:rsid w:val="00940F46"/>
    <w:rsid w:val="009443BC"/>
    <w:rsid w:val="009451C2"/>
    <w:rsid w:val="0095018E"/>
    <w:rsid w:val="00950C28"/>
    <w:rsid w:val="00951019"/>
    <w:rsid w:val="009528ED"/>
    <w:rsid w:val="00952920"/>
    <w:rsid w:val="00954212"/>
    <w:rsid w:val="009546D8"/>
    <w:rsid w:val="009548FE"/>
    <w:rsid w:val="00954B36"/>
    <w:rsid w:val="009558F0"/>
    <w:rsid w:val="00962BA0"/>
    <w:rsid w:val="009632D7"/>
    <w:rsid w:val="00963962"/>
    <w:rsid w:val="00964509"/>
    <w:rsid w:val="00965A62"/>
    <w:rsid w:val="00965A8D"/>
    <w:rsid w:val="00966C54"/>
    <w:rsid w:val="009678FD"/>
    <w:rsid w:val="0097123A"/>
    <w:rsid w:val="00972789"/>
    <w:rsid w:val="00972CB3"/>
    <w:rsid w:val="0097416F"/>
    <w:rsid w:val="009751AB"/>
    <w:rsid w:val="0097541B"/>
    <w:rsid w:val="00975828"/>
    <w:rsid w:val="00975DA4"/>
    <w:rsid w:val="0097649D"/>
    <w:rsid w:val="00976B02"/>
    <w:rsid w:val="00977987"/>
    <w:rsid w:val="00984598"/>
    <w:rsid w:val="00984C44"/>
    <w:rsid w:val="00984E9B"/>
    <w:rsid w:val="00984F86"/>
    <w:rsid w:val="009853EE"/>
    <w:rsid w:val="00987B06"/>
    <w:rsid w:val="00987D47"/>
    <w:rsid w:val="00990D29"/>
    <w:rsid w:val="009916C7"/>
    <w:rsid w:val="00991914"/>
    <w:rsid w:val="00992DFF"/>
    <w:rsid w:val="0099417E"/>
    <w:rsid w:val="009944E0"/>
    <w:rsid w:val="00994E8C"/>
    <w:rsid w:val="00995613"/>
    <w:rsid w:val="00995CE5"/>
    <w:rsid w:val="009969FD"/>
    <w:rsid w:val="009A23E0"/>
    <w:rsid w:val="009A32F5"/>
    <w:rsid w:val="009A42A8"/>
    <w:rsid w:val="009A4397"/>
    <w:rsid w:val="009A4FA2"/>
    <w:rsid w:val="009A5462"/>
    <w:rsid w:val="009A58EC"/>
    <w:rsid w:val="009A5BBB"/>
    <w:rsid w:val="009A5EF9"/>
    <w:rsid w:val="009A6073"/>
    <w:rsid w:val="009A70D7"/>
    <w:rsid w:val="009A7DF7"/>
    <w:rsid w:val="009B09C6"/>
    <w:rsid w:val="009B1ACA"/>
    <w:rsid w:val="009B4A2A"/>
    <w:rsid w:val="009B5109"/>
    <w:rsid w:val="009B5B0A"/>
    <w:rsid w:val="009B717A"/>
    <w:rsid w:val="009C0A02"/>
    <w:rsid w:val="009C0FC8"/>
    <w:rsid w:val="009C149E"/>
    <w:rsid w:val="009C2256"/>
    <w:rsid w:val="009C3479"/>
    <w:rsid w:val="009C3782"/>
    <w:rsid w:val="009C3E2A"/>
    <w:rsid w:val="009C4B02"/>
    <w:rsid w:val="009C53AF"/>
    <w:rsid w:val="009C5A69"/>
    <w:rsid w:val="009C66B4"/>
    <w:rsid w:val="009D0BFE"/>
    <w:rsid w:val="009D0C98"/>
    <w:rsid w:val="009D182C"/>
    <w:rsid w:val="009D41CA"/>
    <w:rsid w:val="009D4C29"/>
    <w:rsid w:val="009D4ED5"/>
    <w:rsid w:val="009D5001"/>
    <w:rsid w:val="009D5869"/>
    <w:rsid w:val="009D6688"/>
    <w:rsid w:val="009E1151"/>
    <w:rsid w:val="009E26B9"/>
    <w:rsid w:val="009E3018"/>
    <w:rsid w:val="009E3502"/>
    <w:rsid w:val="009E3B58"/>
    <w:rsid w:val="009E40DD"/>
    <w:rsid w:val="009E45C9"/>
    <w:rsid w:val="009E56B5"/>
    <w:rsid w:val="009E56F4"/>
    <w:rsid w:val="009E662A"/>
    <w:rsid w:val="009E6BFC"/>
    <w:rsid w:val="009E74C5"/>
    <w:rsid w:val="009E776F"/>
    <w:rsid w:val="009F0DB1"/>
    <w:rsid w:val="009F1936"/>
    <w:rsid w:val="009F2040"/>
    <w:rsid w:val="009F2104"/>
    <w:rsid w:val="009F2584"/>
    <w:rsid w:val="009F278F"/>
    <w:rsid w:val="009F2800"/>
    <w:rsid w:val="009F412B"/>
    <w:rsid w:val="009F4407"/>
    <w:rsid w:val="009F47A2"/>
    <w:rsid w:val="009F6808"/>
    <w:rsid w:val="009F6A0B"/>
    <w:rsid w:val="009F7BBD"/>
    <w:rsid w:val="009F7BF9"/>
    <w:rsid w:val="00A00951"/>
    <w:rsid w:val="00A009A2"/>
    <w:rsid w:val="00A02E8A"/>
    <w:rsid w:val="00A03342"/>
    <w:rsid w:val="00A03446"/>
    <w:rsid w:val="00A03AF5"/>
    <w:rsid w:val="00A03BF8"/>
    <w:rsid w:val="00A049F9"/>
    <w:rsid w:val="00A051C8"/>
    <w:rsid w:val="00A061F5"/>
    <w:rsid w:val="00A06B44"/>
    <w:rsid w:val="00A10960"/>
    <w:rsid w:val="00A141B7"/>
    <w:rsid w:val="00A14D5E"/>
    <w:rsid w:val="00A17418"/>
    <w:rsid w:val="00A2594E"/>
    <w:rsid w:val="00A26BE5"/>
    <w:rsid w:val="00A26C1C"/>
    <w:rsid w:val="00A27B5D"/>
    <w:rsid w:val="00A30F8F"/>
    <w:rsid w:val="00A31E7B"/>
    <w:rsid w:val="00A31EB5"/>
    <w:rsid w:val="00A323CC"/>
    <w:rsid w:val="00A32C0E"/>
    <w:rsid w:val="00A32EFD"/>
    <w:rsid w:val="00A33522"/>
    <w:rsid w:val="00A3358B"/>
    <w:rsid w:val="00A34916"/>
    <w:rsid w:val="00A34F62"/>
    <w:rsid w:val="00A35B95"/>
    <w:rsid w:val="00A35F40"/>
    <w:rsid w:val="00A360FE"/>
    <w:rsid w:val="00A363CB"/>
    <w:rsid w:val="00A37D99"/>
    <w:rsid w:val="00A37E06"/>
    <w:rsid w:val="00A4131F"/>
    <w:rsid w:val="00A4203C"/>
    <w:rsid w:val="00A42C6D"/>
    <w:rsid w:val="00A44252"/>
    <w:rsid w:val="00A4766A"/>
    <w:rsid w:val="00A50F48"/>
    <w:rsid w:val="00A527BC"/>
    <w:rsid w:val="00A52A90"/>
    <w:rsid w:val="00A52E90"/>
    <w:rsid w:val="00A53099"/>
    <w:rsid w:val="00A562C0"/>
    <w:rsid w:val="00A60D25"/>
    <w:rsid w:val="00A61370"/>
    <w:rsid w:val="00A61F5D"/>
    <w:rsid w:val="00A6310F"/>
    <w:rsid w:val="00A636CF"/>
    <w:rsid w:val="00A6575E"/>
    <w:rsid w:val="00A65D09"/>
    <w:rsid w:val="00A65E12"/>
    <w:rsid w:val="00A66C80"/>
    <w:rsid w:val="00A66FC6"/>
    <w:rsid w:val="00A67467"/>
    <w:rsid w:val="00A712E2"/>
    <w:rsid w:val="00A722B9"/>
    <w:rsid w:val="00A74655"/>
    <w:rsid w:val="00A74B2E"/>
    <w:rsid w:val="00A74F6E"/>
    <w:rsid w:val="00A758F4"/>
    <w:rsid w:val="00A75E9A"/>
    <w:rsid w:val="00A8086D"/>
    <w:rsid w:val="00A80C48"/>
    <w:rsid w:val="00A81916"/>
    <w:rsid w:val="00A82897"/>
    <w:rsid w:val="00A8399D"/>
    <w:rsid w:val="00A919AE"/>
    <w:rsid w:val="00A9310B"/>
    <w:rsid w:val="00A9411B"/>
    <w:rsid w:val="00A94213"/>
    <w:rsid w:val="00A94A12"/>
    <w:rsid w:val="00A96FC8"/>
    <w:rsid w:val="00A975AF"/>
    <w:rsid w:val="00AA0467"/>
    <w:rsid w:val="00AA0A0E"/>
    <w:rsid w:val="00AA19AA"/>
    <w:rsid w:val="00AA2110"/>
    <w:rsid w:val="00AA236A"/>
    <w:rsid w:val="00AA2E8C"/>
    <w:rsid w:val="00AA2EB8"/>
    <w:rsid w:val="00AA33E7"/>
    <w:rsid w:val="00AA347C"/>
    <w:rsid w:val="00AA4AFD"/>
    <w:rsid w:val="00AA51FF"/>
    <w:rsid w:val="00AA5D90"/>
    <w:rsid w:val="00AA66A4"/>
    <w:rsid w:val="00AA6CAA"/>
    <w:rsid w:val="00AA7C31"/>
    <w:rsid w:val="00AB03EF"/>
    <w:rsid w:val="00AB0BFA"/>
    <w:rsid w:val="00AB3041"/>
    <w:rsid w:val="00AB3D2E"/>
    <w:rsid w:val="00AB4415"/>
    <w:rsid w:val="00AB6C79"/>
    <w:rsid w:val="00AC01EA"/>
    <w:rsid w:val="00AC09DC"/>
    <w:rsid w:val="00AC298F"/>
    <w:rsid w:val="00AC5D36"/>
    <w:rsid w:val="00AC6D00"/>
    <w:rsid w:val="00AD067A"/>
    <w:rsid w:val="00AD50CA"/>
    <w:rsid w:val="00AD5870"/>
    <w:rsid w:val="00AD5C4D"/>
    <w:rsid w:val="00AD5D31"/>
    <w:rsid w:val="00AE0A58"/>
    <w:rsid w:val="00AE1BD0"/>
    <w:rsid w:val="00AE317D"/>
    <w:rsid w:val="00AE35E2"/>
    <w:rsid w:val="00AE3BA1"/>
    <w:rsid w:val="00AE42DB"/>
    <w:rsid w:val="00AE4B00"/>
    <w:rsid w:val="00AE5250"/>
    <w:rsid w:val="00AE5259"/>
    <w:rsid w:val="00AE5C8E"/>
    <w:rsid w:val="00AE6B15"/>
    <w:rsid w:val="00AE6FD6"/>
    <w:rsid w:val="00AE7253"/>
    <w:rsid w:val="00AF0789"/>
    <w:rsid w:val="00AF08D6"/>
    <w:rsid w:val="00AF0A27"/>
    <w:rsid w:val="00AF0B6C"/>
    <w:rsid w:val="00AF2763"/>
    <w:rsid w:val="00AF2881"/>
    <w:rsid w:val="00AF384E"/>
    <w:rsid w:val="00AF6CDF"/>
    <w:rsid w:val="00B029B7"/>
    <w:rsid w:val="00B0328B"/>
    <w:rsid w:val="00B03E26"/>
    <w:rsid w:val="00B04199"/>
    <w:rsid w:val="00B0583F"/>
    <w:rsid w:val="00B05932"/>
    <w:rsid w:val="00B0669C"/>
    <w:rsid w:val="00B11780"/>
    <w:rsid w:val="00B11E69"/>
    <w:rsid w:val="00B120D1"/>
    <w:rsid w:val="00B125E0"/>
    <w:rsid w:val="00B12E1D"/>
    <w:rsid w:val="00B134AB"/>
    <w:rsid w:val="00B14377"/>
    <w:rsid w:val="00B14C3D"/>
    <w:rsid w:val="00B15AE4"/>
    <w:rsid w:val="00B20054"/>
    <w:rsid w:val="00B25C02"/>
    <w:rsid w:val="00B275F1"/>
    <w:rsid w:val="00B304BF"/>
    <w:rsid w:val="00B30674"/>
    <w:rsid w:val="00B308A3"/>
    <w:rsid w:val="00B316E4"/>
    <w:rsid w:val="00B31F02"/>
    <w:rsid w:val="00B32E6F"/>
    <w:rsid w:val="00B33002"/>
    <w:rsid w:val="00B33815"/>
    <w:rsid w:val="00B342C1"/>
    <w:rsid w:val="00B35E7F"/>
    <w:rsid w:val="00B36561"/>
    <w:rsid w:val="00B400EA"/>
    <w:rsid w:val="00B40A75"/>
    <w:rsid w:val="00B40D41"/>
    <w:rsid w:val="00B4108F"/>
    <w:rsid w:val="00B41904"/>
    <w:rsid w:val="00B434EE"/>
    <w:rsid w:val="00B46129"/>
    <w:rsid w:val="00B46723"/>
    <w:rsid w:val="00B46A8B"/>
    <w:rsid w:val="00B46ADD"/>
    <w:rsid w:val="00B46C85"/>
    <w:rsid w:val="00B46CD8"/>
    <w:rsid w:val="00B535E8"/>
    <w:rsid w:val="00B547C8"/>
    <w:rsid w:val="00B55839"/>
    <w:rsid w:val="00B572EC"/>
    <w:rsid w:val="00B57631"/>
    <w:rsid w:val="00B57C55"/>
    <w:rsid w:val="00B6146A"/>
    <w:rsid w:val="00B62F25"/>
    <w:rsid w:val="00B630CF"/>
    <w:rsid w:val="00B635EB"/>
    <w:rsid w:val="00B65358"/>
    <w:rsid w:val="00B65ACE"/>
    <w:rsid w:val="00B65C97"/>
    <w:rsid w:val="00B65EC2"/>
    <w:rsid w:val="00B66FE1"/>
    <w:rsid w:val="00B7007B"/>
    <w:rsid w:val="00B70732"/>
    <w:rsid w:val="00B71476"/>
    <w:rsid w:val="00B728F3"/>
    <w:rsid w:val="00B73982"/>
    <w:rsid w:val="00B73ECE"/>
    <w:rsid w:val="00B75424"/>
    <w:rsid w:val="00B764F7"/>
    <w:rsid w:val="00B77029"/>
    <w:rsid w:val="00B77183"/>
    <w:rsid w:val="00B77648"/>
    <w:rsid w:val="00B817E0"/>
    <w:rsid w:val="00B83416"/>
    <w:rsid w:val="00B83455"/>
    <w:rsid w:val="00B83578"/>
    <w:rsid w:val="00B843CD"/>
    <w:rsid w:val="00B84BD5"/>
    <w:rsid w:val="00B85057"/>
    <w:rsid w:val="00B853C2"/>
    <w:rsid w:val="00B86B05"/>
    <w:rsid w:val="00B86B09"/>
    <w:rsid w:val="00B86B7A"/>
    <w:rsid w:val="00B87698"/>
    <w:rsid w:val="00B876EF"/>
    <w:rsid w:val="00B877C1"/>
    <w:rsid w:val="00B92014"/>
    <w:rsid w:val="00B93713"/>
    <w:rsid w:val="00B94616"/>
    <w:rsid w:val="00B96979"/>
    <w:rsid w:val="00B96A9D"/>
    <w:rsid w:val="00BA19EC"/>
    <w:rsid w:val="00BA2225"/>
    <w:rsid w:val="00BA39C4"/>
    <w:rsid w:val="00BA3BB4"/>
    <w:rsid w:val="00BA474B"/>
    <w:rsid w:val="00BA799B"/>
    <w:rsid w:val="00BB3AEE"/>
    <w:rsid w:val="00BB417F"/>
    <w:rsid w:val="00BB444A"/>
    <w:rsid w:val="00BB455E"/>
    <w:rsid w:val="00BB6334"/>
    <w:rsid w:val="00BB64EA"/>
    <w:rsid w:val="00BB6C2F"/>
    <w:rsid w:val="00BB79F9"/>
    <w:rsid w:val="00BC1E7E"/>
    <w:rsid w:val="00BC2AA4"/>
    <w:rsid w:val="00BC2C37"/>
    <w:rsid w:val="00BC3593"/>
    <w:rsid w:val="00BC375A"/>
    <w:rsid w:val="00BC4B4D"/>
    <w:rsid w:val="00BC55A1"/>
    <w:rsid w:val="00BC680C"/>
    <w:rsid w:val="00BC7D96"/>
    <w:rsid w:val="00BC7EF5"/>
    <w:rsid w:val="00BD2099"/>
    <w:rsid w:val="00BD25BF"/>
    <w:rsid w:val="00BD32FA"/>
    <w:rsid w:val="00BD4FAA"/>
    <w:rsid w:val="00BD79D8"/>
    <w:rsid w:val="00BE0054"/>
    <w:rsid w:val="00BE0F2C"/>
    <w:rsid w:val="00BE0F82"/>
    <w:rsid w:val="00BE309E"/>
    <w:rsid w:val="00BE312A"/>
    <w:rsid w:val="00BE4694"/>
    <w:rsid w:val="00BE51FD"/>
    <w:rsid w:val="00BE5CD8"/>
    <w:rsid w:val="00BE5D49"/>
    <w:rsid w:val="00BE73F0"/>
    <w:rsid w:val="00BF00E3"/>
    <w:rsid w:val="00BF0778"/>
    <w:rsid w:val="00BF13A5"/>
    <w:rsid w:val="00BF16D5"/>
    <w:rsid w:val="00BF2689"/>
    <w:rsid w:val="00BF3213"/>
    <w:rsid w:val="00BF3DEE"/>
    <w:rsid w:val="00BF44BF"/>
    <w:rsid w:val="00BF64E4"/>
    <w:rsid w:val="00BF760E"/>
    <w:rsid w:val="00BF7F71"/>
    <w:rsid w:val="00C00872"/>
    <w:rsid w:val="00C00F07"/>
    <w:rsid w:val="00C02817"/>
    <w:rsid w:val="00C029DF"/>
    <w:rsid w:val="00C04198"/>
    <w:rsid w:val="00C0489E"/>
    <w:rsid w:val="00C04E48"/>
    <w:rsid w:val="00C055C3"/>
    <w:rsid w:val="00C066DE"/>
    <w:rsid w:val="00C0725D"/>
    <w:rsid w:val="00C0742D"/>
    <w:rsid w:val="00C116D2"/>
    <w:rsid w:val="00C1180A"/>
    <w:rsid w:val="00C126FA"/>
    <w:rsid w:val="00C12952"/>
    <w:rsid w:val="00C14230"/>
    <w:rsid w:val="00C149E5"/>
    <w:rsid w:val="00C15A1F"/>
    <w:rsid w:val="00C167AC"/>
    <w:rsid w:val="00C169E4"/>
    <w:rsid w:val="00C16B96"/>
    <w:rsid w:val="00C17BF6"/>
    <w:rsid w:val="00C20E2F"/>
    <w:rsid w:val="00C20F53"/>
    <w:rsid w:val="00C21346"/>
    <w:rsid w:val="00C22776"/>
    <w:rsid w:val="00C2476B"/>
    <w:rsid w:val="00C250DA"/>
    <w:rsid w:val="00C25E5D"/>
    <w:rsid w:val="00C3000A"/>
    <w:rsid w:val="00C307C0"/>
    <w:rsid w:val="00C31CCC"/>
    <w:rsid w:val="00C322D5"/>
    <w:rsid w:val="00C32997"/>
    <w:rsid w:val="00C32FDE"/>
    <w:rsid w:val="00C335EC"/>
    <w:rsid w:val="00C33918"/>
    <w:rsid w:val="00C33E6F"/>
    <w:rsid w:val="00C34C50"/>
    <w:rsid w:val="00C355A4"/>
    <w:rsid w:val="00C35819"/>
    <w:rsid w:val="00C374B1"/>
    <w:rsid w:val="00C37A1C"/>
    <w:rsid w:val="00C45049"/>
    <w:rsid w:val="00C45F57"/>
    <w:rsid w:val="00C46500"/>
    <w:rsid w:val="00C47957"/>
    <w:rsid w:val="00C50250"/>
    <w:rsid w:val="00C50EB6"/>
    <w:rsid w:val="00C51A8A"/>
    <w:rsid w:val="00C51EDF"/>
    <w:rsid w:val="00C52165"/>
    <w:rsid w:val="00C5250C"/>
    <w:rsid w:val="00C529FC"/>
    <w:rsid w:val="00C56001"/>
    <w:rsid w:val="00C57D0B"/>
    <w:rsid w:val="00C60395"/>
    <w:rsid w:val="00C62CB0"/>
    <w:rsid w:val="00C63D24"/>
    <w:rsid w:val="00C640CD"/>
    <w:rsid w:val="00C65CD9"/>
    <w:rsid w:val="00C65E89"/>
    <w:rsid w:val="00C671F1"/>
    <w:rsid w:val="00C700AE"/>
    <w:rsid w:val="00C712D1"/>
    <w:rsid w:val="00C729BA"/>
    <w:rsid w:val="00C72A14"/>
    <w:rsid w:val="00C72DC4"/>
    <w:rsid w:val="00C72E5F"/>
    <w:rsid w:val="00C73520"/>
    <w:rsid w:val="00C73CA6"/>
    <w:rsid w:val="00C743D6"/>
    <w:rsid w:val="00C77745"/>
    <w:rsid w:val="00C8002B"/>
    <w:rsid w:val="00C80DF8"/>
    <w:rsid w:val="00C8142C"/>
    <w:rsid w:val="00C8145D"/>
    <w:rsid w:val="00C81498"/>
    <w:rsid w:val="00C82F40"/>
    <w:rsid w:val="00C839B4"/>
    <w:rsid w:val="00C8592B"/>
    <w:rsid w:val="00C8660A"/>
    <w:rsid w:val="00C90D17"/>
    <w:rsid w:val="00C91DD7"/>
    <w:rsid w:val="00C92DFF"/>
    <w:rsid w:val="00C92F61"/>
    <w:rsid w:val="00C95AF1"/>
    <w:rsid w:val="00C96F31"/>
    <w:rsid w:val="00C978AA"/>
    <w:rsid w:val="00CA0D24"/>
    <w:rsid w:val="00CA2033"/>
    <w:rsid w:val="00CA279F"/>
    <w:rsid w:val="00CA49C2"/>
    <w:rsid w:val="00CA4B22"/>
    <w:rsid w:val="00CA569B"/>
    <w:rsid w:val="00CA652B"/>
    <w:rsid w:val="00CA6FFD"/>
    <w:rsid w:val="00CA7199"/>
    <w:rsid w:val="00CA79BD"/>
    <w:rsid w:val="00CB3BE0"/>
    <w:rsid w:val="00CB407E"/>
    <w:rsid w:val="00CB43E4"/>
    <w:rsid w:val="00CB5FD7"/>
    <w:rsid w:val="00CB68AF"/>
    <w:rsid w:val="00CB74C4"/>
    <w:rsid w:val="00CB7BB9"/>
    <w:rsid w:val="00CB7F74"/>
    <w:rsid w:val="00CC1306"/>
    <w:rsid w:val="00CC14C1"/>
    <w:rsid w:val="00CC157B"/>
    <w:rsid w:val="00CC1804"/>
    <w:rsid w:val="00CC25EB"/>
    <w:rsid w:val="00CC4269"/>
    <w:rsid w:val="00CC5A42"/>
    <w:rsid w:val="00CC6ED1"/>
    <w:rsid w:val="00CC7CE2"/>
    <w:rsid w:val="00CD05FD"/>
    <w:rsid w:val="00CD12D7"/>
    <w:rsid w:val="00CD160A"/>
    <w:rsid w:val="00CD1819"/>
    <w:rsid w:val="00CD1B8D"/>
    <w:rsid w:val="00CD2730"/>
    <w:rsid w:val="00CD2896"/>
    <w:rsid w:val="00CD413A"/>
    <w:rsid w:val="00CD44A9"/>
    <w:rsid w:val="00CD57D3"/>
    <w:rsid w:val="00CD59A3"/>
    <w:rsid w:val="00CD6149"/>
    <w:rsid w:val="00CD69B2"/>
    <w:rsid w:val="00CD6FD1"/>
    <w:rsid w:val="00CD7D98"/>
    <w:rsid w:val="00CE3598"/>
    <w:rsid w:val="00CE4865"/>
    <w:rsid w:val="00CE5B3A"/>
    <w:rsid w:val="00CE6A45"/>
    <w:rsid w:val="00CE73E6"/>
    <w:rsid w:val="00CE79BB"/>
    <w:rsid w:val="00CF0A0F"/>
    <w:rsid w:val="00CF23E3"/>
    <w:rsid w:val="00CF2623"/>
    <w:rsid w:val="00CF2968"/>
    <w:rsid w:val="00CF328E"/>
    <w:rsid w:val="00CF42A0"/>
    <w:rsid w:val="00CF605E"/>
    <w:rsid w:val="00D01398"/>
    <w:rsid w:val="00D032D8"/>
    <w:rsid w:val="00D034F3"/>
    <w:rsid w:val="00D03688"/>
    <w:rsid w:val="00D067CA"/>
    <w:rsid w:val="00D06DA1"/>
    <w:rsid w:val="00D06FA6"/>
    <w:rsid w:val="00D070C2"/>
    <w:rsid w:val="00D136A9"/>
    <w:rsid w:val="00D14E9B"/>
    <w:rsid w:val="00D166F3"/>
    <w:rsid w:val="00D17DC1"/>
    <w:rsid w:val="00D20263"/>
    <w:rsid w:val="00D21F09"/>
    <w:rsid w:val="00D22BD0"/>
    <w:rsid w:val="00D22EDD"/>
    <w:rsid w:val="00D24305"/>
    <w:rsid w:val="00D2454F"/>
    <w:rsid w:val="00D30C94"/>
    <w:rsid w:val="00D3146C"/>
    <w:rsid w:val="00D31AD2"/>
    <w:rsid w:val="00D32503"/>
    <w:rsid w:val="00D32A20"/>
    <w:rsid w:val="00D32F52"/>
    <w:rsid w:val="00D343A6"/>
    <w:rsid w:val="00D34909"/>
    <w:rsid w:val="00D34B0E"/>
    <w:rsid w:val="00D363F6"/>
    <w:rsid w:val="00D36D1E"/>
    <w:rsid w:val="00D37296"/>
    <w:rsid w:val="00D37B8E"/>
    <w:rsid w:val="00D4118C"/>
    <w:rsid w:val="00D43C1D"/>
    <w:rsid w:val="00D43D85"/>
    <w:rsid w:val="00D44FF9"/>
    <w:rsid w:val="00D4654C"/>
    <w:rsid w:val="00D46CDB"/>
    <w:rsid w:val="00D46DF1"/>
    <w:rsid w:val="00D4786B"/>
    <w:rsid w:val="00D50964"/>
    <w:rsid w:val="00D50FE7"/>
    <w:rsid w:val="00D51C9A"/>
    <w:rsid w:val="00D5414D"/>
    <w:rsid w:val="00D541DC"/>
    <w:rsid w:val="00D55412"/>
    <w:rsid w:val="00D55508"/>
    <w:rsid w:val="00D56AFD"/>
    <w:rsid w:val="00D571D9"/>
    <w:rsid w:val="00D6227C"/>
    <w:rsid w:val="00D62645"/>
    <w:rsid w:val="00D631BC"/>
    <w:rsid w:val="00D63C60"/>
    <w:rsid w:val="00D64231"/>
    <w:rsid w:val="00D651DD"/>
    <w:rsid w:val="00D65269"/>
    <w:rsid w:val="00D6767F"/>
    <w:rsid w:val="00D70BC5"/>
    <w:rsid w:val="00D714C3"/>
    <w:rsid w:val="00D72021"/>
    <w:rsid w:val="00D72099"/>
    <w:rsid w:val="00D749BA"/>
    <w:rsid w:val="00D7649C"/>
    <w:rsid w:val="00D77666"/>
    <w:rsid w:val="00D810E8"/>
    <w:rsid w:val="00D819DD"/>
    <w:rsid w:val="00D82AD9"/>
    <w:rsid w:val="00D82E7A"/>
    <w:rsid w:val="00D83165"/>
    <w:rsid w:val="00D8376F"/>
    <w:rsid w:val="00D86C21"/>
    <w:rsid w:val="00D87E6F"/>
    <w:rsid w:val="00D9014E"/>
    <w:rsid w:val="00D9279B"/>
    <w:rsid w:val="00D94630"/>
    <w:rsid w:val="00D94E6E"/>
    <w:rsid w:val="00D96227"/>
    <w:rsid w:val="00D96679"/>
    <w:rsid w:val="00D97347"/>
    <w:rsid w:val="00DA1BEE"/>
    <w:rsid w:val="00DA42EF"/>
    <w:rsid w:val="00DA43B9"/>
    <w:rsid w:val="00DA4B0E"/>
    <w:rsid w:val="00DA5D17"/>
    <w:rsid w:val="00DA6ACF"/>
    <w:rsid w:val="00DA7DED"/>
    <w:rsid w:val="00DA7E96"/>
    <w:rsid w:val="00DB026F"/>
    <w:rsid w:val="00DB0C79"/>
    <w:rsid w:val="00DB11F4"/>
    <w:rsid w:val="00DB2DC1"/>
    <w:rsid w:val="00DB45ED"/>
    <w:rsid w:val="00DB6685"/>
    <w:rsid w:val="00DB6C15"/>
    <w:rsid w:val="00DB74DE"/>
    <w:rsid w:val="00DC13B7"/>
    <w:rsid w:val="00DC1CA3"/>
    <w:rsid w:val="00DC1FAF"/>
    <w:rsid w:val="00DC25CB"/>
    <w:rsid w:val="00DC393D"/>
    <w:rsid w:val="00DC4987"/>
    <w:rsid w:val="00DC4E08"/>
    <w:rsid w:val="00DC511E"/>
    <w:rsid w:val="00DC59C7"/>
    <w:rsid w:val="00DC6790"/>
    <w:rsid w:val="00DC7436"/>
    <w:rsid w:val="00DD01A7"/>
    <w:rsid w:val="00DD091C"/>
    <w:rsid w:val="00DD427D"/>
    <w:rsid w:val="00DD45DA"/>
    <w:rsid w:val="00DD5A53"/>
    <w:rsid w:val="00DD72A0"/>
    <w:rsid w:val="00DE1263"/>
    <w:rsid w:val="00DE1A0A"/>
    <w:rsid w:val="00DE2088"/>
    <w:rsid w:val="00DE2698"/>
    <w:rsid w:val="00DE3DFD"/>
    <w:rsid w:val="00DE471B"/>
    <w:rsid w:val="00DE4A6B"/>
    <w:rsid w:val="00DE517F"/>
    <w:rsid w:val="00DE584B"/>
    <w:rsid w:val="00DF1BCB"/>
    <w:rsid w:val="00DF3462"/>
    <w:rsid w:val="00DF399F"/>
    <w:rsid w:val="00DF4A45"/>
    <w:rsid w:val="00DF4D6C"/>
    <w:rsid w:val="00DF5387"/>
    <w:rsid w:val="00DF57ED"/>
    <w:rsid w:val="00DF57F6"/>
    <w:rsid w:val="00DF6A98"/>
    <w:rsid w:val="00E002FF"/>
    <w:rsid w:val="00E03DFC"/>
    <w:rsid w:val="00E054BB"/>
    <w:rsid w:val="00E05876"/>
    <w:rsid w:val="00E05DE6"/>
    <w:rsid w:val="00E06B35"/>
    <w:rsid w:val="00E06CC8"/>
    <w:rsid w:val="00E071CC"/>
    <w:rsid w:val="00E107B3"/>
    <w:rsid w:val="00E10F19"/>
    <w:rsid w:val="00E1181B"/>
    <w:rsid w:val="00E11826"/>
    <w:rsid w:val="00E11AB5"/>
    <w:rsid w:val="00E11E49"/>
    <w:rsid w:val="00E14D21"/>
    <w:rsid w:val="00E15791"/>
    <w:rsid w:val="00E17330"/>
    <w:rsid w:val="00E1750C"/>
    <w:rsid w:val="00E200B1"/>
    <w:rsid w:val="00E20CA3"/>
    <w:rsid w:val="00E228EA"/>
    <w:rsid w:val="00E23D18"/>
    <w:rsid w:val="00E240A5"/>
    <w:rsid w:val="00E247F0"/>
    <w:rsid w:val="00E25817"/>
    <w:rsid w:val="00E25E60"/>
    <w:rsid w:val="00E266D4"/>
    <w:rsid w:val="00E27F56"/>
    <w:rsid w:val="00E300EC"/>
    <w:rsid w:val="00E36F26"/>
    <w:rsid w:val="00E37B70"/>
    <w:rsid w:val="00E4038B"/>
    <w:rsid w:val="00E435C6"/>
    <w:rsid w:val="00E449A7"/>
    <w:rsid w:val="00E44BD5"/>
    <w:rsid w:val="00E454D5"/>
    <w:rsid w:val="00E459F7"/>
    <w:rsid w:val="00E45C76"/>
    <w:rsid w:val="00E465EC"/>
    <w:rsid w:val="00E46900"/>
    <w:rsid w:val="00E504E7"/>
    <w:rsid w:val="00E5153C"/>
    <w:rsid w:val="00E523E4"/>
    <w:rsid w:val="00E523EB"/>
    <w:rsid w:val="00E530DB"/>
    <w:rsid w:val="00E5540F"/>
    <w:rsid w:val="00E57728"/>
    <w:rsid w:val="00E57A7F"/>
    <w:rsid w:val="00E602CC"/>
    <w:rsid w:val="00E63CFB"/>
    <w:rsid w:val="00E644E0"/>
    <w:rsid w:val="00E64A4A"/>
    <w:rsid w:val="00E655B9"/>
    <w:rsid w:val="00E65E72"/>
    <w:rsid w:val="00E66159"/>
    <w:rsid w:val="00E677EB"/>
    <w:rsid w:val="00E679D7"/>
    <w:rsid w:val="00E70AF7"/>
    <w:rsid w:val="00E70F72"/>
    <w:rsid w:val="00E71F55"/>
    <w:rsid w:val="00E722B9"/>
    <w:rsid w:val="00E72EFB"/>
    <w:rsid w:val="00E77002"/>
    <w:rsid w:val="00E770A3"/>
    <w:rsid w:val="00E77246"/>
    <w:rsid w:val="00E80091"/>
    <w:rsid w:val="00E80344"/>
    <w:rsid w:val="00E80773"/>
    <w:rsid w:val="00E80B46"/>
    <w:rsid w:val="00E818AD"/>
    <w:rsid w:val="00E84974"/>
    <w:rsid w:val="00E85EB4"/>
    <w:rsid w:val="00E86344"/>
    <w:rsid w:val="00E86CC2"/>
    <w:rsid w:val="00E917E6"/>
    <w:rsid w:val="00E91CB8"/>
    <w:rsid w:val="00E94F5A"/>
    <w:rsid w:val="00E95B75"/>
    <w:rsid w:val="00E968CB"/>
    <w:rsid w:val="00EA1510"/>
    <w:rsid w:val="00EA3B54"/>
    <w:rsid w:val="00EA499B"/>
    <w:rsid w:val="00EA4F20"/>
    <w:rsid w:val="00EA5100"/>
    <w:rsid w:val="00EA58BF"/>
    <w:rsid w:val="00EA6050"/>
    <w:rsid w:val="00EA6552"/>
    <w:rsid w:val="00EA73DB"/>
    <w:rsid w:val="00EA77E5"/>
    <w:rsid w:val="00EB0C2C"/>
    <w:rsid w:val="00EB0E5E"/>
    <w:rsid w:val="00EB0E68"/>
    <w:rsid w:val="00EB119F"/>
    <w:rsid w:val="00EB23AB"/>
    <w:rsid w:val="00EB52B2"/>
    <w:rsid w:val="00EB6D1C"/>
    <w:rsid w:val="00EB7072"/>
    <w:rsid w:val="00EB7728"/>
    <w:rsid w:val="00EB7C31"/>
    <w:rsid w:val="00EC1764"/>
    <w:rsid w:val="00EC2B31"/>
    <w:rsid w:val="00EC5B6B"/>
    <w:rsid w:val="00EC5BB3"/>
    <w:rsid w:val="00ED10F6"/>
    <w:rsid w:val="00ED1122"/>
    <w:rsid w:val="00ED11C2"/>
    <w:rsid w:val="00ED1498"/>
    <w:rsid w:val="00ED1EFC"/>
    <w:rsid w:val="00ED1FF5"/>
    <w:rsid w:val="00ED2770"/>
    <w:rsid w:val="00ED4032"/>
    <w:rsid w:val="00ED4DC8"/>
    <w:rsid w:val="00ED567D"/>
    <w:rsid w:val="00ED61F8"/>
    <w:rsid w:val="00ED6731"/>
    <w:rsid w:val="00ED6BB4"/>
    <w:rsid w:val="00EE0013"/>
    <w:rsid w:val="00EE01E6"/>
    <w:rsid w:val="00EE3505"/>
    <w:rsid w:val="00EE43F3"/>
    <w:rsid w:val="00EE5CB2"/>
    <w:rsid w:val="00EE6E75"/>
    <w:rsid w:val="00EE749F"/>
    <w:rsid w:val="00EF1E03"/>
    <w:rsid w:val="00EF21EC"/>
    <w:rsid w:val="00EF38B4"/>
    <w:rsid w:val="00EF481E"/>
    <w:rsid w:val="00EF4C51"/>
    <w:rsid w:val="00EF57D8"/>
    <w:rsid w:val="00EF7D5A"/>
    <w:rsid w:val="00EF7F19"/>
    <w:rsid w:val="00F03617"/>
    <w:rsid w:val="00F043E1"/>
    <w:rsid w:val="00F04AA0"/>
    <w:rsid w:val="00F04EF2"/>
    <w:rsid w:val="00F05110"/>
    <w:rsid w:val="00F05FA7"/>
    <w:rsid w:val="00F06EAB"/>
    <w:rsid w:val="00F0733C"/>
    <w:rsid w:val="00F112EA"/>
    <w:rsid w:val="00F114C9"/>
    <w:rsid w:val="00F11D35"/>
    <w:rsid w:val="00F13519"/>
    <w:rsid w:val="00F16C66"/>
    <w:rsid w:val="00F2010B"/>
    <w:rsid w:val="00F201B3"/>
    <w:rsid w:val="00F2061F"/>
    <w:rsid w:val="00F20C89"/>
    <w:rsid w:val="00F225DC"/>
    <w:rsid w:val="00F22D7F"/>
    <w:rsid w:val="00F24B6A"/>
    <w:rsid w:val="00F25C21"/>
    <w:rsid w:val="00F260BB"/>
    <w:rsid w:val="00F2626E"/>
    <w:rsid w:val="00F26B4C"/>
    <w:rsid w:val="00F275C1"/>
    <w:rsid w:val="00F31C39"/>
    <w:rsid w:val="00F33581"/>
    <w:rsid w:val="00F34DA5"/>
    <w:rsid w:val="00F34EF1"/>
    <w:rsid w:val="00F35EC8"/>
    <w:rsid w:val="00F3763D"/>
    <w:rsid w:val="00F3777C"/>
    <w:rsid w:val="00F377A4"/>
    <w:rsid w:val="00F409AF"/>
    <w:rsid w:val="00F41368"/>
    <w:rsid w:val="00F41834"/>
    <w:rsid w:val="00F41A16"/>
    <w:rsid w:val="00F425F4"/>
    <w:rsid w:val="00F44420"/>
    <w:rsid w:val="00F45A2E"/>
    <w:rsid w:val="00F45CFC"/>
    <w:rsid w:val="00F469BA"/>
    <w:rsid w:val="00F50BFB"/>
    <w:rsid w:val="00F52628"/>
    <w:rsid w:val="00F55FA6"/>
    <w:rsid w:val="00F56462"/>
    <w:rsid w:val="00F5774B"/>
    <w:rsid w:val="00F60480"/>
    <w:rsid w:val="00F635CC"/>
    <w:rsid w:val="00F646CF"/>
    <w:rsid w:val="00F64A08"/>
    <w:rsid w:val="00F64A51"/>
    <w:rsid w:val="00F672B8"/>
    <w:rsid w:val="00F678E0"/>
    <w:rsid w:val="00F703CA"/>
    <w:rsid w:val="00F715E6"/>
    <w:rsid w:val="00F71A6D"/>
    <w:rsid w:val="00F7263B"/>
    <w:rsid w:val="00F72C37"/>
    <w:rsid w:val="00F741D6"/>
    <w:rsid w:val="00F76B51"/>
    <w:rsid w:val="00F774B6"/>
    <w:rsid w:val="00F779CD"/>
    <w:rsid w:val="00F80A6A"/>
    <w:rsid w:val="00F8129F"/>
    <w:rsid w:val="00F81ED3"/>
    <w:rsid w:val="00F829C0"/>
    <w:rsid w:val="00F82D21"/>
    <w:rsid w:val="00F837B8"/>
    <w:rsid w:val="00F84D96"/>
    <w:rsid w:val="00F85108"/>
    <w:rsid w:val="00F86002"/>
    <w:rsid w:val="00F87808"/>
    <w:rsid w:val="00F9007D"/>
    <w:rsid w:val="00F91422"/>
    <w:rsid w:val="00F9159D"/>
    <w:rsid w:val="00F9167A"/>
    <w:rsid w:val="00F91D1F"/>
    <w:rsid w:val="00F91DBB"/>
    <w:rsid w:val="00F92EFE"/>
    <w:rsid w:val="00F9344F"/>
    <w:rsid w:val="00F961B9"/>
    <w:rsid w:val="00F97856"/>
    <w:rsid w:val="00FA1514"/>
    <w:rsid w:val="00FA207E"/>
    <w:rsid w:val="00FA3066"/>
    <w:rsid w:val="00FA347E"/>
    <w:rsid w:val="00FA3EAA"/>
    <w:rsid w:val="00FA5195"/>
    <w:rsid w:val="00FA7568"/>
    <w:rsid w:val="00FB2B62"/>
    <w:rsid w:val="00FB3398"/>
    <w:rsid w:val="00FB38B9"/>
    <w:rsid w:val="00FB3EF3"/>
    <w:rsid w:val="00FB4C77"/>
    <w:rsid w:val="00FB4FC4"/>
    <w:rsid w:val="00FB50D6"/>
    <w:rsid w:val="00FB665C"/>
    <w:rsid w:val="00FB668B"/>
    <w:rsid w:val="00FB69A4"/>
    <w:rsid w:val="00FB71F7"/>
    <w:rsid w:val="00FC072E"/>
    <w:rsid w:val="00FC16C3"/>
    <w:rsid w:val="00FC22C3"/>
    <w:rsid w:val="00FC368D"/>
    <w:rsid w:val="00FC6962"/>
    <w:rsid w:val="00FC74BC"/>
    <w:rsid w:val="00FD094D"/>
    <w:rsid w:val="00FD1533"/>
    <w:rsid w:val="00FD258F"/>
    <w:rsid w:val="00FD423D"/>
    <w:rsid w:val="00FD4348"/>
    <w:rsid w:val="00FD50B3"/>
    <w:rsid w:val="00FD56A3"/>
    <w:rsid w:val="00FD5E24"/>
    <w:rsid w:val="00FD7735"/>
    <w:rsid w:val="00FD7D5C"/>
    <w:rsid w:val="00FE0D99"/>
    <w:rsid w:val="00FE1080"/>
    <w:rsid w:val="00FE133D"/>
    <w:rsid w:val="00FE2E92"/>
    <w:rsid w:val="00FE4D17"/>
    <w:rsid w:val="00FE4F73"/>
    <w:rsid w:val="00FE5427"/>
    <w:rsid w:val="00FE63A1"/>
    <w:rsid w:val="00FE65B0"/>
    <w:rsid w:val="00FE6A29"/>
    <w:rsid w:val="00FF23BD"/>
    <w:rsid w:val="00FF2B7F"/>
    <w:rsid w:val="00FF536D"/>
    <w:rsid w:val="00FF623A"/>
    <w:rsid w:val="00FF6240"/>
    <w:rsid w:val="00FF680E"/>
    <w:rsid w:val="045A2047"/>
    <w:rsid w:val="0E6B10C2"/>
    <w:rsid w:val="0FA87BB9"/>
    <w:rsid w:val="193667F5"/>
    <w:rsid w:val="197B5DCD"/>
    <w:rsid w:val="1AC13E11"/>
    <w:rsid w:val="1AD0318E"/>
    <w:rsid w:val="1B807468"/>
    <w:rsid w:val="1E1D74CF"/>
    <w:rsid w:val="24187101"/>
    <w:rsid w:val="2475605F"/>
    <w:rsid w:val="28382C3A"/>
    <w:rsid w:val="297C1823"/>
    <w:rsid w:val="2ECB3AD2"/>
    <w:rsid w:val="2FD93C26"/>
    <w:rsid w:val="35E10098"/>
    <w:rsid w:val="3623352B"/>
    <w:rsid w:val="396F3A83"/>
    <w:rsid w:val="3984743C"/>
    <w:rsid w:val="399A3F34"/>
    <w:rsid w:val="453827AF"/>
    <w:rsid w:val="47B3762B"/>
    <w:rsid w:val="48194922"/>
    <w:rsid w:val="4A104DDA"/>
    <w:rsid w:val="4BCC28C2"/>
    <w:rsid w:val="4BDD1FF5"/>
    <w:rsid w:val="4C87303B"/>
    <w:rsid w:val="4D730EE3"/>
    <w:rsid w:val="50DE50F1"/>
    <w:rsid w:val="525C37D5"/>
    <w:rsid w:val="550F232E"/>
    <w:rsid w:val="56EF1FE3"/>
    <w:rsid w:val="59A31EA9"/>
    <w:rsid w:val="5AA664F1"/>
    <w:rsid w:val="5AB67F96"/>
    <w:rsid w:val="5BD8483D"/>
    <w:rsid w:val="5EC93A80"/>
    <w:rsid w:val="5F213DCC"/>
    <w:rsid w:val="5F8C4929"/>
    <w:rsid w:val="62DB7F23"/>
    <w:rsid w:val="636D0703"/>
    <w:rsid w:val="651C0FAE"/>
    <w:rsid w:val="66126DD3"/>
    <w:rsid w:val="68636B44"/>
    <w:rsid w:val="68646F1F"/>
    <w:rsid w:val="6EE252F2"/>
    <w:rsid w:val="710A3346"/>
    <w:rsid w:val="721530FE"/>
    <w:rsid w:val="75D601D8"/>
    <w:rsid w:val="77FA4C7A"/>
    <w:rsid w:val="7A321FA6"/>
    <w:rsid w:val="7AF313DB"/>
    <w:rsid w:val="7E0B6632"/>
    <w:rsid w:val="7E93358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26"/>
    <w:qFormat/>
    <w:uiPriority w:val="99"/>
    <w:pPr>
      <w:keepNext/>
      <w:keepLines/>
      <w:widowControl w:val="0"/>
      <w:spacing w:before="340" w:after="330" w:line="576" w:lineRule="auto"/>
      <w:textAlignment w:val="auto"/>
      <w:outlineLvl w:val="0"/>
    </w:pPr>
    <w:rPr>
      <w:b/>
      <w:bCs/>
      <w:kern w:val="44"/>
      <w:sz w:val="44"/>
      <w:szCs w:val="44"/>
    </w:rPr>
  </w:style>
  <w:style w:type="paragraph" w:styleId="3">
    <w:name w:val="heading 2"/>
    <w:basedOn w:val="1"/>
    <w:next w:val="1"/>
    <w:link w:val="67"/>
    <w:semiHidden/>
    <w:unhideWhenUsed/>
    <w:qFormat/>
    <w:uiPriority w:val="0"/>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27"/>
    <w:qFormat/>
    <w:uiPriority w:val="99"/>
    <w:pPr>
      <w:keepNext/>
      <w:keepLines/>
      <w:spacing w:before="260" w:after="260" w:line="416" w:lineRule="atLeast"/>
      <w:outlineLvl w:val="2"/>
    </w:pPr>
    <w:rPr>
      <w:b/>
      <w:bCs/>
      <w:sz w:val="32"/>
      <w:szCs w:val="3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8"/>
    <w:semiHidden/>
    <w:qFormat/>
    <w:locked/>
    <w:uiPriority w:val="99"/>
    <w:pPr>
      <w:jc w:val="left"/>
    </w:pPr>
  </w:style>
  <w:style w:type="paragraph" w:styleId="6">
    <w:name w:val="Body Text"/>
    <w:basedOn w:val="1"/>
    <w:link w:val="65"/>
    <w:semiHidden/>
    <w:unhideWhenUsed/>
    <w:qFormat/>
    <w:locked/>
    <w:uiPriority w:val="99"/>
    <w:pPr>
      <w:spacing w:after="120"/>
    </w:pPr>
  </w:style>
  <w:style w:type="paragraph" w:styleId="7">
    <w:name w:val="Body Text Indent"/>
    <w:basedOn w:val="1"/>
    <w:link w:val="30"/>
    <w:qFormat/>
    <w:uiPriority w:val="99"/>
    <w:pPr>
      <w:widowControl w:val="0"/>
      <w:snapToGrid w:val="0"/>
      <w:spacing w:before="283" w:line="560" w:lineRule="exact"/>
      <w:ind w:firstLine="510"/>
    </w:pPr>
    <w:rPr>
      <w:sz w:val="20"/>
    </w:rPr>
  </w:style>
  <w:style w:type="paragraph" w:styleId="8">
    <w:name w:val="Plain Text"/>
    <w:basedOn w:val="1"/>
    <w:link w:val="60"/>
    <w:qFormat/>
    <w:uiPriority w:val="0"/>
    <w:pPr>
      <w:widowControl w:val="0"/>
      <w:spacing w:line="240" w:lineRule="auto"/>
      <w:textAlignment w:val="auto"/>
    </w:pPr>
    <w:rPr>
      <w:rFonts w:ascii="宋体" w:hAnsi="Courier New"/>
    </w:rPr>
  </w:style>
  <w:style w:type="paragraph" w:styleId="9">
    <w:name w:val="Date"/>
    <w:basedOn w:val="1"/>
    <w:next w:val="1"/>
    <w:link w:val="32"/>
    <w:qFormat/>
    <w:uiPriority w:val="99"/>
    <w:pPr>
      <w:ind w:left="100" w:leftChars="2500"/>
    </w:pPr>
  </w:style>
  <w:style w:type="paragraph" w:styleId="10">
    <w:name w:val="Balloon Text"/>
    <w:basedOn w:val="1"/>
    <w:link w:val="33"/>
    <w:qFormat/>
    <w:uiPriority w:val="99"/>
    <w:pPr>
      <w:spacing w:line="240" w:lineRule="auto"/>
    </w:pPr>
    <w:rPr>
      <w:sz w:val="18"/>
      <w:szCs w:val="18"/>
    </w:rPr>
  </w:style>
  <w:style w:type="paragraph" w:styleId="11">
    <w:name w:val="footer"/>
    <w:basedOn w:val="1"/>
    <w:link w:val="34"/>
    <w:qFormat/>
    <w:uiPriority w:val="99"/>
    <w:pPr>
      <w:tabs>
        <w:tab w:val="center" w:pos="4153"/>
        <w:tab w:val="right" w:pos="8306"/>
      </w:tabs>
      <w:snapToGrid w:val="0"/>
      <w:spacing w:line="240" w:lineRule="atLeast"/>
      <w:jc w:val="left"/>
    </w:pPr>
    <w:rPr>
      <w:sz w:val="18"/>
      <w:szCs w:val="18"/>
    </w:rPr>
  </w:style>
  <w:style w:type="paragraph" w:styleId="12">
    <w:name w:val="header"/>
    <w:basedOn w:val="1"/>
    <w:link w:val="35"/>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Body Text 2"/>
    <w:basedOn w:val="1"/>
    <w:link w:val="36"/>
    <w:qFormat/>
    <w:uiPriority w:val="99"/>
    <w:pPr>
      <w:spacing w:after="120" w:line="480" w:lineRule="auto"/>
    </w:pPr>
    <w:rPr>
      <w:sz w:val="20"/>
    </w:rPr>
  </w:style>
  <w:style w:type="paragraph" w:styleId="16">
    <w:name w:val="Normal (Web)"/>
    <w:basedOn w:val="1"/>
    <w:qFormat/>
    <w:uiPriority w:val="99"/>
    <w:pPr>
      <w:spacing w:before="100" w:beforeAutospacing="1" w:after="100" w:afterAutospacing="1" w:line="240" w:lineRule="auto"/>
      <w:jc w:val="left"/>
      <w:textAlignment w:val="auto"/>
    </w:pPr>
    <w:rPr>
      <w:rFonts w:ascii="宋体" w:hAnsi="宋体" w:cs="宋体"/>
      <w:sz w:val="24"/>
      <w:szCs w:val="24"/>
    </w:rPr>
  </w:style>
  <w:style w:type="paragraph" w:styleId="17">
    <w:name w:val="annotation subject"/>
    <w:basedOn w:val="5"/>
    <w:next w:val="5"/>
    <w:link w:val="29"/>
    <w:semiHidden/>
    <w:qFormat/>
    <w:locked/>
    <w:uiPriority w:val="99"/>
    <w:rPr>
      <w:b/>
      <w:bCs/>
    </w:rPr>
  </w:style>
  <w:style w:type="paragraph" w:styleId="18">
    <w:name w:val="Body Text First Indent"/>
    <w:basedOn w:val="6"/>
    <w:link w:val="66"/>
    <w:semiHidden/>
    <w:unhideWhenUsed/>
    <w:qFormat/>
    <w:locked/>
    <w:uiPriority w:val="99"/>
    <w:pPr>
      <w:ind w:firstLine="420" w:firstLineChars="100"/>
    </w:p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99"/>
    <w:rPr>
      <w:rFonts w:cs="Times New Roman"/>
      <w:b/>
    </w:rPr>
  </w:style>
  <w:style w:type="character" w:styleId="23">
    <w:name w:val="page number"/>
    <w:basedOn w:val="21"/>
    <w:qFormat/>
    <w:uiPriority w:val="99"/>
    <w:rPr>
      <w:rFonts w:cs="Times New Roman"/>
    </w:rPr>
  </w:style>
  <w:style w:type="character" w:styleId="24">
    <w:name w:val="Hyperlink"/>
    <w:basedOn w:val="21"/>
    <w:qFormat/>
    <w:uiPriority w:val="99"/>
    <w:rPr>
      <w:rFonts w:cs="Times New Roman"/>
      <w:color w:val="0368A8"/>
      <w:u w:val="none"/>
    </w:rPr>
  </w:style>
  <w:style w:type="character" w:styleId="25">
    <w:name w:val="annotation reference"/>
    <w:basedOn w:val="21"/>
    <w:semiHidden/>
    <w:qFormat/>
    <w:locked/>
    <w:uiPriority w:val="99"/>
    <w:rPr>
      <w:rFonts w:cs="Times New Roman"/>
      <w:sz w:val="21"/>
      <w:szCs w:val="21"/>
    </w:rPr>
  </w:style>
  <w:style w:type="character" w:customStyle="1" w:styleId="26">
    <w:name w:val="标题 1 Char"/>
    <w:basedOn w:val="21"/>
    <w:link w:val="2"/>
    <w:qFormat/>
    <w:locked/>
    <w:uiPriority w:val="99"/>
    <w:rPr>
      <w:rFonts w:cs="Times New Roman"/>
      <w:b/>
      <w:color w:val="000000"/>
      <w:kern w:val="44"/>
      <w:sz w:val="44"/>
      <w:u w:val="none" w:color="000000"/>
    </w:rPr>
  </w:style>
  <w:style w:type="character" w:customStyle="1" w:styleId="27">
    <w:name w:val="标题 3 Char"/>
    <w:basedOn w:val="21"/>
    <w:link w:val="4"/>
    <w:semiHidden/>
    <w:qFormat/>
    <w:locked/>
    <w:uiPriority w:val="99"/>
    <w:rPr>
      <w:rFonts w:cs="Times New Roman"/>
      <w:b/>
      <w:color w:val="000000"/>
      <w:sz w:val="32"/>
      <w:u w:val="none" w:color="000000"/>
    </w:rPr>
  </w:style>
  <w:style w:type="character" w:customStyle="1" w:styleId="28">
    <w:name w:val="批注文字 Char"/>
    <w:basedOn w:val="21"/>
    <w:link w:val="5"/>
    <w:semiHidden/>
    <w:qFormat/>
    <w:locked/>
    <w:uiPriority w:val="99"/>
    <w:rPr>
      <w:rFonts w:cs="Times New Roman"/>
      <w:color w:val="000000"/>
      <w:sz w:val="21"/>
      <w:u w:color="000000"/>
    </w:rPr>
  </w:style>
  <w:style w:type="character" w:customStyle="1" w:styleId="29">
    <w:name w:val="批注主题 Char"/>
    <w:basedOn w:val="28"/>
    <w:link w:val="17"/>
    <w:semiHidden/>
    <w:qFormat/>
    <w:locked/>
    <w:uiPriority w:val="99"/>
    <w:rPr>
      <w:rFonts w:cs="Times New Roman"/>
      <w:b/>
      <w:bCs/>
      <w:color w:val="000000"/>
      <w:sz w:val="21"/>
      <w:u w:color="000000"/>
    </w:rPr>
  </w:style>
  <w:style w:type="character" w:customStyle="1" w:styleId="30">
    <w:name w:val="正文文本缩进 Char"/>
    <w:basedOn w:val="21"/>
    <w:link w:val="7"/>
    <w:semiHidden/>
    <w:qFormat/>
    <w:locked/>
    <w:uiPriority w:val="99"/>
    <w:rPr>
      <w:rFonts w:cs="Times New Roman"/>
      <w:color w:val="000000"/>
      <w:kern w:val="0"/>
      <w:sz w:val="20"/>
      <w:u w:val="none" w:color="000000"/>
    </w:rPr>
  </w:style>
  <w:style w:type="character" w:customStyle="1" w:styleId="31">
    <w:name w:val="Plain Text Char"/>
    <w:basedOn w:val="21"/>
    <w:qFormat/>
    <w:locked/>
    <w:uiPriority w:val="99"/>
    <w:rPr>
      <w:rFonts w:ascii="宋体" w:hAnsi="Courier New" w:eastAsia="宋体" w:cs="Times New Roman"/>
      <w:kern w:val="2"/>
      <w:sz w:val="21"/>
      <w:lang w:val="en-US" w:eastAsia="zh-CN"/>
    </w:rPr>
  </w:style>
  <w:style w:type="character" w:customStyle="1" w:styleId="32">
    <w:name w:val="日期 Char"/>
    <w:basedOn w:val="21"/>
    <w:link w:val="9"/>
    <w:qFormat/>
    <w:locked/>
    <w:uiPriority w:val="99"/>
    <w:rPr>
      <w:rFonts w:cs="Times New Roman"/>
      <w:color w:val="000000"/>
      <w:sz w:val="21"/>
      <w:u w:val="none" w:color="000000"/>
    </w:rPr>
  </w:style>
  <w:style w:type="character" w:customStyle="1" w:styleId="33">
    <w:name w:val="批注框文本 Char"/>
    <w:basedOn w:val="21"/>
    <w:link w:val="10"/>
    <w:qFormat/>
    <w:locked/>
    <w:uiPriority w:val="99"/>
    <w:rPr>
      <w:rFonts w:cs="Times New Roman"/>
      <w:color w:val="000000"/>
      <w:sz w:val="18"/>
      <w:u w:val="none" w:color="000000"/>
    </w:rPr>
  </w:style>
  <w:style w:type="character" w:customStyle="1" w:styleId="34">
    <w:name w:val="页脚 Char"/>
    <w:basedOn w:val="21"/>
    <w:link w:val="11"/>
    <w:semiHidden/>
    <w:qFormat/>
    <w:locked/>
    <w:uiPriority w:val="99"/>
    <w:rPr>
      <w:rFonts w:cs="Times New Roman"/>
      <w:color w:val="000000"/>
      <w:kern w:val="0"/>
      <w:sz w:val="18"/>
      <w:u w:val="none" w:color="000000"/>
    </w:rPr>
  </w:style>
  <w:style w:type="character" w:customStyle="1" w:styleId="35">
    <w:name w:val="页眉 Char"/>
    <w:basedOn w:val="21"/>
    <w:link w:val="12"/>
    <w:semiHidden/>
    <w:qFormat/>
    <w:locked/>
    <w:uiPriority w:val="99"/>
    <w:rPr>
      <w:rFonts w:cs="Times New Roman"/>
      <w:color w:val="000000"/>
      <w:kern w:val="0"/>
      <w:sz w:val="18"/>
      <w:u w:val="none" w:color="000000"/>
    </w:rPr>
  </w:style>
  <w:style w:type="character" w:customStyle="1" w:styleId="36">
    <w:name w:val="正文文本 2 Char"/>
    <w:basedOn w:val="21"/>
    <w:link w:val="15"/>
    <w:semiHidden/>
    <w:qFormat/>
    <w:locked/>
    <w:uiPriority w:val="99"/>
    <w:rPr>
      <w:rFonts w:cs="Times New Roman"/>
      <w:color w:val="000000"/>
      <w:kern w:val="0"/>
      <w:sz w:val="20"/>
      <w:u w:val="none" w:color="000000"/>
    </w:rPr>
  </w:style>
  <w:style w:type="paragraph" w:customStyle="1" w:styleId="37">
    <w:name w:val="目录1"/>
    <w:basedOn w:val="1"/>
    <w:next w:val="1"/>
    <w:qFormat/>
    <w:uiPriority w:val="99"/>
    <w:pPr>
      <w:tabs>
        <w:tab w:val="left" w:leader="dot" w:pos="8503"/>
      </w:tabs>
      <w:spacing w:after="136" w:line="289" w:lineRule="atLeast"/>
      <w:jc w:val="left"/>
    </w:pPr>
    <w:rPr>
      <w:rFonts w:ascii="Arial" w:eastAsia="黑体"/>
      <w:sz w:val="28"/>
    </w:rPr>
  </w:style>
  <w:style w:type="paragraph" w:customStyle="1" w:styleId="38">
    <w:name w:val="章标题"/>
    <w:basedOn w:val="1"/>
    <w:next w:val="39"/>
    <w:qFormat/>
    <w:uiPriority w:val="99"/>
    <w:pPr>
      <w:spacing w:before="158" w:after="153" w:line="323" w:lineRule="atLeast"/>
      <w:jc w:val="center"/>
    </w:pPr>
    <w:rPr>
      <w:rFonts w:ascii="Arial" w:eastAsia="黑体"/>
      <w:sz w:val="31"/>
    </w:rPr>
  </w:style>
  <w:style w:type="paragraph" w:customStyle="1" w:styleId="39">
    <w:name w:val="节标题"/>
    <w:basedOn w:val="1"/>
    <w:next w:val="40"/>
    <w:qFormat/>
    <w:uiPriority w:val="99"/>
    <w:pPr>
      <w:spacing w:line="289" w:lineRule="atLeast"/>
      <w:jc w:val="center"/>
    </w:pPr>
    <w:rPr>
      <w:sz w:val="28"/>
    </w:rPr>
  </w:style>
  <w:style w:type="paragraph" w:customStyle="1" w:styleId="40">
    <w:name w:val="小节标题"/>
    <w:basedOn w:val="1"/>
    <w:next w:val="1"/>
    <w:qFormat/>
    <w:uiPriority w:val="99"/>
    <w:pPr>
      <w:spacing w:before="175" w:after="102" w:line="351" w:lineRule="atLeast"/>
    </w:pPr>
    <w:rPr>
      <w:rFonts w:eastAsia="黑体"/>
    </w:rPr>
  </w:style>
  <w:style w:type="paragraph" w:customStyle="1" w:styleId="41">
    <w:name w:val="目录2"/>
    <w:basedOn w:val="1"/>
    <w:next w:val="1"/>
    <w:qFormat/>
    <w:uiPriority w:val="99"/>
    <w:pPr>
      <w:tabs>
        <w:tab w:val="left" w:leader="dot" w:pos="8503"/>
      </w:tabs>
      <w:spacing w:line="317" w:lineRule="atLeast"/>
      <w:ind w:firstLine="209"/>
    </w:pPr>
  </w:style>
  <w:style w:type="paragraph" w:customStyle="1" w:styleId="42">
    <w:name w:val="目录4"/>
    <w:basedOn w:val="1"/>
    <w:next w:val="1"/>
    <w:qFormat/>
    <w:uiPriority w:val="99"/>
    <w:pPr>
      <w:tabs>
        <w:tab w:val="left" w:leader="dot" w:pos="8503"/>
      </w:tabs>
      <w:spacing w:line="317" w:lineRule="atLeast"/>
      <w:ind w:firstLine="629"/>
    </w:pPr>
  </w:style>
  <w:style w:type="paragraph" w:customStyle="1" w:styleId="43">
    <w:name w:val="1 Char Char Char Char"/>
    <w:basedOn w:val="1"/>
    <w:qFormat/>
    <w:uiPriority w:val="99"/>
    <w:pPr>
      <w:widowControl w:val="0"/>
      <w:spacing w:line="240" w:lineRule="auto"/>
      <w:textAlignment w:val="auto"/>
    </w:pPr>
    <w:rPr>
      <w:rFonts w:ascii="Tahoma" w:hAnsi="Tahoma" w:cs="Tahoma"/>
      <w:color w:val="auto"/>
      <w:kern w:val="2"/>
      <w:sz w:val="24"/>
      <w:szCs w:val="24"/>
    </w:rPr>
  </w:style>
  <w:style w:type="paragraph" w:customStyle="1" w:styleId="44">
    <w:name w:val="Char Char Char"/>
    <w:basedOn w:val="1"/>
    <w:qFormat/>
    <w:uiPriority w:val="99"/>
    <w:pPr>
      <w:widowControl w:val="0"/>
      <w:spacing w:line="240" w:lineRule="auto"/>
      <w:textAlignment w:val="auto"/>
    </w:pPr>
    <w:rPr>
      <w:rFonts w:ascii="Tahoma" w:hAnsi="Tahoma"/>
      <w:color w:val="auto"/>
      <w:kern w:val="2"/>
      <w:sz w:val="24"/>
    </w:rPr>
  </w:style>
  <w:style w:type="paragraph" w:customStyle="1" w:styleId="45">
    <w:name w:val="目录3"/>
    <w:basedOn w:val="1"/>
    <w:next w:val="1"/>
    <w:qFormat/>
    <w:uiPriority w:val="99"/>
    <w:pPr>
      <w:tabs>
        <w:tab w:val="left" w:leader="dot" w:pos="8503"/>
      </w:tabs>
      <w:spacing w:line="317" w:lineRule="atLeast"/>
      <w:ind w:firstLine="419"/>
    </w:pPr>
  </w:style>
  <w:style w:type="paragraph" w:customStyle="1" w:styleId="46">
    <w:name w:val="目录标题"/>
    <w:basedOn w:val="1"/>
    <w:next w:val="1"/>
    <w:qFormat/>
    <w:uiPriority w:val="99"/>
    <w:pPr>
      <w:spacing w:before="566" w:after="544" w:line="566" w:lineRule="atLeast"/>
      <w:ind w:firstLine="419"/>
      <w:jc w:val="center"/>
    </w:pPr>
    <w:rPr>
      <w:rFonts w:ascii="Arial" w:eastAsia="黑体"/>
      <w:spacing w:val="566"/>
      <w:sz w:val="54"/>
    </w:rPr>
  </w:style>
  <w:style w:type="paragraph" w:customStyle="1" w:styleId="47">
    <w:name w:val="文章总标题"/>
    <w:basedOn w:val="1"/>
    <w:next w:val="48"/>
    <w:qFormat/>
    <w:uiPriority w:val="99"/>
    <w:pPr>
      <w:spacing w:before="566" w:after="544" w:line="566" w:lineRule="atLeast"/>
      <w:jc w:val="center"/>
    </w:pPr>
    <w:rPr>
      <w:rFonts w:ascii="Arial" w:eastAsia="黑体"/>
      <w:sz w:val="54"/>
    </w:rPr>
  </w:style>
  <w:style w:type="paragraph" w:customStyle="1" w:styleId="48">
    <w:name w:val="文章附标题"/>
    <w:basedOn w:val="1"/>
    <w:next w:val="38"/>
    <w:qFormat/>
    <w:uiPriority w:val="99"/>
    <w:pPr>
      <w:spacing w:before="187" w:after="175" w:line="374" w:lineRule="atLeast"/>
      <w:jc w:val="center"/>
    </w:pPr>
    <w:rPr>
      <w:sz w:val="36"/>
    </w:rPr>
  </w:style>
  <w:style w:type="paragraph" w:customStyle="1" w:styleId="49">
    <w:name w:val="Char1"/>
    <w:basedOn w:val="1"/>
    <w:qFormat/>
    <w:uiPriority w:val="99"/>
    <w:pPr>
      <w:widowControl w:val="0"/>
      <w:spacing w:line="240" w:lineRule="auto"/>
      <w:textAlignment w:val="auto"/>
    </w:pPr>
    <w:rPr>
      <w:rFonts w:ascii="Tahoma" w:hAnsi="Tahoma"/>
      <w:color w:val="auto"/>
      <w:kern w:val="2"/>
      <w:sz w:val="24"/>
    </w:rPr>
  </w:style>
  <w:style w:type="paragraph" w:customStyle="1" w:styleId="50">
    <w:name w:val="Char11"/>
    <w:basedOn w:val="1"/>
    <w:qFormat/>
    <w:uiPriority w:val="99"/>
    <w:pPr>
      <w:widowControl w:val="0"/>
      <w:spacing w:line="240" w:lineRule="auto"/>
      <w:textAlignment w:val="auto"/>
    </w:pPr>
    <w:rPr>
      <w:rFonts w:ascii="Tahoma" w:hAnsi="Tahoma"/>
      <w:color w:val="auto"/>
      <w:kern w:val="2"/>
      <w:sz w:val="24"/>
    </w:rPr>
  </w:style>
  <w:style w:type="paragraph" w:customStyle="1" w:styleId="51">
    <w:name w:val="Char Char Char Char Char Char Char"/>
    <w:basedOn w:val="1"/>
    <w:qFormat/>
    <w:uiPriority w:val="99"/>
    <w:pPr>
      <w:widowControl w:val="0"/>
      <w:spacing w:line="240" w:lineRule="auto"/>
      <w:textAlignment w:val="auto"/>
    </w:pPr>
    <w:rPr>
      <w:rFonts w:ascii="Tahoma" w:hAnsi="Tahoma"/>
      <w:color w:val="auto"/>
      <w:kern w:val="2"/>
      <w:sz w:val="24"/>
    </w:rPr>
  </w:style>
  <w:style w:type="paragraph" w:customStyle="1" w:styleId="52">
    <w:name w:val="WPS Plain"/>
    <w:qFormat/>
    <w:uiPriority w:val="99"/>
    <w:rPr>
      <w:rFonts w:ascii="Times New Roman" w:hAnsi="Times New Roman" w:eastAsia="宋体" w:cs="Times New Roman"/>
      <w:lang w:val="en-US" w:eastAsia="zh-CN" w:bidi="ar-SA"/>
    </w:rPr>
  </w:style>
  <w:style w:type="paragraph" w:customStyle="1" w:styleId="53">
    <w:name w:val="cjk"/>
    <w:basedOn w:val="1"/>
    <w:qFormat/>
    <w:uiPriority w:val="99"/>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54">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5">
    <w:name w:val="TOC Heading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56">
    <w:name w:val="List Paragraph1"/>
    <w:basedOn w:val="1"/>
    <w:qFormat/>
    <w:uiPriority w:val="99"/>
    <w:pPr>
      <w:ind w:firstLine="420" w:firstLineChars="200"/>
    </w:pPr>
  </w:style>
  <w:style w:type="character" w:customStyle="1" w:styleId="57">
    <w:name w:val="链接"/>
    <w:qFormat/>
    <w:uiPriority w:val="99"/>
    <w:rPr>
      <w:rFonts w:ascii="Times New Roman" w:eastAsia="宋体"/>
      <w:color w:val="0000FF"/>
      <w:sz w:val="21"/>
      <w:u w:val="single" w:color="0000FF"/>
      <w:lang w:val="en-US" w:eastAsia="zh-CN"/>
    </w:rPr>
  </w:style>
  <w:style w:type="character" w:customStyle="1" w:styleId="58">
    <w:name w:val="超级链接"/>
    <w:qFormat/>
    <w:uiPriority w:val="99"/>
    <w:rPr>
      <w:rFonts w:ascii="Times New Roman" w:eastAsia="宋体"/>
      <w:color w:val="0000FF"/>
      <w:sz w:val="21"/>
      <w:u w:val="single" w:color="0000FF"/>
      <w:lang w:val="en-US" w:eastAsia="zh-CN"/>
    </w:rPr>
  </w:style>
  <w:style w:type="character" w:customStyle="1" w:styleId="59">
    <w:name w:val="param_td12"/>
    <w:qFormat/>
    <w:uiPriority w:val="99"/>
  </w:style>
  <w:style w:type="character" w:customStyle="1" w:styleId="60">
    <w:name w:val="纯文本 Char"/>
    <w:link w:val="8"/>
    <w:qFormat/>
    <w:locked/>
    <w:uiPriority w:val="0"/>
    <w:rPr>
      <w:rFonts w:ascii="宋体" w:hAnsi="Courier New"/>
      <w:color w:val="000000"/>
      <w:kern w:val="0"/>
      <w:sz w:val="21"/>
      <w:u w:val="none" w:color="000000"/>
    </w:rPr>
  </w:style>
  <w:style w:type="character" w:customStyle="1" w:styleId="61">
    <w:name w:val="纯文本 Char Char"/>
    <w:qFormat/>
    <w:uiPriority w:val="99"/>
    <w:rPr>
      <w:rFonts w:ascii="宋体" w:hAnsi="Courier New" w:eastAsia="宋体"/>
      <w:kern w:val="2"/>
      <w:sz w:val="21"/>
      <w:lang w:val="en-US" w:eastAsia="zh-CN"/>
    </w:rPr>
  </w:style>
  <w:style w:type="character" w:customStyle="1" w:styleId="62">
    <w:name w:val="Char Char4"/>
    <w:qFormat/>
    <w:uiPriority w:val="99"/>
    <w:rPr>
      <w:rFonts w:ascii="宋体" w:eastAsia="宋体"/>
      <w:kern w:val="2"/>
      <w:sz w:val="28"/>
    </w:rPr>
  </w:style>
  <w:style w:type="character" w:customStyle="1" w:styleId="63">
    <w:name w:val="纯文本 Char1"/>
    <w:qFormat/>
    <w:locked/>
    <w:uiPriority w:val="99"/>
    <w:rPr>
      <w:rFonts w:ascii="宋体" w:hAnsi="Courier New"/>
      <w:kern w:val="2"/>
      <w:sz w:val="21"/>
      <w:u w:color="000000"/>
    </w:rPr>
  </w:style>
  <w:style w:type="character" w:customStyle="1" w:styleId="64">
    <w:name w:val="15"/>
    <w:basedOn w:val="21"/>
    <w:qFormat/>
    <w:uiPriority w:val="99"/>
    <w:rPr>
      <w:rFonts w:cs="Times New Roman"/>
    </w:rPr>
  </w:style>
  <w:style w:type="character" w:customStyle="1" w:styleId="65">
    <w:name w:val="正文文本 Char"/>
    <w:basedOn w:val="21"/>
    <w:link w:val="6"/>
    <w:semiHidden/>
    <w:qFormat/>
    <w:uiPriority w:val="99"/>
    <w:rPr>
      <w:color w:val="000000"/>
      <w:sz w:val="21"/>
      <w:u w:color="000000"/>
    </w:rPr>
  </w:style>
  <w:style w:type="character" w:customStyle="1" w:styleId="66">
    <w:name w:val="正文首行缩进 Char"/>
    <w:basedOn w:val="65"/>
    <w:link w:val="18"/>
    <w:semiHidden/>
    <w:qFormat/>
    <w:uiPriority w:val="99"/>
    <w:rPr>
      <w:color w:val="000000"/>
      <w:sz w:val="21"/>
      <w:u w:color="000000"/>
    </w:rPr>
  </w:style>
  <w:style w:type="character" w:customStyle="1" w:styleId="67">
    <w:name w:val="标题 2 Char"/>
    <w:basedOn w:val="21"/>
    <w:link w:val="3"/>
    <w:semiHidden/>
    <w:qFormat/>
    <w:uiPriority w:val="0"/>
    <w:rPr>
      <w:rFonts w:asciiTheme="majorHAnsi" w:hAnsiTheme="majorHAnsi" w:eastAsiaTheme="majorEastAsia" w:cstheme="majorBidi"/>
      <w:b/>
      <w:bCs/>
      <w:color w:val="000000"/>
      <w:sz w:val="32"/>
      <w:szCs w:val="32"/>
      <w:u w:color="000000"/>
    </w:rPr>
  </w:style>
  <w:style w:type="paragraph" w:styleId="68">
    <w:name w:val="List Paragraph"/>
    <w:basedOn w:val="1"/>
    <w:unhideWhenUsed/>
    <w:qFormat/>
    <w:uiPriority w:val="34"/>
    <w:pPr>
      <w:ind w:firstLine="420" w:firstLineChars="200"/>
    </w:pPr>
  </w:style>
  <w:style w:type="character" w:customStyle="1" w:styleId="69">
    <w:name w:val="页眉或页脚 + Calibri"/>
    <w:uiPriority w:val="0"/>
    <w:rPr>
      <w:rFonts w:ascii="Calibri" w:hAnsi="Calibri" w:eastAsia="Calibri" w:cs="Calibri"/>
      <w:color w:val="000000"/>
      <w:spacing w:val="0"/>
      <w:w w:val="100"/>
      <w:position w:val="0"/>
      <w:sz w:val="20"/>
      <w:szCs w:val="20"/>
      <w:u w:val="none"/>
      <w:lang w:val="zh-CN" w:eastAsia="zh-CN" w:bidi="zh-CN"/>
    </w:rPr>
  </w:style>
  <w:style w:type="character" w:customStyle="1" w:styleId="70">
    <w:name w:val="页眉或页脚"/>
    <w:qFormat/>
    <w:uiPriority w:val="0"/>
    <w:rPr>
      <w:rFonts w:ascii="MingLiU" w:hAnsi="MingLiU" w:eastAsia="MingLiU" w:cs="MingLiU"/>
      <w:color w:val="000000"/>
      <w:spacing w:val="0"/>
      <w:w w:val="100"/>
      <w:position w:val="0"/>
      <w:sz w:val="18"/>
      <w:szCs w:val="18"/>
      <w:u w:val="none"/>
      <w:lang w:val="zh-CN" w:eastAsia="zh-CN" w:bidi="zh-CN"/>
    </w:rPr>
  </w:style>
  <w:style w:type="paragraph" w:customStyle="1" w:styleId="71">
    <w:name w:val="正文文本 (2)"/>
    <w:basedOn w:val="1"/>
    <w:link w:val="72"/>
    <w:qFormat/>
    <w:uiPriority w:val="0"/>
    <w:pPr>
      <w:widowControl w:val="0"/>
      <w:shd w:val="clear" w:color="auto" w:fill="FFFFFF"/>
      <w:spacing w:after="660" w:line="0" w:lineRule="atLeast"/>
      <w:jc w:val="left"/>
      <w:textAlignment w:val="auto"/>
    </w:pPr>
    <w:rPr>
      <w:rFonts w:ascii="MingLiU" w:hAnsi="MingLiU" w:eastAsia="MingLiU" w:cs="MingLiU"/>
      <w:color w:val="auto"/>
      <w:spacing w:val="30"/>
      <w:sz w:val="30"/>
      <w:szCs w:val="30"/>
    </w:rPr>
  </w:style>
  <w:style w:type="character" w:customStyle="1" w:styleId="72">
    <w:name w:val="正文文本 (2)_"/>
    <w:link w:val="71"/>
    <w:qFormat/>
    <w:uiPriority w:val="0"/>
    <w:rPr>
      <w:rFonts w:ascii="MingLiU" w:hAnsi="MingLiU" w:eastAsia="MingLiU" w:cs="MingLiU"/>
      <w:spacing w:val="30"/>
      <w:sz w:val="30"/>
      <w:szCs w:val="30"/>
      <w:u w:color="000000"/>
      <w:shd w:val="clear" w:color="auto" w:fill="FFFFFF"/>
    </w:rPr>
  </w:style>
  <w:style w:type="paragraph" w:customStyle="1" w:styleId="73">
    <w:name w:val="首行缩进"/>
    <w:basedOn w:val="1"/>
    <w:qFormat/>
    <w:uiPriority w:val="0"/>
    <w:pPr>
      <w:widowControl w:val="0"/>
      <w:spacing w:line="360" w:lineRule="auto"/>
      <w:ind w:firstLine="480" w:firstLineChars="200"/>
      <w:textAlignment w:val="auto"/>
    </w:pPr>
    <w:rPr>
      <w:rFonts w:ascii="宋体" w:hAnsi="宋体"/>
      <w:color w:val="auto"/>
      <w:sz w:val="24"/>
      <w:szCs w:val="24"/>
    </w:rPr>
  </w:style>
  <w:style w:type="paragraph" w:customStyle="1" w:styleId="74">
    <w:name w:val="Table Paragraph"/>
    <w:basedOn w:val="1"/>
    <w:qFormat/>
    <w:uiPriority w:val="1"/>
    <w:pPr>
      <w:widowControl w:val="0"/>
      <w:spacing w:before="81" w:line="240" w:lineRule="auto"/>
      <w:ind w:left="366"/>
      <w:textAlignment w:val="auto"/>
    </w:pPr>
    <w:rPr>
      <w:rFonts w:ascii="宋体" w:hAnsi="宋体" w:cs="宋体"/>
      <w:color w:val="auto"/>
      <w:kern w:val="2"/>
      <w:sz w:val="24"/>
      <w:szCs w:val="24"/>
      <w:lang w:val="zh-CN" w:bidi="zh-CN"/>
    </w:rPr>
  </w:style>
  <w:style w:type="paragraph" w:styleId="75">
    <w:name w:val="No Spacing"/>
    <w:qFormat/>
    <w:uiPriority w:val="1"/>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BCC28C-30A5-4FC1-B915-2FCE7E8DD18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81</Pages>
  <Words>45517</Words>
  <Characters>49193</Characters>
  <Lines>79</Lines>
  <Paragraphs>110</Paragraphs>
  <TotalTime>111</TotalTime>
  <ScaleCrop>false</ScaleCrop>
  <LinksUpToDate>false</LinksUpToDate>
  <CharactersWithSpaces>50788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2022-09-23T04:57:00Z</dcterms:created>
  <dc:creator>ZM</dc:creator>
  <cp:lastModifiedBy>Administrator</cp:lastModifiedBy>
  <cp:lastPrinted>2022-09-23T02:26:00Z</cp:lastPrinted>
  <dcterms:modified xsi:type="dcterms:W3CDTF">2022-10-14T06:16:19Z</dcterms:modified>
  <dc:title>内黄县第一高级中学所需多媒体教室设备项目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63DF458018DC4C6585AACC176716B5B9</vt:lpwstr>
  </property>
</Properties>
</file>