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1C2E5">
      <w:pPr>
        <w:keepNext w:val="0"/>
        <w:keepLines w:val="0"/>
        <w:pageBreakBefore w:val="0"/>
        <w:kinsoku/>
        <w:wordWrap/>
        <w:overflowPunct/>
        <w:topLinePunct w:val="0"/>
        <w:autoSpaceDE/>
        <w:autoSpaceDN/>
        <w:bidi w:val="0"/>
        <w:spacing w:after="0" w:line="500" w:lineRule="exact"/>
        <w:jc w:val="center"/>
        <w:textAlignment w:val="baseline"/>
        <w:rPr>
          <w:rFonts w:hint="eastAsia" w:ascii="宋体" w:hAnsi="宋体" w:cs="宋体"/>
          <w:b/>
          <w:bCs/>
          <w:color w:val="auto"/>
          <w:sz w:val="40"/>
          <w:szCs w:val="40"/>
          <w:lang w:eastAsia="zh-CN"/>
        </w:rPr>
      </w:pPr>
    </w:p>
    <w:p w14:paraId="70F9C833">
      <w:pPr>
        <w:keepNext w:val="0"/>
        <w:keepLines w:val="0"/>
        <w:pageBreakBefore w:val="0"/>
        <w:kinsoku/>
        <w:wordWrap/>
        <w:overflowPunct/>
        <w:topLinePunct w:val="0"/>
        <w:autoSpaceDE/>
        <w:autoSpaceDN/>
        <w:bidi w:val="0"/>
        <w:spacing w:after="0" w:line="500" w:lineRule="exact"/>
        <w:jc w:val="center"/>
        <w:textAlignment w:val="baseline"/>
        <w:rPr>
          <w:rFonts w:hint="eastAsia" w:ascii="宋体" w:hAnsi="宋体" w:cs="宋体"/>
          <w:b/>
          <w:bCs/>
          <w:color w:val="auto"/>
          <w:sz w:val="40"/>
          <w:szCs w:val="40"/>
          <w:lang w:eastAsia="zh-CN"/>
        </w:rPr>
      </w:pPr>
      <w:r>
        <w:rPr>
          <w:rFonts w:hint="eastAsia" w:ascii="宋体" w:hAnsi="宋体" w:cs="宋体"/>
          <w:b/>
          <w:bCs/>
          <w:color w:val="auto"/>
          <w:sz w:val="40"/>
          <w:szCs w:val="40"/>
          <w:lang w:eastAsia="zh-CN"/>
        </w:rPr>
        <w:t>汤阴县农业农村局汤阴县2025年“一喷三防”项目</w:t>
      </w:r>
    </w:p>
    <w:p w14:paraId="41087B6B">
      <w:pPr>
        <w:keepNext w:val="0"/>
        <w:keepLines w:val="0"/>
        <w:pageBreakBefore w:val="0"/>
        <w:kinsoku/>
        <w:wordWrap/>
        <w:overflowPunct/>
        <w:topLinePunct w:val="0"/>
        <w:autoSpaceDE/>
        <w:autoSpaceDN/>
        <w:bidi w:val="0"/>
        <w:spacing w:after="0" w:line="500" w:lineRule="exact"/>
        <w:jc w:val="center"/>
        <w:textAlignment w:val="baseline"/>
        <w:rPr>
          <w:rFonts w:hint="default" w:ascii="宋体" w:hAnsi="宋体" w:eastAsia="宋体" w:cs="宋体"/>
          <w:b/>
          <w:bCs/>
          <w:color w:val="auto"/>
          <w:sz w:val="40"/>
          <w:szCs w:val="40"/>
          <w:lang w:val="en-US"/>
        </w:rPr>
      </w:pPr>
      <w:r>
        <w:rPr>
          <w:rFonts w:hint="eastAsia" w:ascii="宋体" w:hAnsi="宋体" w:cs="宋体"/>
          <w:b/>
          <w:bCs/>
          <w:color w:val="auto"/>
          <w:sz w:val="40"/>
          <w:szCs w:val="40"/>
          <w:lang w:val="en-US" w:eastAsia="zh-CN"/>
        </w:rPr>
        <w:t>招标公告</w:t>
      </w:r>
    </w:p>
    <w:p w14:paraId="72D98BF9">
      <w:pPr>
        <w:keepNext w:val="0"/>
        <w:keepLines w:val="0"/>
        <w:pageBreakBefore w:val="0"/>
        <w:kinsoku/>
        <w:wordWrap/>
        <w:overflowPunct/>
        <w:topLinePunct w:val="0"/>
        <w:autoSpaceDE/>
        <w:autoSpaceDN/>
        <w:bidi w:val="0"/>
        <w:spacing w:after="0" w:line="500" w:lineRule="exact"/>
        <w:textAlignment w:val="baseline"/>
        <w:rPr>
          <w:rFonts w:hint="eastAsia" w:ascii="宋体" w:hAnsi="宋体" w:eastAsia="宋体" w:cs="宋体"/>
          <w:color w:val="auto"/>
          <w:sz w:val="24"/>
          <w:szCs w:val="24"/>
        </w:rPr>
      </w:pPr>
    </w:p>
    <w:p w14:paraId="69673245">
      <w:pPr>
        <w:keepNext w:val="0"/>
        <w:keepLines w:val="0"/>
        <w:pageBreakBefore w:val="0"/>
        <w:kinsoku/>
        <w:wordWrap/>
        <w:overflowPunct/>
        <w:topLinePunct w:val="0"/>
        <w:autoSpaceDE/>
        <w:autoSpaceDN/>
        <w:bidi w:val="0"/>
        <w:spacing w:after="0" w:line="50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1136BA29">
      <w:pPr>
        <w:keepNext w:val="0"/>
        <w:keepLines w:val="0"/>
        <w:pageBreakBefore w:val="0"/>
        <w:kinsoku/>
        <w:wordWrap/>
        <w:overflowPunct/>
        <w:topLinePunct w:val="0"/>
        <w:autoSpaceDE/>
        <w:autoSpaceDN/>
        <w:bidi w:val="0"/>
        <w:spacing w:after="0" w:line="500" w:lineRule="exact"/>
        <w:ind w:firstLine="480" w:firstLineChars="200"/>
        <w:textAlignment w:val="baseline"/>
        <w:rPr>
          <w:rFonts w:hint="eastAsia" w:ascii="宋体" w:hAnsi="宋体" w:eastAsia="宋体" w:cs="宋体"/>
          <w:color w:val="auto"/>
        </w:rPr>
      </w:pPr>
      <w:r>
        <w:rPr>
          <w:rFonts w:hint="eastAsia" w:ascii="宋体" w:hAnsi="宋体" w:cs="宋体"/>
          <w:color w:val="auto"/>
          <w:sz w:val="24"/>
          <w:szCs w:val="24"/>
          <w:lang w:eastAsia="zh-CN"/>
        </w:rPr>
        <w:t>汤阴县农业农村局汤阴县2025年“一喷三防”项目</w:t>
      </w:r>
      <w:r>
        <w:rPr>
          <w:rFonts w:hint="eastAsia" w:ascii="宋体" w:hAnsi="宋体" w:eastAsia="宋体" w:cs="宋体"/>
          <w:color w:val="auto"/>
          <w:sz w:val="24"/>
          <w:szCs w:val="24"/>
        </w:rPr>
        <w:t>的潜在投标人应在汤阴县公共资源交易中心（网上登录获取）</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"http://ggzy.anyang.gov.cn/index_ty）获取招标文件，并于2023年4月" </w:instrText>
      </w:r>
      <w:r>
        <w:rPr>
          <w:rFonts w:hint="eastAsia" w:ascii="宋体" w:hAnsi="宋体" w:eastAsia="宋体" w:cs="宋体"/>
          <w:color w:val="auto"/>
        </w:rPr>
        <w:fldChar w:fldCharType="separate"/>
      </w:r>
      <w:r>
        <w:rPr>
          <w:rStyle w:val="5"/>
          <w:rFonts w:hint="eastAsia" w:ascii="宋体" w:hAnsi="宋体" w:eastAsia="宋体" w:cs="宋体"/>
          <w:color w:val="auto"/>
          <w:sz w:val="24"/>
          <w:szCs w:val="24"/>
        </w:rPr>
        <w:t>获取招标文件，并于202</w:t>
      </w:r>
      <w:r>
        <w:rPr>
          <w:rStyle w:val="5"/>
          <w:rFonts w:hint="eastAsia" w:ascii="宋体" w:hAnsi="宋体" w:cs="宋体"/>
          <w:color w:val="auto"/>
          <w:sz w:val="24"/>
          <w:szCs w:val="24"/>
          <w:lang w:val="en-US" w:eastAsia="zh-CN"/>
        </w:rPr>
        <w:t>5</w:t>
      </w:r>
      <w:r>
        <w:rPr>
          <w:rStyle w:val="5"/>
          <w:rFonts w:hint="eastAsia" w:ascii="宋体" w:hAnsi="宋体" w:eastAsia="宋体" w:cs="宋体"/>
          <w:color w:val="auto"/>
          <w:sz w:val="24"/>
          <w:szCs w:val="24"/>
        </w:rPr>
        <w:t>年</w:t>
      </w:r>
      <w:r>
        <w:rPr>
          <w:rStyle w:val="5"/>
          <w:rFonts w:hint="eastAsia" w:ascii="宋体" w:hAnsi="宋体" w:cs="宋体"/>
          <w:color w:val="auto"/>
          <w:sz w:val="24"/>
          <w:szCs w:val="24"/>
          <w:lang w:val="en-US" w:eastAsia="zh-CN"/>
        </w:rPr>
        <w:t xml:space="preserve"> 4 </w:t>
      </w:r>
      <w:r>
        <w:rPr>
          <w:rStyle w:val="5"/>
          <w:rFonts w:hint="eastAsia" w:ascii="宋体" w:hAnsi="宋体" w:eastAsia="宋体" w:cs="宋体"/>
          <w:color w:val="auto"/>
          <w:sz w:val="24"/>
          <w:szCs w:val="24"/>
        </w:rPr>
        <w:t>月</w:t>
      </w:r>
      <w:r>
        <w:rPr>
          <w:rStyle w:val="5"/>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 xml:space="preserve"> 16 </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0分（北京时间）前递交响应文件。</w:t>
      </w:r>
    </w:p>
    <w:p w14:paraId="4EFF524C">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25"/>
        <w:jc w:val="left"/>
        <w:textAlignment w:val="baseline"/>
        <w:rPr>
          <w:rFonts w:hint="eastAsia" w:ascii="黑体" w:hAnsi="黑体" w:eastAsia="黑体"/>
          <w:b/>
          <w:color w:val="auto"/>
          <w:sz w:val="28"/>
          <w:szCs w:val="28"/>
          <w:highlight w:val="none"/>
        </w:rPr>
      </w:pPr>
    </w:p>
    <w:p w14:paraId="787D011B">
      <w:pPr>
        <w:keepNext w:val="0"/>
        <w:keepLines w:val="0"/>
        <w:pageBreakBefore w:val="0"/>
        <w:widowControl w:val="0"/>
        <w:kinsoku/>
        <w:wordWrap/>
        <w:overflowPunct/>
        <w:topLinePunct w:val="0"/>
        <w:autoSpaceDE/>
        <w:autoSpaceDN/>
        <w:bidi w:val="0"/>
        <w:adjustRightInd w:val="0"/>
        <w:snapToGrid w:val="0"/>
        <w:spacing w:line="500" w:lineRule="exact"/>
        <w:jc w:val="left"/>
        <w:rPr>
          <w:rFonts w:hint="eastAsia" w:ascii="宋体" w:hAnsi="宋体"/>
          <w:b/>
          <w:bCs/>
          <w:color w:val="auto"/>
          <w:sz w:val="28"/>
          <w:szCs w:val="28"/>
          <w:highlight w:val="none"/>
        </w:rPr>
      </w:pPr>
      <w:r>
        <w:rPr>
          <w:rFonts w:hint="eastAsia" w:ascii="宋体" w:hAnsi="宋体"/>
          <w:b/>
          <w:bCs/>
          <w:color w:val="auto"/>
          <w:sz w:val="28"/>
          <w:szCs w:val="28"/>
          <w:highlight w:val="none"/>
        </w:rPr>
        <w:t>一、采购基本情况</w:t>
      </w:r>
    </w:p>
    <w:p w14:paraId="08735BE6">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安汤招标采购-2025-</w:t>
      </w:r>
      <w:r>
        <w:rPr>
          <w:rFonts w:hint="eastAsia" w:ascii="宋体" w:hAnsi="宋体"/>
          <w:color w:val="auto"/>
          <w:sz w:val="24"/>
          <w:szCs w:val="24"/>
          <w:highlight w:val="none"/>
          <w:lang w:val="en-US" w:eastAsia="zh-CN"/>
        </w:rPr>
        <w:t xml:space="preserve">11 </w:t>
      </w:r>
    </w:p>
    <w:p w14:paraId="3A8432DC">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项目名称：</w:t>
      </w:r>
      <w:r>
        <w:rPr>
          <w:rFonts w:hint="eastAsia" w:ascii="宋体" w:hAnsi="宋体"/>
          <w:color w:val="auto"/>
          <w:sz w:val="24"/>
          <w:szCs w:val="24"/>
          <w:highlight w:val="none"/>
          <w:lang w:eastAsia="zh-CN"/>
        </w:rPr>
        <w:t>汤阴县农业农村局汤阴县2025年“一喷三防”项目</w:t>
      </w:r>
    </w:p>
    <w:p w14:paraId="780A2D22">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采购方式：公开招标</w:t>
      </w:r>
    </w:p>
    <w:p w14:paraId="08F5E393">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预算金额：</w:t>
      </w:r>
      <w:r>
        <w:rPr>
          <w:rFonts w:hint="eastAsia" w:ascii="宋体" w:hAnsi="宋体"/>
          <w:color w:val="auto"/>
          <w:sz w:val="24"/>
          <w:szCs w:val="24"/>
          <w:highlight w:val="none"/>
          <w:lang w:val="en-US" w:eastAsia="zh-CN"/>
        </w:rPr>
        <w:t>7695729.24</w:t>
      </w:r>
      <w:r>
        <w:rPr>
          <w:rFonts w:hint="eastAsia" w:ascii="宋体" w:hAnsi="宋体"/>
          <w:color w:val="auto"/>
          <w:sz w:val="24"/>
          <w:szCs w:val="24"/>
          <w:highlight w:val="none"/>
        </w:rPr>
        <w:t>元</w:t>
      </w:r>
      <w:r>
        <w:rPr>
          <w:rFonts w:hint="eastAsia" w:ascii="宋体" w:hAnsi="宋体"/>
          <w:color w:val="auto"/>
          <w:sz w:val="24"/>
          <w:szCs w:val="24"/>
          <w:highlight w:val="none"/>
          <w:lang w:eastAsia="zh-CN"/>
        </w:rPr>
        <w:t>；</w:t>
      </w:r>
    </w:p>
    <w:p w14:paraId="5D6EE3A3">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rPr>
        <w:t>最高限价：</w:t>
      </w:r>
      <w:r>
        <w:rPr>
          <w:rFonts w:hint="eastAsia" w:ascii="宋体" w:hAnsi="宋体"/>
          <w:color w:val="auto"/>
          <w:sz w:val="24"/>
          <w:szCs w:val="24"/>
          <w:highlight w:val="none"/>
          <w:lang w:val="en-US" w:eastAsia="zh-CN"/>
        </w:rPr>
        <w:t>7695729.24</w:t>
      </w:r>
      <w:r>
        <w:rPr>
          <w:rFonts w:hint="eastAsia" w:ascii="宋体" w:hAnsi="宋体"/>
          <w:color w:val="auto"/>
          <w:sz w:val="24"/>
          <w:szCs w:val="24"/>
          <w:lang w:val="en-US" w:eastAsia="zh-CN"/>
        </w:rPr>
        <w:t>元</w:t>
      </w:r>
    </w:p>
    <w:tbl>
      <w:tblPr>
        <w:tblStyle w:val="3"/>
        <w:tblW w:w="9823"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1"/>
        <w:gridCol w:w="1613"/>
        <w:gridCol w:w="3934"/>
        <w:gridCol w:w="1750"/>
        <w:gridCol w:w="1765"/>
      </w:tblGrid>
      <w:tr w14:paraId="15B5012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761" w:type="dxa"/>
            <w:tcBorders>
              <w:top w:val="single" w:color="000000" w:sz="2" w:space="0"/>
              <w:left w:val="single" w:color="000000" w:sz="6" w:space="0"/>
              <w:bottom w:val="single" w:color="auto" w:sz="4" w:space="0"/>
              <w:right w:val="single" w:color="auto" w:sz="4" w:space="0"/>
            </w:tcBorders>
            <w:vAlign w:val="center"/>
          </w:tcPr>
          <w:p w14:paraId="0F914CE4">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rPr>
            </w:pPr>
            <w:r>
              <w:rPr>
                <w:rFonts w:hint="eastAsia" w:ascii="宋体" w:hAnsi="宋体"/>
                <w:color w:val="auto"/>
                <w:sz w:val="24"/>
                <w:szCs w:val="24"/>
              </w:rPr>
              <w:t>序号</w:t>
            </w:r>
          </w:p>
        </w:tc>
        <w:tc>
          <w:tcPr>
            <w:tcW w:w="1613" w:type="dxa"/>
            <w:tcBorders>
              <w:top w:val="single" w:color="000000" w:sz="2" w:space="0"/>
              <w:left w:val="single" w:color="000000" w:sz="6" w:space="0"/>
              <w:bottom w:val="single" w:color="auto" w:sz="4" w:space="0"/>
              <w:right w:val="single" w:color="auto" w:sz="4" w:space="0"/>
            </w:tcBorders>
            <w:vAlign w:val="center"/>
          </w:tcPr>
          <w:p w14:paraId="0804A9F9">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default" w:ascii="宋体" w:hAnsi="宋体" w:eastAsia="宋体"/>
                <w:color w:val="auto"/>
                <w:sz w:val="24"/>
                <w:szCs w:val="24"/>
                <w:lang w:val="en-US" w:eastAsia="zh-CN"/>
              </w:rPr>
            </w:pPr>
            <w:r>
              <w:rPr>
                <w:rFonts w:hint="eastAsia" w:ascii="宋体" w:hAnsi="宋体"/>
                <w:color w:val="auto"/>
                <w:sz w:val="24"/>
                <w:szCs w:val="24"/>
              </w:rPr>
              <w:t>包号</w:t>
            </w:r>
            <w:r>
              <w:rPr>
                <w:rFonts w:hint="eastAsia" w:ascii="宋体" w:hAnsi="宋体"/>
                <w:color w:val="auto"/>
                <w:sz w:val="24"/>
                <w:szCs w:val="24"/>
                <w:lang w:val="en-US" w:eastAsia="zh-CN"/>
              </w:rPr>
              <w:t>/标段号</w:t>
            </w:r>
          </w:p>
        </w:tc>
        <w:tc>
          <w:tcPr>
            <w:tcW w:w="3934" w:type="dxa"/>
            <w:tcBorders>
              <w:top w:val="single" w:color="000000" w:sz="2" w:space="0"/>
              <w:left w:val="single" w:color="auto" w:sz="4" w:space="0"/>
              <w:bottom w:val="single" w:color="auto" w:sz="4" w:space="0"/>
              <w:right w:val="single" w:color="auto" w:sz="4" w:space="0"/>
            </w:tcBorders>
            <w:vAlign w:val="center"/>
          </w:tcPr>
          <w:p w14:paraId="07B3C44C">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rPr>
            </w:pPr>
            <w:r>
              <w:rPr>
                <w:rFonts w:hint="eastAsia" w:ascii="宋体" w:hAnsi="宋体"/>
                <w:color w:val="auto"/>
                <w:sz w:val="24"/>
                <w:szCs w:val="24"/>
              </w:rPr>
              <w:t>包名称</w:t>
            </w:r>
          </w:p>
        </w:tc>
        <w:tc>
          <w:tcPr>
            <w:tcW w:w="1750" w:type="dxa"/>
            <w:tcBorders>
              <w:top w:val="single" w:color="000000" w:sz="2" w:space="0"/>
              <w:left w:val="single" w:color="auto" w:sz="4" w:space="0"/>
              <w:bottom w:val="single" w:color="auto" w:sz="4" w:space="0"/>
              <w:right w:val="single" w:color="000000" w:sz="6" w:space="0"/>
            </w:tcBorders>
            <w:vAlign w:val="center"/>
          </w:tcPr>
          <w:p w14:paraId="271B2888">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rPr>
            </w:pPr>
            <w:r>
              <w:rPr>
                <w:rFonts w:hint="eastAsia" w:ascii="宋体" w:hAnsi="宋体"/>
                <w:color w:val="auto"/>
                <w:sz w:val="24"/>
                <w:szCs w:val="24"/>
              </w:rPr>
              <w:t>包预算（元）</w:t>
            </w:r>
          </w:p>
        </w:tc>
        <w:tc>
          <w:tcPr>
            <w:tcW w:w="1765" w:type="dxa"/>
            <w:tcBorders>
              <w:top w:val="single" w:color="000000" w:sz="2" w:space="0"/>
              <w:left w:val="single" w:color="000000" w:sz="6" w:space="0"/>
              <w:bottom w:val="single" w:color="auto" w:sz="4" w:space="0"/>
              <w:right w:val="single" w:color="000000" w:sz="6" w:space="0"/>
            </w:tcBorders>
            <w:vAlign w:val="center"/>
          </w:tcPr>
          <w:p w14:paraId="11E27CB6">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rPr>
            </w:pPr>
            <w:r>
              <w:rPr>
                <w:rFonts w:hint="eastAsia" w:ascii="宋体" w:hAnsi="宋体"/>
                <w:color w:val="auto"/>
                <w:sz w:val="24"/>
                <w:szCs w:val="24"/>
              </w:rPr>
              <w:t>包最高限价（元）</w:t>
            </w:r>
          </w:p>
        </w:tc>
      </w:tr>
      <w:tr w14:paraId="0545ABA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cantSplit/>
          <w:trHeight w:val="825" w:hRule="atLeast"/>
          <w:jc w:val="center"/>
        </w:trPr>
        <w:tc>
          <w:tcPr>
            <w:tcW w:w="761" w:type="dxa"/>
            <w:tcBorders>
              <w:top w:val="single" w:color="000000" w:sz="6" w:space="0"/>
              <w:left w:val="single" w:color="000000" w:sz="6" w:space="0"/>
              <w:bottom w:val="single" w:color="000000" w:sz="6" w:space="0"/>
              <w:right w:val="single" w:color="auto" w:sz="4" w:space="0"/>
            </w:tcBorders>
            <w:vAlign w:val="center"/>
          </w:tcPr>
          <w:p w14:paraId="13DBD195">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rPr>
            </w:pPr>
            <w:r>
              <w:rPr>
                <w:rFonts w:hint="eastAsia" w:ascii="宋体" w:hAnsi="宋体"/>
                <w:color w:val="auto"/>
                <w:sz w:val="24"/>
                <w:szCs w:val="24"/>
              </w:rPr>
              <w:t>1</w:t>
            </w:r>
          </w:p>
        </w:tc>
        <w:tc>
          <w:tcPr>
            <w:tcW w:w="1613" w:type="dxa"/>
            <w:tcBorders>
              <w:top w:val="single" w:color="000000" w:sz="6" w:space="0"/>
              <w:left w:val="single" w:color="000000" w:sz="6" w:space="0"/>
              <w:bottom w:val="single" w:color="000000" w:sz="6" w:space="0"/>
              <w:right w:val="single" w:color="auto" w:sz="4" w:space="0"/>
            </w:tcBorders>
            <w:vAlign w:val="center"/>
          </w:tcPr>
          <w:p w14:paraId="4C265590">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rPr>
            </w:pPr>
            <w:r>
              <w:rPr>
                <w:rFonts w:hint="eastAsia" w:ascii="宋体" w:hAnsi="宋体"/>
                <w:color w:val="auto"/>
                <w:sz w:val="24"/>
                <w:szCs w:val="24"/>
              </w:rPr>
              <w:t>A包</w:t>
            </w:r>
          </w:p>
        </w:tc>
        <w:tc>
          <w:tcPr>
            <w:tcW w:w="3934" w:type="dxa"/>
            <w:tcBorders>
              <w:top w:val="single" w:color="000000" w:sz="6" w:space="0"/>
              <w:left w:val="single" w:color="auto" w:sz="4" w:space="0"/>
              <w:bottom w:val="single" w:color="000000" w:sz="6" w:space="0"/>
              <w:right w:val="single" w:color="auto" w:sz="4" w:space="0"/>
            </w:tcBorders>
            <w:vAlign w:val="center"/>
          </w:tcPr>
          <w:p w14:paraId="78D614FF">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rPr>
            </w:pPr>
            <w:r>
              <w:rPr>
                <w:rFonts w:hint="eastAsia" w:ascii="宋体" w:hAnsi="宋体"/>
                <w:color w:val="auto"/>
                <w:sz w:val="24"/>
                <w:szCs w:val="24"/>
                <w:lang w:eastAsia="zh-CN"/>
              </w:rPr>
              <w:t>汤阴县农业农村局汤阴县2025年“一喷三防”项目</w:t>
            </w:r>
            <w:r>
              <w:rPr>
                <w:rFonts w:hint="eastAsia" w:ascii="宋体" w:hAnsi="宋体"/>
                <w:color w:val="auto"/>
                <w:sz w:val="24"/>
                <w:szCs w:val="24"/>
              </w:rPr>
              <w:t>（</w:t>
            </w:r>
            <w:r>
              <w:rPr>
                <w:rFonts w:hint="eastAsia" w:ascii="宋体" w:hAnsi="宋体"/>
                <w:color w:val="auto"/>
                <w:sz w:val="24"/>
                <w:szCs w:val="24"/>
                <w:lang w:val="en-US" w:eastAsia="zh-CN"/>
              </w:rPr>
              <w:t>A</w:t>
            </w:r>
            <w:r>
              <w:rPr>
                <w:rFonts w:hint="eastAsia" w:ascii="宋体" w:hAnsi="宋体"/>
                <w:color w:val="auto"/>
                <w:sz w:val="24"/>
                <w:szCs w:val="24"/>
              </w:rPr>
              <w:t>包）</w:t>
            </w:r>
          </w:p>
        </w:tc>
        <w:tc>
          <w:tcPr>
            <w:tcW w:w="1750" w:type="dxa"/>
            <w:tcBorders>
              <w:top w:val="single" w:color="000000" w:sz="6" w:space="0"/>
              <w:left w:val="single" w:color="auto" w:sz="4" w:space="0"/>
              <w:bottom w:val="single" w:color="000000" w:sz="6" w:space="0"/>
              <w:right w:val="single" w:color="000000" w:sz="6" w:space="0"/>
            </w:tcBorders>
            <w:shd w:val="clear" w:color="auto" w:fill="auto"/>
            <w:vAlign w:val="center"/>
          </w:tcPr>
          <w:p w14:paraId="28FD2B4C">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2129252.40 </w:t>
            </w:r>
          </w:p>
        </w:tc>
        <w:tc>
          <w:tcPr>
            <w:tcW w:w="1765" w:type="dxa"/>
            <w:tcBorders>
              <w:top w:val="single" w:color="000000" w:sz="6" w:space="0"/>
              <w:left w:val="single" w:color="000000" w:sz="6" w:space="0"/>
              <w:bottom w:val="single" w:color="000000" w:sz="6" w:space="0"/>
              <w:right w:val="single" w:color="000000" w:sz="6" w:space="0"/>
            </w:tcBorders>
            <w:vAlign w:val="center"/>
          </w:tcPr>
          <w:p w14:paraId="5085BBA0">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2129252.40 </w:t>
            </w:r>
          </w:p>
        </w:tc>
      </w:tr>
      <w:tr w14:paraId="415E052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cantSplit/>
          <w:trHeight w:val="825" w:hRule="atLeast"/>
          <w:jc w:val="center"/>
        </w:trPr>
        <w:tc>
          <w:tcPr>
            <w:tcW w:w="761" w:type="dxa"/>
            <w:tcBorders>
              <w:top w:val="single" w:color="000000" w:sz="6" w:space="0"/>
              <w:left w:val="single" w:color="000000" w:sz="6" w:space="0"/>
              <w:bottom w:val="single" w:color="000000" w:sz="6" w:space="0"/>
              <w:right w:val="single" w:color="auto" w:sz="4" w:space="0"/>
            </w:tcBorders>
            <w:vAlign w:val="center"/>
          </w:tcPr>
          <w:p w14:paraId="3E694F29">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2</w:t>
            </w:r>
          </w:p>
        </w:tc>
        <w:tc>
          <w:tcPr>
            <w:tcW w:w="1613" w:type="dxa"/>
            <w:tcBorders>
              <w:top w:val="single" w:color="000000" w:sz="6" w:space="0"/>
              <w:left w:val="single" w:color="000000" w:sz="6" w:space="0"/>
              <w:bottom w:val="single" w:color="000000" w:sz="6" w:space="0"/>
              <w:right w:val="single" w:color="auto" w:sz="4" w:space="0"/>
            </w:tcBorders>
            <w:vAlign w:val="center"/>
          </w:tcPr>
          <w:p w14:paraId="04E99174">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B</w:t>
            </w:r>
            <w:r>
              <w:rPr>
                <w:rFonts w:hint="eastAsia" w:ascii="宋体" w:hAnsi="宋体"/>
                <w:color w:val="auto"/>
                <w:sz w:val="24"/>
                <w:szCs w:val="24"/>
              </w:rPr>
              <w:t>包</w:t>
            </w:r>
          </w:p>
        </w:tc>
        <w:tc>
          <w:tcPr>
            <w:tcW w:w="3934" w:type="dxa"/>
            <w:tcBorders>
              <w:top w:val="single" w:color="000000" w:sz="6" w:space="0"/>
              <w:left w:val="single" w:color="auto" w:sz="4" w:space="0"/>
              <w:bottom w:val="single" w:color="000000" w:sz="6" w:space="0"/>
              <w:right w:val="single" w:color="auto" w:sz="4" w:space="0"/>
            </w:tcBorders>
            <w:vAlign w:val="center"/>
          </w:tcPr>
          <w:p w14:paraId="6C24EBB6">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lang w:val="en-US" w:eastAsia="zh-CN"/>
              </w:rPr>
            </w:pPr>
            <w:r>
              <w:rPr>
                <w:rFonts w:hint="eastAsia" w:ascii="宋体" w:hAnsi="宋体"/>
                <w:color w:val="auto"/>
                <w:sz w:val="24"/>
                <w:szCs w:val="24"/>
                <w:lang w:eastAsia="zh-CN"/>
              </w:rPr>
              <w:t>汤阴县农业农村局汤阴县2025年“一喷三防”项目</w:t>
            </w:r>
            <w:r>
              <w:rPr>
                <w:rFonts w:hint="eastAsia" w:ascii="宋体" w:hAnsi="宋体"/>
                <w:color w:val="auto"/>
                <w:sz w:val="24"/>
                <w:szCs w:val="24"/>
              </w:rPr>
              <w:t>（</w:t>
            </w:r>
            <w:r>
              <w:rPr>
                <w:rFonts w:hint="eastAsia" w:ascii="宋体" w:hAnsi="宋体"/>
                <w:color w:val="auto"/>
                <w:sz w:val="24"/>
                <w:szCs w:val="24"/>
                <w:lang w:val="en-US" w:eastAsia="zh-CN"/>
              </w:rPr>
              <w:t>B</w:t>
            </w:r>
            <w:r>
              <w:rPr>
                <w:rFonts w:hint="eastAsia" w:ascii="宋体" w:hAnsi="宋体"/>
                <w:color w:val="auto"/>
                <w:sz w:val="24"/>
                <w:szCs w:val="24"/>
              </w:rPr>
              <w:t>包）</w:t>
            </w:r>
          </w:p>
        </w:tc>
        <w:tc>
          <w:tcPr>
            <w:tcW w:w="1750" w:type="dxa"/>
            <w:tcBorders>
              <w:top w:val="single" w:color="000000" w:sz="6" w:space="0"/>
              <w:left w:val="single" w:color="auto" w:sz="4" w:space="0"/>
              <w:bottom w:val="single" w:color="000000" w:sz="6" w:space="0"/>
              <w:right w:val="single" w:color="000000" w:sz="6" w:space="0"/>
            </w:tcBorders>
            <w:shd w:val="clear" w:color="auto" w:fill="auto"/>
            <w:vAlign w:val="center"/>
          </w:tcPr>
          <w:p w14:paraId="132340DE">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2208284.10 </w:t>
            </w:r>
          </w:p>
        </w:tc>
        <w:tc>
          <w:tcPr>
            <w:tcW w:w="1765" w:type="dxa"/>
            <w:tcBorders>
              <w:top w:val="single" w:color="000000" w:sz="6" w:space="0"/>
              <w:left w:val="single" w:color="000000" w:sz="6" w:space="0"/>
              <w:bottom w:val="single" w:color="000000" w:sz="6" w:space="0"/>
              <w:right w:val="single" w:color="000000" w:sz="6" w:space="0"/>
            </w:tcBorders>
            <w:vAlign w:val="center"/>
          </w:tcPr>
          <w:p w14:paraId="1C25172B">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2208284.10 </w:t>
            </w:r>
          </w:p>
        </w:tc>
      </w:tr>
      <w:tr w14:paraId="70F496A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cantSplit/>
          <w:trHeight w:val="825" w:hRule="atLeast"/>
          <w:jc w:val="center"/>
        </w:trPr>
        <w:tc>
          <w:tcPr>
            <w:tcW w:w="761" w:type="dxa"/>
            <w:tcBorders>
              <w:top w:val="single" w:color="000000" w:sz="6" w:space="0"/>
              <w:left w:val="single" w:color="000000" w:sz="6" w:space="0"/>
              <w:bottom w:val="single" w:color="000000" w:sz="6" w:space="0"/>
              <w:right w:val="single" w:color="auto" w:sz="4" w:space="0"/>
            </w:tcBorders>
            <w:vAlign w:val="center"/>
          </w:tcPr>
          <w:p w14:paraId="75011DE5">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1613" w:type="dxa"/>
            <w:tcBorders>
              <w:top w:val="single" w:color="000000" w:sz="6" w:space="0"/>
              <w:left w:val="single" w:color="000000" w:sz="6" w:space="0"/>
              <w:bottom w:val="single" w:color="000000" w:sz="6" w:space="0"/>
              <w:right w:val="single" w:color="auto" w:sz="4" w:space="0"/>
            </w:tcBorders>
            <w:vAlign w:val="center"/>
          </w:tcPr>
          <w:p w14:paraId="38720CD9">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rPr>
            </w:pPr>
            <w:r>
              <w:rPr>
                <w:rFonts w:hint="eastAsia" w:ascii="宋体" w:hAnsi="宋体"/>
                <w:color w:val="auto"/>
                <w:sz w:val="24"/>
                <w:szCs w:val="24"/>
              </w:rPr>
              <w:t>C包</w:t>
            </w:r>
          </w:p>
        </w:tc>
        <w:tc>
          <w:tcPr>
            <w:tcW w:w="3934" w:type="dxa"/>
            <w:tcBorders>
              <w:top w:val="single" w:color="000000" w:sz="6" w:space="0"/>
              <w:left w:val="single" w:color="auto" w:sz="4" w:space="0"/>
              <w:bottom w:val="single" w:color="000000" w:sz="6" w:space="0"/>
              <w:right w:val="single" w:color="auto" w:sz="4" w:space="0"/>
            </w:tcBorders>
            <w:vAlign w:val="center"/>
          </w:tcPr>
          <w:p w14:paraId="6DD727D8">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lang w:eastAsia="zh-CN"/>
              </w:rPr>
            </w:pPr>
            <w:r>
              <w:rPr>
                <w:rFonts w:hint="eastAsia" w:ascii="宋体" w:hAnsi="宋体"/>
                <w:color w:val="auto"/>
                <w:sz w:val="24"/>
                <w:szCs w:val="24"/>
                <w:lang w:eastAsia="zh-CN"/>
              </w:rPr>
              <w:t>汤阴县农业农村局汤阴县2025年“一喷三防”项目</w:t>
            </w:r>
            <w:r>
              <w:rPr>
                <w:rFonts w:hint="eastAsia" w:ascii="宋体" w:hAnsi="宋体"/>
                <w:color w:val="auto"/>
                <w:sz w:val="24"/>
                <w:szCs w:val="24"/>
              </w:rPr>
              <w:t>（</w:t>
            </w:r>
            <w:r>
              <w:rPr>
                <w:rFonts w:hint="eastAsia" w:ascii="宋体" w:hAnsi="宋体"/>
                <w:color w:val="auto"/>
                <w:sz w:val="24"/>
                <w:szCs w:val="24"/>
                <w:lang w:val="en-US" w:eastAsia="zh-CN"/>
              </w:rPr>
              <w:t>C</w:t>
            </w:r>
            <w:r>
              <w:rPr>
                <w:rFonts w:hint="eastAsia" w:ascii="宋体" w:hAnsi="宋体"/>
                <w:color w:val="auto"/>
                <w:sz w:val="24"/>
                <w:szCs w:val="24"/>
              </w:rPr>
              <w:t>包）</w:t>
            </w:r>
          </w:p>
        </w:tc>
        <w:tc>
          <w:tcPr>
            <w:tcW w:w="1750" w:type="dxa"/>
            <w:tcBorders>
              <w:top w:val="single" w:color="000000" w:sz="6" w:space="0"/>
              <w:left w:val="single" w:color="auto" w:sz="4" w:space="0"/>
              <w:bottom w:val="single" w:color="000000" w:sz="6" w:space="0"/>
              <w:right w:val="single" w:color="000000" w:sz="6" w:space="0"/>
            </w:tcBorders>
            <w:shd w:val="clear" w:color="auto" w:fill="auto"/>
            <w:vAlign w:val="center"/>
          </w:tcPr>
          <w:p w14:paraId="2EBCDEB7">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2234160.23 </w:t>
            </w:r>
          </w:p>
        </w:tc>
        <w:tc>
          <w:tcPr>
            <w:tcW w:w="1765" w:type="dxa"/>
            <w:tcBorders>
              <w:top w:val="single" w:color="000000" w:sz="6" w:space="0"/>
              <w:left w:val="single" w:color="000000" w:sz="6" w:space="0"/>
              <w:bottom w:val="single" w:color="000000" w:sz="6" w:space="0"/>
              <w:right w:val="single" w:color="000000" w:sz="6" w:space="0"/>
            </w:tcBorders>
            <w:vAlign w:val="center"/>
          </w:tcPr>
          <w:p w14:paraId="18642BA3">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2234160.23 </w:t>
            </w:r>
          </w:p>
        </w:tc>
      </w:tr>
      <w:tr w14:paraId="5D4626F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cantSplit/>
          <w:trHeight w:val="825" w:hRule="atLeast"/>
          <w:jc w:val="center"/>
        </w:trPr>
        <w:tc>
          <w:tcPr>
            <w:tcW w:w="761" w:type="dxa"/>
            <w:tcBorders>
              <w:top w:val="single" w:color="000000" w:sz="6" w:space="0"/>
              <w:left w:val="single" w:color="000000" w:sz="6" w:space="0"/>
              <w:bottom w:val="single" w:color="000000" w:sz="6" w:space="0"/>
              <w:right w:val="single" w:color="auto" w:sz="4" w:space="0"/>
            </w:tcBorders>
            <w:vAlign w:val="center"/>
          </w:tcPr>
          <w:p w14:paraId="0A05934E">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4</w:t>
            </w:r>
          </w:p>
        </w:tc>
        <w:tc>
          <w:tcPr>
            <w:tcW w:w="1613" w:type="dxa"/>
            <w:tcBorders>
              <w:top w:val="single" w:color="000000" w:sz="6" w:space="0"/>
              <w:left w:val="single" w:color="000000" w:sz="6" w:space="0"/>
              <w:bottom w:val="single" w:color="000000" w:sz="6" w:space="0"/>
              <w:right w:val="single" w:color="auto" w:sz="4" w:space="0"/>
            </w:tcBorders>
            <w:vAlign w:val="center"/>
          </w:tcPr>
          <w:p w14:paraId="313F7D44">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D包</w:t>
            </w:r>
          </w:p>
        </w:tc>
        <w:tc>
          <w:tcPr>
            <w:tcW w:w="3934" w:type="dxa"/>
            <w:tcBorders>
              <w:top w:val="single" w:color="000000" w:sz="6" w:space="0"/>
              <w:left w:val="single" w:color="auto" w:sz="4" w:space="0"/>
              <w:bottom w:val="single" w:color="000000" w:sz="6" w:space="0"/>
              <w:right w:val="single" w:color="auto" w:sz="4" w:space="0"/>
            </w:tcBorders>
            <w:vAlign w:val="center"/>
          </w:tcPr>
          <w:p w14:paraId="6FC8A025">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lang w:eastAsia="zh-CN"/>
              </w:rPr>
            </w:pPr>
            <w:r>
              <w:rPr>
                <w:rFonts w:hint="eastAsia" w:ascii="宋体" w:hAnsi="宋体"/>
                <w:color w:val="auto"/>
                <w:sz w:val="24"/>
                <w:szCs w:val="24"/>
                <w:lang w:eastAsia="zh-CN"/>
              </w:rPr>
              <w:t>汤阴县农业农村局汤阴县2025年“一喷三防”项目</w:t>
            </w:r>
            <w:r>
              <w:rPr>
                <w:rFonts w:hint="eastAsia" w:ascii="宋体" w:hAnsi="宋体"/>
                <w:color w:val="auto"/>
                <w:sz w:val="24"/>
                <w:szCs w:val="24"/>
              </w:rPr>
              <w:t>（</w:t>
            </w:r>
            <w:r>
              <w:rPr>
                <w:rFonts w:hint="eastAsia" w:ascii="宋体" w:hAnsi="宋体"/>
                <w:color w:val="auto"/>
                <w:sz w:val="24"/>
                <w:szCs w:val="24"/>
                <w:lang w:val="en-US" w:eastAsia="zh-CN"/>
              </w:rPr>
              <w:t>D</w:t>
            </w:r>
            <w:r>
              <w:rPr>
                <w:rFonts w:hint="eastAsia" w:ascii="宋体" w:hAnsi="宋体"/>
                <w:color w:val="auto"/>
                <w:sz w:val="24"/>
                <w:szCs w:val="24"/>
              </w:rPr>
              <w:t>包）</w:t>
            </w:r>
          </w:p>
        </w:tc>
        <w:tc>
          <w:tcPr>
            <w:tcW w:w="1750" w:type="dxa"/>
            <w:tcBorders>
              <w:top w:val="single" w:color="000000" w:sz="6" w:space="0"/>
              <w:left w:val="single" w:color="auto" w:sz="4" w:space="0"/>
              <w:bottom w:val="single" w:color="000000" w:sz="6" w:space="0"/>
              <w:right w:val="single" w:color="000000" w:sz="6" w:space="0"/>
            </w:tcBorders>
            <w:shd w:val="clear" w:color="auto" w:fill="auto"/>
            <w:vAlign w:val="center"/>
          </w:tcPr>
          <w:p w14:paraId="517645A5">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1124032.51 </w:t>
            </w:r>
          </w:p>
        </w:tc>
        <w:tc>
          <w:tcPr>
            <w:tcW w:w="1765" w:type="dxa"/>
            <w:tcBorders>
              <w:top w:val="single" w:color="000000" w:sz="6" w:space="0"/>
              <w:left w:val="single" w:color="000000" w:sz="6" w:space="0"/>
              <w:bottom w:val="single" w:color="000000" w:sz="6" w:space="0"/>
              <w:right w:val="single" w:color="000000" w:sz="6" w:space="0"/>
            </w:tcBorders>
            <w:vAlign w:val="center"/>
          </w:tcPr>
          <w:p w14:paraId="3EDAA3C9">
            <w:pPr>
              <w:keepNext w:val="0"/>
              <w:keepLines w:val="0"/>
              <w:pageBreakBefore w:val="0"/>
              <w:kinsoku/>
              <w:wordWrap/>
              <w:overflowPunct/>
              <w:topLinePunct w:val="0"/>
              <w:autoSpaceDE/>
              <w:autoSpaceDN/>
              <w:bidi w:val="0"/>
              <w:adjustRightInd w:val="0"/>
              <w:snapToGrid w:val="0"/>
              <w:spacing w:after="0" w:line="500" w:lineRule="exact"/>
              <w:jc w:val="center"/>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1124032.51 </w:t>
            </w:r>
          </w:p>
        </w:tc>
      </w:tr>
    </w:tbl>
    <w:p w14:paraId="3726E7CC">
      <w:pPr>
        <w:keepNext w:val="0"/>
        <w:keepLines w:val="0"/>
        <w:pageBreakBefore w:val="0"/>
        <w:kinsoku/>
        <w:wordWrap/>
        <w:overflowPunct/>
        <w:topLinePunct w:val="0"/>
        <w:autoSpaceDE/>
        <w:autoSpaceDN/>
        <w:bidi w:val="0"/>
        <w:adjustRightInd w:val="0"/>
        <w:snapToGrid w:val="0"/>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采购需求</w:t>
      </w:r>
      <w:r>
        <w:rPr>
          <w:rFonts w:hint="eastAsia" w:ascii="宋体" w:hAnsi="宋体"/>
          <w:color w:val="auto"/>
          <w:sz w:val="24"/>
          <w:szCs w:val="24"/>
        </w:rPr>
        <w:t>（包括但不限于标的的名称、数量、简要技术需求或服务要求等）</w:t>
      </w:r>
    </w:p>
    <w:p w14:paraId="3EADBA5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baseline"/>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5.1采购内容： 采购植保无人机飞防作业服务（含药剂），在汤阴县县域约51.8万亩开展小麦一喷三防植保专业化统防统治（以实际服务面积结算）。（详见采购文件服务要求）</w:t>
      </w:r>
    </w:p>
    <w:p w14:paraId="6BF0ADD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baseline"/>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5.2采购地点：采购人指定区域内。</w:t>
      </w:r>
    </w:p>
    <w:p w14:paraId="1A61862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baseline"/>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5.3作业时间：采购人指定时间，以采购人通知为准。</w:t>
      </w:r>
    </w:p>
    <w:p w14:paraId="3A738DF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baseline"/>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5.4防控对象：小麦赤霉病、锈病、蚜虫等病虫害，提高植株抗逆能力。</w:t>
      </w:r>
    </w:p>
    <w:p w14:paraId="47F26A5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baseline"/>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5.5质量标准：合格，符合国家标准或相关行业标准、地方标准及其他标准、规范。主要防治对象综合防治不低于农户自防田块效果，农户满意度85%以上。</w:t>
      </w:r>
    </w:p>
    <w:p w14:paraId="49ED1FD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baseline"/>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5.6</w:t>
      </w:r>
      <w:bookmarkStart w:id="8" w:name="_GoBack"/>
      <w:bookmarkEnd w:id="8"/>
      <w:r>
        <w:rPr>
          <w:rFonts w:hint="eastAsia" w:ascii="宋体" w:hAnsi="宋体"/>
          <w:color w:val="auto"/>
          <w:sz w:val="24"/>
          <w:szCs w:val="24"/>
          <w:highlight w:val="none"/>
          <w:lang w:val="en-US" w:eastAsia="zh-CN"/>
        </w:rPr>
        <w:t>本项目共分为4个包段：</w:t>
      </w:r>
    </w:p>
    <w:p w14:paraId="67CDED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baseline"/>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A包:约14.34万亩，采购人指定区域内；</w:t>
      </w:r>
      <w:r>
        <w:rPr>
          <w:rFonts w:hint="eastAsia" w:ascii="宋体" w:hAnsi="宋体"/>
          <w:color w:val="auto"/>
          <w:sz w:val="24"/>
          <w:szCs w:val="24"/>
          <w:highlight w:val="none"/>
          <w:lang w:val="en-US" w:eastAsia="zh-CN"/>
        </w:rPr>
        <w:t>以实际服务面积结算。</w:t>
      </w:r>
    </w:p>
    <w:p w14:paraId="7664A2B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baseline"/>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B包:约14.87万亩，采购人指定区域内；</w:t>
      </w:r>
      <w:r>
        <w:rPr>
          <w:rFonts w:hint="eastAsia" w:ascii="宋体" w:hAnsi="宋体"/>
          <w:color w:val="auto"/>
          <w:sz w:val="24"/>
          <w:szCs w:val="24"/>
          <w:highlight w:val="none"/>
          <w:lang w:val="en-US" w:eastAsia="zh-CN"/>
        </w:rPr>
        <w:t>以实际服务面积结算。</w:t>
      </w:r>
    </w:p>
    <w:p w14:paraId="2DD9A99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baseline"/>
        <w:rPr>
          <w:rFonts w:hint="eastAsia" w:ascii="宋体" w:hAnsi="宋体"/>
          <w:color w:val="auto"/>
          <w:sz w:val="24"/>
          <w:szCs w:val="24"/>
          <w:highlight w:val="none"/>
          <w:lang w:val="en-US" w:eastAsia="zh-CN"/>
        </w:rPr>
      </w:pPr>
      <w:r>
        <w:rPr>
          <w:rFonts w:hint="eastAsia" w:ascii="宋体" w:hAnsi="宋体" w:cs="Times New Roman"/>
          <w:color w:val="auto"/>
          <w:sz w:val="24"/>
          <w:szCs w:val="24"/>
          <w:highlight w:val="none"/>
          <w:lang w:val="en-US" w:eastAsia="zh-CN"/>
        </w:rPr>
        <w:t>C包：约15.04万亩，采购人指定区域内；</w:t>
      </w:r>
      <w:r>
        <w:rPr>
          <w:rFonts w:hint="eastAsia" w:ascii="宋体" w:hAnsi="宋体"/>
          <w:color w:val="auto"/>
          <w:sz w:val="24"/>
          <w:szCs w:val="24"/>
          <w:highlight w:val="none"/>
          <w:lang w:val="en-US" w:eastAsia="zh-CN"/>
        </w:rPr>
        <w:t>以实际服务面积结算。</w:t>
      </w:r>
    </w:p>
    <w:p w14:paraId="371035A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baseline"/>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D包：约7.57万亩，采购人指定区域内；</w:t>
      </w:r>
      <w:r>
        <w:rPr>
          <w:rFonts w:hint="eastAsia" w:ascii="宋体" w:hAnsi="宋体"/>
          <w:color w:val="auto"/>
          <w:sz w:val="24"/>
          <w:szCs w:val="24"/>
          <w:highlight w:val="none"/>
          <w:lang w:val="en-US" w:eastAsia="zh-CN"/>
        </w:rPr>
        <w:t>以实际服务面积结算。</w:t>
      </w:r>
    </w:p>
    <w:p w14:paraId="41BC3131">
      <w:pPr>
        <w:keepNext w:val="0"/>
        <w:keepLines w:val="0"/>
        <w:pageBreakBefore w:val="0"/>
        <w:kinsoku/>
        <w:wordWrap/>
        <w:overflowPunct/>
        <w:topLinePunct w:val="0"/>
        <w:autoSpaceDE/>
        <w:autoSpaceDN/>
        <w:bidi w:val="0"/>
        <w:adjustRightInd w:val="0"/>
        <w:snapToGrid w:val="0"/>
        <w:spacing w:line="500" w:lineRule="exact"/>
        <w:ind w:firstLine="540" w:firstLineChars="225"/>
        <w:rPr>
          <w:rFonts w:hint="default" w:eastAsia="宋体"/>
          <w:color w:val="auto"/>
          <w:sz w:val="24"/>
          <w:szCs w:val="24"/>
          <w:highlight w:val="none"/>
          <w:lang w:val="en-US" w:eastAsia="zh-CN"/>
        </w:rPr>
      </w:pPr>
      <w:r>
        <w:rPr>
          <w:rFonts w:hint="eastAsia" w:ascii="宋体" w:hAnsi="宋体"/>
          <w:color w:val="auto"/>
          <w:sz w:val="24"/>
          <w:szCs w:val="24"/>
          <w:highlight w:val="none"/>
          <w:lang w:val="en-US" w:eastAsia="zh-CN"/>
        </w:rPr>
        <w:t>6.合同履行期限（服务期）</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接采购人通知后7日内完成（若因天气情况等非人为因素无法作业，可适当延长服务期）</w:t>
      </w:r>
    </w:p>
    <w:p w14:paraId="5628A83A">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7.本项目（是/否）接受联合体投标：否</w:t>
      </w:r>
    </w:p>
    <w:p w14:paraId="2BF5FAED">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8.是否接受进口产品：否</w:t>
      </w:r>
    </w:p>
    <w:p w14:paraId="3601A82B">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9.是否专门面向中小企业：是</w:t>
      </w:r>
    </w:p>
    <w:p w14:paraId="7800AE45">
      <w:pPr>
        <w:keepNext w:val="0"/>
        <w:keepLines w:val="0"/>
        <w:pageBreakBefore w:val="0"/>
        <w:widowControl w:val="0"/>
        <w:kinsoku/>
        <w:wordWrap/>
        <w:overflowPunct/>
        <w:topLinePunct w:val="0"/>
        <w:autoSpaceDE/>
        <w:autoSpaceDN/>
        <w:bidi w:val="0"/>
        <w:adjustRightInd w:val="0"/>
        <w:snapToGrid w:val="0"/>
        <w:spacing w:line="500" w:lineRule="exact"/>
        <w:jc w:val="left"/>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二、申请人资格要求 </w:t>
      </w:r>
    </w:p>
    <w:p w14:paraId="47EA7428">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满足《中华人民共和国政府采购法》第二十二条规定；</w:t>
      </w:r>
    </w:p>
    <w:p w14:paraId="7FC9A52D">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ascii="宋体" w:hAnsi="宋体"/>
          <w:b/>
          <w:bCs/>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落实政府采购政策需满足的资格要求：无专项资格要求。</w:t>
      </w:r>
      <w:r>
        <w:rPr>
          <w:rFonts w:hint="eastAsia" w:ascii="宋体" w:hAnsi="宋体"/>
          <w:b/>
          <w:bCs/>
          <w:color w:val="auto"/>
          <w:sz w:val="24"/>
          <w:szCs w:val="24"/>
          <w:highlight w:val="none"/>
        </w:rPr>
        <w:t>本项目专门面向中小企业采购，</w:t>
      </w:r>
      <w:r>
        <w:rPr>
          <w:rFonts w:hint="eastAsia" w:ascii="宋体" w:hAnsi="宋体"/>
          <w:b/>
          <w:bCs/>
          <w:color w:val="auto"/>
          <w:sz w:val="24"/>
          <w:szCs w:val="24"/>
          <w:highlight w:val="none"/>
          <w:lang w:val="en-US" w:eastAsia="zh-CN"/>
        </w:rPr>
        <w:t>投标人</w:t>
      </w:r>
      <w:r>
        <w:rPr>
          <w:rFonts w:hint="eastAsia" w:ascii="宋体" w:hAnsi="宋体"/>
          <w:b/>
          <w:bCs/>
          <w:color w:val="auto"/>
          <w:sz w:val="24"/>
          <w:szCs w:val="24"/>
          <w:highlight w:val="none"/>
        </w:rPr>
        <w:t>提供《中小企业声明函》。</w:t>
      </w:r>
    </w:p>
    <w:p w14:paraId="39CB549A">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本项目的特定资格要求：</w:t>
      </w:r>
    </w:p>
    <w:p w14:paraId="25F17976">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满足《中华人民共和国政府采购法》第二十二条第</w:t>
      </w:r>
      <w:r>
        <w:rPr>
          <w:rFonts w:ascii="宋体" w:hAnsi="宋体"/>
          <w:color w:val="auto"/>
          <w:sz w:val="24"/>
          <w:szCs w:val="24"/>
          <w:highlight w:val="none"/>
        </w:rPr>
        <w:t>一款</w:t>
      </w:r>
      <w:r>
        <w:rPr>
          <w:rFonts w:hint="eastAsia" w:ascii="宋体" w:hAnsi="宋体"/>
          <w:color w:val="auto"/>
          <w:sz w:val="24"/>
          <w:szCs w:val="24"/>
          <w:highlight w:val="none"/>
        </w:rPr>
        <w:t>规定的</w:t>
      </w:r>
      <w:r>
        <w:rPr>
          <w:rFonts w:ascii="宋体" w:hAnsi="宋体"/>
          <w:color w:val="auto"/>
          <w:sz w:val="24"/>
          <w:szCs w:val="24"/>
          <w:highlight w:val="none"/>
        </w:rPr>
        <w:t>供应商基础性</w:t>
      </w:r>
      <w:r>
        <w:rPr>
          <w:rFonts w:hint="eastAsia" w:ascii="宋体" w:hAnsi="宋体"/>
          <w:color w:val="auto"/>
          <w:sz w:val="24"/>
          <w:szCs w:val="24"/>
          <w:highlight w:val="none"/>
        </w:rPr>
        <w:t>资格要求；供应商自行承诺并承担后果，承诺书不实的，按《政府采购法》有关提供虚假材料的有关规定给予处罚。</w:t>
      </w:r>
    </w:p>
    <w:p w14:paraId="430D5EB1">
      <w:pPr>
        <w:keepNext w:val="0"/>
        <w:keepLines w:val="0"/>
        <w:pageBreakBefore w:val="0"/>
        <w:widowControl w:val="0"/>
        <w:kinsoku/>
        <w:wordWrap/>
        <w:overflowPunct/>
        <w:topLinePunct w:val="0"/>
        <w:autoSpaceDE/>
        <w:autoSpaceDN/>
        <w:bidi w:val="0"/>
        <w:snapToGrid w:val="0"/>
        <w:spacing w:line="500" w:lineRule="exact"/>
        <w:ind w:firstLine="540" w:firstLineChars="22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2对供</w:t>
      </w:r>
      <w:r>
        <w:rPr>
          <w:rFonts w:ascii="宋体" w:hAnsi="宋体"/>
          <w:color w:val="auto"/>
          <w:sz w:val="24"/>
          <w:szCs w:val="24"/>
          <w:highlight w:val="none"/>
        </w:rPr>
        <w:t>应商的限制性规定</w:t>
      </w:r>
    </w:p>
    <w:p w14:paraId="559AF17B">
      <w:pPr>
        <w:keepNext w:val="0"/>
        <w:keepLines w:val="0"/>
        <w:pageBreakBefore w:val="0"/>
        <w:widowControl w:val="0"/>
        <w:kinsoku/>
        <w:wordWrap/>
        <w:overflowPunct/>
        <w:topLinePunct w:val="0"/>
        <w:autoSpaceDE/>
        <w:autoSpaceDN/>
        <w:bidi w:val="0"/>
        <w:snapToGrid w:val="0"/>
        <w:spacing w:line="500" w:lineRule="exact"/>
        <w:ind w:firstLine="540" w:firstLineChars="225"/>
        <w:rPr>
          <w:rFonts w:ascii="宋体" w:hAnsi="宋体"/>
          <w:color w:val="auto"/>
          <w:sz w:val="24"/>
          <w:szCs w:val="24"/>
          <w:highlight w:val="none"/>
        </w:rPr>
      </w:pPr>
      <w:r>
        <w:rPr>
          <w:rFonts w:hint="eastAsia" w:ascii="宋体" w:hAnsi="宋体"/>
          <w:color w:val="auto"/>
          <w:sz w:val="24"/>
          <w:szCs w:val="24"/>
          <w:highlight w:val="none"/>
        </w:rPr>
        <w:t>（1）供应商应当无不良信用记录。</w:t>
      </w:r>
      <w:r>
        <w:rPr>
          <w:rFonts w:ascii="宋体" w:hAnsi="宋体"/>
          <w:color w:val="auto"/>
          <w:sz w:val="24"/>
          <w:szCs w:val="24"/>
          <w:highlight w:val="none"/>
        </w:rPr>
        <w:t>(</w:t>
      </w:r>
      <w:r>
        <w:rPr>
          <w:rFonts w:hint="eastAsia" w:ascii="宋体" w:hAnsi="宋体"/>
          <w:color w:val="auto"/>
          <w:sz w:val="24"/>
          <w:szCs w:val="24"/>
          <w:highlight w:val="none"/>
        </w:rPr>
        <w:t>未列入“信用中国”</w:t>
      </w:r>
      <w:r>
        <w:rPr>
          <w:rFonts w:ascii="宋体" w:hAnsi="宋体"/>
          <w:color w:val="auto"/>
          <w:sz w:val="24"/>
          <w:szCs w:val="24"/>
          <w:highlight w:val="none"/>
        </w:rPr>
        <w:t>&lt;www.creditchina.gov.cn&gt;</w:t>
      </w:r>
      <w:r>
        <w:rPr>
          <w:rFonts w:hint="eastAsia" w:ascii="宋体" w:hAnsi="宋体"/>
          <w:color w:val="auto"/>
          <w:sz w:val="24"/>
          <w:szCs w:val="24"/>
          <w:highlight w:val="none"/>
        </w:rPr>
        <w:t>网站的“失信被执行人”和“重大税收违法失信主体”及“中国政府采购网”</w:t>
      </w:r>
      <w:r>
        <w:rPr>
          <w:rFonts w:ascii="宋体" w:hAnsi="宋体"/>
          <w:color w:val="auto"/>
          <w:sz w:val="24"/>
          <w:szCs w:val="24"/>
          <w:highlight w:val="none"/>
        </w:rPr>
        <w:t>&lt;www.ccgp.gov.cn&gt;</w:t>
      </w:r>
      <w:r>
        <w:rPr>
          <w:rFonts w:hint="eastAsia" w:ascii="宋体" w:hAnsi="宋体"/>
          <w:color w:val="auto"/>
          <w:sz w:val="24"/>
          <w:szCs w:val="24"/>
          <w:highlight w:val="none"/>
        </w:rPr>
        <w:t>网站的“政府采购严重违法失信行为记录名单”</w:t>
      </w:r>
      <w:r>
        <w:rPr>
          <w:rFonts w:ascii="宋体" w:hAnsi="宋体"/>
          <w:color w:val="auto"/>
          <w:sz w:val="24"/>
          <w:szCs w:val="24"/>
          <w:highlight w:val="none"/>
        </w:rPr>
        <w:t>)</w:t>
      </w:r>
    </w:p>
    <w:p w14:paraId="712B2780">
      <w:pPr>
        <w:keepNext w:val="0"/>
        <w:keepLines w:val="0"/>
        <w:pageBreakBefore w:val="0"/>
        <w:widowControl w:val="0"/>
        <w:kinsoku/>
        <w:wordWrap/>
        <w:overflowPunct/>
        <w:topLinePunct w:val="0"/>
        <w:autoSpaceDE/>
        <w:autoSpaceDN/>
        <w:bidi w:val="0"/>
        <w:snapToGrid w:val="0"/>
        <w:spacing w:line="500" w:lineRule="exact"/>
        <w:ind w:firstLine="540" w:firstLineChars="225"/>
        <w:rPr>
          <w:rFonts w:ascii="宋体" w:hAnsi="宋体"/>
          <w:color w:val="auto"/>
          <w:sz w:val="24"/>
          <w:szCs w:val="24"/>
          <w:highlight w:val="none"/>
        </w:rPr>
      </w:pPr>
      <w:r>
        <w:rPr>
          <w:rFonts w:hint="eastAsia" w:ascii="宋体" w:hAnsi="宋体"/>
          <w:color w:val="auto"/>
          <w:sz w:val="24"/>
          <w:szCs w:val="24"/>
          <w:highlight w:val="none"/>
        </w:rPr>
        <w:t>供应商递交投标文件后，采购人或者采购代理机构将按以上信用信息查询渠道在解密投标文件之前对参加本项目的投标人信用记录进行查询，投标人有上述任一不良信用记录的，其</w:t>
      </w:r>
      <w:r>
        <w:rPr>
          <w:rFonts w:ascii="宋体" w:hAnsi="宋体"/>
          <w:color w:val="auto"/>
          <w:sz w:val="24"/>
          <w:szCs w:val="24"/>
          <w:highlight w:val="none"/>
        </w:rPr>
        <w:t>投标将被</w:t>
      </w:r>
      <w:r>
        <w:rPr>
          <w:rFonts w:hint="eastAsia" w:ascii="宋体" w:hAnsi="宋体"/>
          <w:color w:val="auto"/>
          <w:sz w:val="24"/>
          <w:szCs w:val="24"/>
          <w:highlight w:val="none"/>
        </w:rPr>
        <w:t>拒</w:t>
      </w:r>
      <w:r>
        <w:rPr>
          <w:rFonts w:ascii="宋体" w:hAnsi="宋体"/>
          <w:color w:val="auto"/>
          <w:sz w:val="24"/>
          <w:szCs w:val="24"/>
          <w:highlight w:val="none"/>
        </w:rPr>
        <w:t>绝</w:t>
      </w:r>
      <w:r>
        <w:rPr>
          <w:rFonts w:hint="eastAsia" w:ascii="宋体" w:hAnsi="宋体"/>
          <w:color w:val="auto"/>
          <w:sz w:val="24"/>
          <w:szCs w:val="24"/>
          <w:highlight w:val="none"/>
        </w:rPr>
        <w:t>、</w:t>
      </w:r>
      <w:r>
        <w:rPr>
          <w:rFonts w:ascii="宋体" w:hAnsi="宋体"/>
          <w:color w:val="auto"/>
          <w:sz w:val="24"/>
          <w:szCs w:val="24"/>
          <w:highlight w:val="none"/>
        </w:rPr>
        <w:t>为无效投</w:t>
      </w:r>
      <w:r>
        <w:rPr>
          <w:rFonts w:hint="eastAsia" w:ascii="宋体" w:hAnsi="宋体"/>
          <w:color w:val="auto"/>
          <w:sz w:val="24"/>
          <w:szCs w:val="24"/>
          <w:highlight w:val="none"/>
        </w:rPr>
        <w:t>标。查询的网页内容将以截图或者拍照作为证据留存。</w:t>
      </w:r>
    </w:p>
    <w:p w14:paraId="7F818E08">
      <w:pPr>
        <w:keepNext w:val="0"/>
        <w:keepLines w:val="0"/>
        <w:pageBreakBefore w:val="0"/>
        <w:widowControl w:val="0"/>
        <w:kinsoku/>
        <w:wordWrap/>
        <w:overflowPunct/>
        <w:topLinePunct w:val="0"/>
        <w:autoSpaceDE/>
        <w:autoSpaceDN/>
        <w:bidi w:val="0"/>
        <w:snapToGrid w:val="0"/>
        <w:spacing w:line="500" w:lineRule="exact"/>
        <w:ind w:firstLine="540" w:firstLineChars="225"/>
        <w:rPr>
          <w:rFonts w:ascii="宋体" w:hAnsi="宋体"/>
          <w:color w:val="auto"/>
          <w:sz w:val="24"/>
          <w:szCs w:val="24"/>
          <w:highlight w:val="none"/>
        </w:rPr>
      </w:pPr>
      <w:r>
        <w:rPr>
          <w:rFonts w:hint="eastAsia" w:ascii="宋体" w:hAnsi="宋体"/>
          <w:color w:val="auto"/>
          <w:sz w:val="24"/>
          <w:szCs w:val="24"/>
          <w:highlight w:val="none"/>
        </w:rPr>
        <w:t>（2）单位负责人为同一人或者存在直接控股、管理关系的不同供应商，不得参加本合同项下的政府采购活动。</w:t>
      </w:r>
      <w:r>
        <w:rPr>
          <w:rFonts w:hint="eastAsia" w:ascii="宋体" w:hAnsi="宋体" w:eastAsia="宋体" w:cs="宋体"/>
          <w:color w:val="auto"/>
          <w:sz w:val="24"/>
          <w:szCs w:val="24"/>
          <w:lang w:val="en-US" w:eastAsia="zh-CN"/>
        </w:rPr>
        <w:t>■</w:t>
      </w:r>
      <w:r>
        <w:rPr>
          <w:rFonts w:hint="eastAsia" w:ascii="宋体" w:hAnsi="宋体"/>
          <w:color w:val="auto"/>
          <w:sz w:val="24"/>
          <w:szCs w:val="24"/>
          <w:highlight w:val="none"/>
        </w:rPr>
        <w:t>供应商自行承诺并承担后果，承诺书不实的，按《政府采购法》有关提供虚假材料的有关规定给予处罚</w:t>
      </w:r>
    </w:p>
    <w:p w14:paraId="0B0E5769">
      <w:pPr>
        <w:keepNext w:val="0"/>
        <w:keepLines w:val="0"/>
        <w:pageBreakBefore w:val="0"/>
        <w:widowControl w:val="0"/>
        <w:kinsoku/>
        <w:wordWrap/>
        <w:overflowPunct/>
        <w:topLinePunct w:val="0"/>
        <w:autoSpaceDE/>
        <w:autoSpaceDN/>
        <w:bidi w:val="0"/>
        <w:snapToGrid w:val="0"/>
        <w:spacing w:line="500" w:lineRule="exact"/>
        <w:ind w:firstLine="540" w:firstLineChars="225"/>
        <w:rPr>
          <w:rFonts w:ascii="宋体" w:hAnsi="宋体"/>
          <w:color w:val="auto"/>
          <w:sz w:val="24"/>
          <w:szCs w:val="24"/>
          <w:highlight w:val="none"/>
        </w:rPr>
      </w:pPr>
      <w:r>
        <w:rPr>
          <w:rFonts w:hint="eastAsia" w:ascii="宋体" w:hAnsi="宋体"/>
          <w:color w:val="auto"/>
          <w:sz w:val="24"/>
          <w:szCs w:val="24"/>
          <w:highlight w:val="none"/>
        </w:rPr>
        <w:t>（3）为本采购项目提供整体设计、规范编制或者项目管理、监理、检测等服务的供应商，不得再参加本采购项目。</w:t>
      </w:r>
      <w:r>
        <w:rPr>
          <w:rFonts w:hint="eastAsia" w:ascii="宋体" w:hAnsi="宋体" w:eastAsia="宋体" w:cs="宋体"/>
          <w:color w:val="auto"/>
          <w:sz w:val="24"/>
          <w:szCs w:val="24"/>
          <w:lang w:val="en-US" w:eastAsia="zh-CN"/>
        </w:rPr>
        <w:t>■</w:t>
      </w:r>
      <w:r>
        <w:rPr>
          <w:rFonts w:hint="eastAsia" w:ascii="宋体" w:hAnsi="宋体"/>
          <w:color w:val="auto"/>
          <w:sz w:val="24"/>
          <w:szCs w:val="24"/>
          <w:highlight w:val="none"/>
        </w:rPr>
        <w:t>供应商自行承诺并承担后果，承诺书不实的，按《政府采购法》提供虚假材料的有关规定给予处罚。</w:t>
      </w:r>
    </w:p>
    <w:p w14:paraId="2521DA38">
      <w:pPr>
        <w:keepNext w:val="0"/>
        <w:keepLines w:val="0"/>
        <w:pageBreakBefore w:val="0"/>
        <w:widowControl w:val="0"/>
        <w:kinsoku/>
        <w:wordWrap/>
        <w:overflowPunct/>
        <w:topLinePunct w:val="0"/>
        <w:autoSpaceDE/>
        <w:autoSpaceDN/>
        <w:bidi w:val="0"/>
        <w:snapToGrid w:val="0"/>
        <w:spacing w:line="500" w:lineRule="exact"/>
        <w:ind w:firstLine="540" w:firstLineChars="225"/>
        <w:rPr>
          <w:color w:val="auto"/>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3项目的特定资格要求：</w:t>
      </w:r>
    </w:p>
    <w:p w14:paraId="6FAECBCC">
      <w:pPr>
        <w:keepNext w:val="0"/>
        <w:keepLines w:val="0"/>
        <w:pageBreakBefore w:val="0"/>
        <w:kinsoku/>
        <w:wordWrap/>
        <w:overflowPunct/>
        <w:topLinePunct w:val="0"/>
        <w:autoSpaceDE/>
        <w:autoSpaceDN/>
        <w:bidi w:val="0"/>
        <w:snapToGrid/>
        <w:spacing w:after="0" w:line="50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（1）具备法律、行政法规规定的其他条件。</w:t>
      </w:r>
    </w:p>
    <w:p w14:paraId="789F1E58">
      <w:pPr>
        <w:keepNext w:val="0"/>
        <w:keepLines w:val="0"/>
        <w:pageBreakBefore w:val="0"/>
        <w:kinsoku/>
        <w:wordWrap/>
        <w:overflowPunct/>
        <w:topLinePunct w:val="0"/>
        <w:autoSpaceDE/>
        <w:autoSpaceDN/>
        <w:bidi w:val="0"/>
        <w:snapToGrid/>
        <w:spacing w:after="0" w:line="50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（2）不同支（子）公司，不得同时参加本项目投标。分支公司直接参加投标需提供总公司项目授权书，如供应商为分公司的，提交的相关资格和符合性要求中可提供总公司相关证明材料。</w:t>
      </w:r>
    </w:p>
    <w:p w14:paraId="40334A02">
      <w:pPr>
        <w:keepNext w:val="0"/>
        <w:keepLines w:val="0"/>
        <w:pageBreakBefore w:val="0"/>
        <w:widowControl w:val="0"/>
        <w:kinsoku/>
        <w:wordWrap/>
        <w:overflowPunct/>
        <w:topLinePunct w:val="0"/>
        <w:autoSpaceDE/>
        <w:autoSpaceDN/>
        <w:bidi w:val="0"/>
        <w:snapToGrid w:val="0"/>
        <w:spacing w:line="500" w:lineRule="exact"/>
        <w:ind w:firstLine="540" w:firstLineChars="225"/>
        <w:rPr>
          <w:rFonts w:hint="eastAsia"/>
          <w:color w:val="auto"/>
          <w:sz w:val="24"/>
          <w:szCs w:val="24"/>
          <w:highlight w:val="none"/>
          <w:lang w:val="en-US" w:eastAsia="zh-CN"/>
        </w:rPr>
      </w:pPr>
      <w:r>
        <w:rPr>
          <w:rFonts w:hint="eastAsia"/>
          <w:color w:val="auto"/>
          <w:sz w:val="24"/>
          <w:szCs w:val="24"/>
          <w:highlight w:val="none"/>
          <w:lang w:val="en-US" w:eastAsia="zh-CN"/>
        </w:rPr>
        <w:t>（3）所有证照均应在有效期内，证照如需年检的、应为经年检有效的证照；文中“近”、“前”指距投标截止时间。</w:t>
      </w:r>
    </w:p>
    <w:p w14:paraId="4292AD52">
      <w:pPr>
        <w:keepNext w:val="0"/>
        <w:keepLines w:val="0"/>
        <w:pageBreakBefore w:val="0"/>
        <w:widowControl w:val="0"/>
        <w:kinsoku/>
        <w:wordWrap/>
        <w:overflowPunct/>
        <w:topLinePunct w:val="0"/>
        <w:autoSpaceDE/>
        <w:autoSpaceDN/>
        <w:bidi w:val="0"/>
        <w:snapToGrid w:val="0"/>
        <w:spacing w:line="500" w:lineRule="exact"/>
        <w:ind w:firstLine="540" w:firstLineChars="225"/>
        <w:rPr>
          <w:rFonts w:hint="eastAsia"/>
          <w:color w:val="auto"/>
          <w:sz w:val="24"/>
          <w:szCs w:val="24"/>
          <w:highlight w:val="none"/>
          <w:lang w:val="en-US" w:eastAsia="zh-CN"/>
        </w:rPr>
      </w:pPr>
      <w:r>
        <w:rPr>
          <w:rFonts w:hint="eastAsia"/>
          <w:color w:val="auto"/>
          <w:sz w:val="24"/>
          <w:szCs w:val="24"/>
          <w:highlight w:val="none"/>
          <w:lang w:val="en-US" w:eastAsia="zh-CN"/>
        </w:rPr>
        <w:t>（4）资格证明材料（文件）应附于响应文件中并经供应商电子签章。供应商对资格证明文件真实性有效合规承担责任，提供虚假材料的为无效投标并将进一步追究其责任。</w:t>
      </w:r>
    </w:p>
    <w:p w14:paraId="76FE9849">
      <w:pPr>
        <w:keepNext w:val="0"/>
        <w:keepLines w:val="0"/>
        <w:pageBreakBefore w:val="0"/>
        <w:widowControl w:val="0"/>
        <w:kinsoku/>
        <w:wordWrap/>
        <w:overflowPunct/>
        <w:topLinePunct w:val="0"/>
        <w:autoSpaceDE/>
        <w:autoSpaceDN/>
        <w:bidi w:val="0"/>
        <w:snapToGrid w:val="0"/>
        <w:spacing w:line="500" w:lineRule="exact"/>
        <w:ind w:firstLine="540" w:firstLineChars="225"/>
        <w:rPr>
          <w:rFonts w:hint="eastAsia"/>
          <w:color w:val="auto"/>
          <w:sz w:val="24"/>
          <w:szCs w:val="24"/>
          <w:highlight w:val="none"/>
          <w:lang w:val="en-US" w:eastAsia="zh-CN"/>
        </w:rPr>
      </w:pPr>
      <w:r>
        <w:rPr>
          <w:rFonts w:hint="eastAsia"/>
          <w:color w:val="auto"/>
          <w:sz w:val="24"/>
          <w:szCs w:val="24"/>
          <w:highlight w:val="none"/>
          <w:lang w:val="en-US" w:eastAsia="zh-CN"/>
        </w:rPr>
        <w:t>（5）本项目采取资格后审，由评标委员会进行文件审查，未按要求逐一提供、或资格审查不合格的为无效投标，供应商应自负其风险费用。</w:t>
      </w:r>
    </w:p>
    <w:p w14:paraId="2856F806">
      <w:pPr>
        <w:keepNext w:val="0"/>
        <w:keepLines w:val="0"/>
        <w:pageBreakBefore w:val="0"/>
        <w:widowControl w:val="0"/>
        <w:kinsoku/>
        <w:wordWrap/>
        <w:overflowPunct/>
        <w:topLinePunct w:val="0"/>
        <w:autoSpaceDE/>
        <w:autoSpaceDN/>
        <w:bidi w:val="0"/>
        <w:snapToGrid w:val="0"/>
        <w:spacing w:line="500" w:lineRule="exact"/>
        <w:ind w:firstLine="562" w:firstLineChars="200"/>
        <w:rPr>
          <w:rFonts w:hint="eastAsia" w:ascii="宋体" w:hAnsi="宋体" w:eastAsia="宋体" w:cs="宋体"/>
          <w:b/>
          <w:color w:val="auto"/>
          <w:sz w:val="28"/>
          <w:szCs w:val="28"/>
          <w:highlight w:val="none"/>
        </w:rPr>
      </w:pPr>
      <w:bookmarkStart w:id="0" w:name="_Toc35393623"/>
      <w:bookmarkStart w:id="1" w:name="_Toc35393792"/>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获取招标文件</w:t>
      </w:r>
      <w:bookmarkEnd w:id="0"/>
      <w:bookmarkEnd w:id="1"/>
    </w:p>
    <w:p w14:paraId="6F8362A9">
      <w:pPr>
        <w:keepNext w:val="0"/>
        <w:keepLines w:val="0"/>
        <w:pageBreakBefore w:val="0"/>
        <w:kinsoku/>
        <w:wordWrap/>
        <w:overflowPunct/>
        <w:topLinePunct w:val="0"/>
        <w:autoSpaceDE/>
        <w:autoSpaceDN/>
        <w:bidi w:val="0"/>
        <w:snapToGrid w:val="0"/>
        <w:spacing w:line="500" w:lineRule="exact"/>
        <w:ind w:firstLine="540" w:firstLineChars="225"/>
        <w:jc w:val="left"/>
        <w:rPr>
          <w:b/>
          <w:bCs/>
          <w:color w:val="auto"/>
          <w:sz w:val="24"/>
          <w:szCs w:val="24"/>
          <w:highlight w:val="none"/>
        </w:rPr>
      </w:pPr>
      <w:r>
        <w:rPr>
          <w:rFonts w:hint="eastAsia" w:ascii="宋体" w:hAnsi="宋体"/>
          <w:color w:val="auto"/>
          <w:sz w:val="24"/>
          <w:szCs w:val="24"/>
          <w:highlight w:val="none"/>
          <w:lang w:val="en-US" w:eastAsia="zh-CN"/>
        </w:rPr>
        <w:t>1.</w:t>
      </w:r>
      <w:r>
        <w:rPr>
          <w:rFonts w:hint="eastAsia"/>
          <w:color w:val="auto"/>
          <w:sz w:val="24"/>
          <w:szCs w:val="24"/>
          <w:highlight w:val="none"/>
        </w:rPr>
        <w:t>时间：</w:t>
      </w:r>
      <w:r>
        <w:rPr>
          <w:rFonts w:hint="eastAsia"/>
          <w:color w:val="auto"/>
          <w:sz w:val="24"/>
          <w:szCs w:val="24"/>
          <w:highlight w:val="none"/>
          <w:u w:val="single"/>
          <w:lang w:val="en-US" w:eastAsia="zh-CN"/>
        </w:rPr>
        <w:t>2025</w:t>
      </w:r>
      <w:r>
        <w:rPr>
          <w:rFonts w:hint="eastAsia"/>
          <w:color w:val="auto"/>
          <w:sz w:val="24"/>
          <w:szCs w:val="24"/>
          <w:highlight w:val="none"/>
        </w:rPr>
        <w:t>年</w:t>
      </w:r>
      <w:r>
        <w:rPr>
          <w:rFonts w:hint="eastAsia"/>
          <w:color w:val="auto"/>
          <w:sz w:val="24"/>
          <w:szCs w:val="24"/>
          <w:highlight w:val="none"/>
          <w:u w:val="single"/>
          <w:lang w:val="en-US" w:eastAsia="zh-CN"/>
        </w:rPr>
        <w:t xml:space="preserve"> 3 </w:t>
      </w:r>
      <w:r>
        <w:rPr>
          <w:rFonts w:hint="eastAsia"/>
          <w:color w:val="auto"/>
          <w:sz w:val="24"/>
          <w:szCs w:val="24"/>
          <w:highlight w:val="none"/>
        </w:rPr>
        <w:t>月</w:t>
      </w:r>
      <w:r>
        <w:rPr>
          <w:rFonts w:hint="eastAsia"/>
          <w:color w:val="auto"/>
          <w:sz w:val="24"/>
          <w:szCs w:val="24"/>
          <w:highlight w:val="none"/>
          <w:u w:val="single"/>
          <w:lang w:val="en-US" w:eastAsia="zh-CN"/>
        </w:rPr>
        <w:t xml:space="preserve"> 26 </w:t>
      </w:r>
      <w:r>
        <w:rPr>
          <w:rFonts w:hint="eastAsia"/>
          <w:color w:val="auto"/>
          <w:sz w:val="24"/>
          <w:szCs w:val="24"/>
          <w:highlight w:val="none"/>
        </w:rPr>
        <w:t>日至</w:t>
      </w:r>
      <w:r>
        <w:rPr>
          <w:rFonts w:hint="eastAsia"/>
          <w:color w:val="auto"/>
          <w:sz w:val="24"/>
          <w:szCs w:val="24"/>
          <w:highlight w:val="none"/>
          <w:u w:val="single"/>
          <w:lang w:val="en-US" w:eastAsia="zh-CN"/>
        </w:rPr>
        <w:t>2025</w:t>
      </w:r>
      <w:r>
        <w:rPr>
          <w:rFonts w:hint="eastAsia"/>
          <w:color w:val="auto"/>
          <w:sz w:val="24"/>
          <w:szCs w:val="24"/>
          <w:highlight w:val="none"/>
        </w:rPr>
        <w:t>年</w:t>
      </w:r>
      <w:r>
        <w:rPr>
          <w:rFonts w:hint="eastAsia"/>
          <w:color w:val="auto"/>
          <w:sz w:val="24"/>
          <w:szCs w:val="24"/>
          <w:highlight w:val="none"/>
          <w:u w:val="single"/>
          <w:lang w:val="en-US" w:eastAsia="zh-CN"/>
        </w:rPr>
        <w:t xml:space="preserve"> 4 </w:t>
      </w:r>
      <w:r>
        <w:rPr>
          <w:rFonts w:hint="eastAsia"/>
          <w:color w:val="auto"/>
          <w:sz w:val="24"/>
          <w:szCs w:val="24"/>
          <w:highlight w:val="none"/>
        </w:rPr>
        <w:t>月</w:t>
      </w:r>
      <w:r>
        <w:rPr>
          <w:rFonts w:hint="eastAsia"/>
          <w:color w:val="auto"/>
          <w:sz w:val="24"/>
          <w:szCs w:val="24"/>
          <w:highlight w:val="none"/>
          <w:u w:val="single"/>
          <w:lang w:val="en-US" w:eastAsia="zh-CN"/>
        </w:rPr>
        <w:t xml:space="preserve">  2  </w:t>
      </w:r>
      <w:r>
        <w:rPr>
          <w:rFonts w:hint="eastAsia"/>
          <w:color w:val="auto"/>
          <w:sz w:val="24"/>
          <w:szCs w:val="24"/>
          <w:highlight w:val="none"/>
        </w:rPr>
        <w:t>日，每天上午</w:t>
      </w:r>
      <w:r>
        <w:rPr>
          <w:rFonts w:hint="eastAsia"/>
          <w:color w:val="auto"/>
          <w:sz w:val="24"/>
          <w:szCs w:val="24"/>
          <w:highlight w:val="none"/>
          <w:u w:val="single"/>
          <w:lang w:val="en-US" w:eastAsia="zh-CN"/>
        </w:rPr>
        <w:t>00:00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rPr>
        <w:t>，下午</w:t>
      </w:r>
      <w:r>
        <w:rPr>
          <w:rFonts w:hint="eastAsia"/>
          <w:color w:val="auto"/>
          <w:sz w:val="24"/>
          <w:szCs w:val="24"/>
          <w:highlight w:val="none"/>
          <w:u w:val="single"/>
          <w:lang w:val="en-US" w:eastAsia="zh-CN"/>
        </w:rPr>
        <w:t>12:00</w:t>
      </w:r>
      <w:r>
        <w:rPr>
          <w:rFonts w:hint="eastAsia"/>
          <w:color w:val="auto"/>
          <w:sz w:val="24"/>
          <w:szCs w:val="24"/>
          <w:highlight w:val="none"/>
        </w:rPr>
        <w:t>至</w:t>
      </w:r>
      <w:r>
        <w:rPr>
          <w:rFonts w:hint="eastAsia"/>
          <w:color w:val="auto"/>
          <w:sz w:val="24"/>
          <w:szCs w:val="24"/>
          <w:highlight w:val="none"/>
          <w:u w:val="single"/>
          <w:lang w:val="en-US" w:eastAsia="zh-CN"/>
        </w:rPr>
        <w:t>23:59</w:t>
      </w:r>
      <w:r>
        <w:rPr>
          <w:rFonts w:hint="eastAsia"/>
          <w:color w:val="auto"/>
          <w:sz w:val="24"/>
          <w:szCs w:val="24"/>
          <w:highlight w:val="none"/>
        </w:rPr>
        <w:t>（北京时间，</w:t>
      </w:r>
      <w:r>
        <w:rPr>
          <w:color w:val="auto"/>
          <w:sz w:val="24"/>
          <w:szCs w:val="24"/>
          <w:highlight w:val="none"/>
        </w:rPr>
        <w:t>法定节假日</w:t>
      </w:r>
      <w:r>
        <w:rPr>
          <w:rFonts w:hint="eastAsia"/>
          <w:color w:val="auto"/>
          <w:sz w:val="24"/>
          <w:szCs w:val="24"/>
          <w:highlight w:val="none"/>
        </w:rPr>
        <w:t>除外）</w:t>
      </w:r>
    </w:p>
    <w:p w14:paraId="71F26A0A">
      <w:pPr>
        <w:keepNext w:val="0"/>
        <w:keepLines w:val="0"/>
        <w:pageBreakBefore w:val="0"/>
        <w:widowControl w:val="0"/>
        <w:kinsoku/>
        <w:wordWrap/>
        <w:overflowPunct/>
        <w:topLinePunct w:val="0"/>
        <w:autoSpaceDE/>
        <w:autoSpaceDN/>
        <w:bidi w:val="0"/>
        <w:snapToGrid w:val="0"/>
        <w:spacing w:line="500" w:lineRule="exact"/>
        <w:ind w:left="55" w:leftChars="26" w:firstLine="540" w:firstLineChars="225"/>
        <w:rPr>
          <w:rFonts w:ascii="宋体" w:hAnsi="宋体"/>
          <w:b/>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地点</w:t>
      </w:r>
      <w:r>
        <w:rPr>
          <w:rFonts w:hint="eastAsia"/>
          <w:color w:val="auto"/>
          <w:sz w:val="24"/>
          <w:szCs w:val="24"/>
          <w:highlight w:val="none"/>
        </w:rPr>
        <w:t>：</w:t>
      </w:r>
      <w:r>
        <w:rPr>
          <w:rFonts w:hint="eastAsia"/>
          <w:b/>
          <w:bCs/>
          <w:color w:val="auto"/>
          <w:sz w:val="24"/>
          <w:szCs w:val="24"/>
          <w:highlight w:val="none"/>
        </w:rPr>
        <w:t>网上</w:t>
      </w:r>
      <w:r>
        <w:rPr>
          <w:b/>
          <w:bCs/>
          <w:color w:val="auto"/>
          <w:sz w:val="24"/>
          <w:szCs w:val="24"/>
          <w:highlight w:val="none"/>
        </w:rPr>
        <w:t>下载</w:t>
      </w:r>
      <w:r>
        <w:rPr>
          <w:rFonts w:hint="eastAsia"/>
          <w:b/>
          <w:bCs/>
          <w:color w:val="auto"/>
          <w:sz w:val="24"/>
          <w:szCs w:val="24"/>
          <w:highlight w:val="none"/>
          <w:lang w:eastAsia="zh-CN"/>
        </w:rPr>
        <w:t>，请使用 IE 浏览器登录安阳市公共资源交易中心网站（https://ggzy.anyang.gov.cn/）点击“CA 注册”进行用户注册。注册手册详见登录页面的手册下载。</w:t>
      </w:r>
      <w:r>
        <w:rPr>
          <w:rFonts w:hint="eastAsia" w:ascii="宋体" w:hAnsi="宋体"/>
          <w:b/>
          <w:color w:val="auto"/>
          <w:sz w:val="24"/>
          <w:szCs w:val="24"/>
          <w:highlight w:val="none"/>
        </w:rPr>
        <w:t>供应商注册完成后选择项目填写联系人信息后可下载招标文件（格式为*.ayzf ）。</w:t>
      </w:r>
    </w:p>
    <w:p w14:paraId="33B68D67">
      <w:pPr>
        <w:keepNext w:val="0"/>
        <w:keepLines w:val="0"/>
        <w:pageBreakBefore w:val="0"/>
        <w:kinsoku/>
        <w:wordWrap/>
        <w:overflowPunct/>
        <w:topLinePunct w:val="0"/>
        <w:autoSpaceDE/>
        <w:autoSpaceDN/>
        <w:bidi w:val="0"/>
        <w:spacing w:line="500" w:lineRule="exact"/>
        <w:ind w:firstLine="540"/>
        <w:rPr>
          <w:rFonts w:hint="eastAsia" w:ascii="仿宋" w:hAnsi="仿宋" w:eastAsia="宋体" w:cs="宋体"/>
          <w:color w:val="auto"/>
          <w:sz w:val="28"/>
          <w:szCs w:val="28"/>
          <w:highlight w:val="none"/>
          <w:u w:val="single"/>
          <w:lang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方式：</w:t>
      </w:r>
      <w:r>
        <w:rPr>
          <w:rFonts w:hint="eastAsia" w:ascii="宋体" w:hAnsi="宋体"/>
          <w:b/>
          <w:color w:val="auto"/>
          <w:sz w:val="24"/>
          <w:szCs w:val="24"/>
          <w:highlight w:val="none"/>
        </w:rPr>
        <w:t>凡 有 意 参 加 投 标 者 ，登 录“ 安 阳 市 公 共 资 源 交 易 中 心 网站（https://ggzy.anyang.gov.cn/）”，凭数字证书下载招标文件。获取招标文件后，请到安阳市公共资源交易中心网（https://ggzy.anyang.gov.cn/）下载并安装投标文件制作工具，查看招标文件和制作电子投标文件。如有技术问题请咨询 0372-3387737，0372-3387739</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13215996193。</w:t>
      </w:r>
    </w:p>
    <w:p w14:paraId="43A872BF">
      <w:pPr>
        <w:keepNext w:val="0"/>
        <w:keepLines w:val="0"/>
        <w:pageBreakBefore w:val="0"/>
        <w:kinsoku/>
        <w:wordWrap/>
        <w:overflowPunct/>
        <w:topLinePunct w:val="0"/>
        <w:autoSpaceDE/>
        <w:autoSpaceDN/>
        <w:bidi w:val="0"/>
        <w:spacing w:line="500" w:lineRule="exact"/>
        <w:ind w:firstLine="540"/>
        <w:rPr>
          <w:rFonts w:ascii="宋体" w:hAnsi="宋体" w:cs="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售价：</w:t>
      </w:r>
      <w:r>
        <w:rPr>
          <w:rFonts w:hint="eastAsia" w:ascii="宋体" w:hAnsi="宋体" w:cs="宋体"/>
          <w:color w:val="auto"/>
          <w:sz w:val="24"/>
          <w:szCs w:val="24"/>
          <w:highlight w:val="none"/>
        </w:rPr>
        <w:t>0元</w:t>
      </w:r>
    </w:p>
    <w:p w14:paraId="0E227E8E">
      <w:pPr>
        <w:keepNext w:val="0"/>
        <w:keepLines w:val="0"/>
        <w:pageBreakBefore w:val="0"/>
        <w:kinsoku/>
        <w:wordWrap/>
        <w:overflowPunct/>
        <w:topLinePunct w:val="0"/>
        <w:autoSpaceDE/>
        <w:autoSpaceDN/>
        <w:bidi w:val="0"/>
        <w:snapToGrid w:val="0"/>
        <w:spacing w:line="500" w:lineRule="exact"/>
        <w:ind w:firstLine="632" w:firstLineChars="225"/>
        <w:jc w:val="left"/>
        <w:rPr>
          <w:rFonts w:hint="eastAsia" w:ascii="宋体" w:hAnsi="宋体"/>
          <w:b/>
          <w:bCs/>
          <w:color w:val="auto"/>
          <w:sz w:val="28"/>
          <w:szCs w:val="28"/>
          <w:highlight w:val="none"/>
        </w:rPr>
      </w:pPr>
      <w:r>
        <w:rPr>
          <w:rFonts w:hint="eastAsia" w:ascii="宋体" w:hAnsi="宋体"/>
          <w:b/>
          <w:bCs/>
          <w:color w:val="auto"/>
          <w:sz w:val="28"/>
          <w:szCs w:val="28"/>
          <w:highlight w:val="none"/>
        </w:rPr>
        <w:t>四、投标截止时间及地点</w:t>
      </w:r>
    </w:p>
    <w:p w14:paraId="4A05EC84">
      <w:pPr>
        <w:keepNext w:val="0"/>
        <w:keepLines w:val="0"/>
        <w:pageBreakBefore w:val="0"/>
        <w:kinsoku/>
        <w:wordWrap/>
        <w:overflowPunct/>
        <w:topLinePunct w:val="0"/>
        <w:autoSpaceDE/>
        <w:autoSpaceDN/>
        <w:bidi w:val="0"/>
        <w:snapToGrid w:val="0"/>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4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16 </w:t>
      </w:r>
      <w:r>
        <w:rPr>
          <w:rFonts w:hint="eastAsia" w:ascii="宋体" w:hAnsi="宋体"/>
          <w:color w:val="auto"/>
          <w:sz w:val="24"/>
          <w:szCs w:val="24"/>
          <w:highlight w:val="none"/>
        </w:rPr>
        <w:t>日0</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p w14:paraId="5BB188C8">
      <w:pPr>
        <w:keepNext w:val="0"/>
        <w:keepLines w:val="0"/>
        <w:pageBreakBefore w:val="0"/>
        <w:kinsoku/>
        <w:wordWrap/>
        <w:overflowPunct/>
        <w:topLinePunct w:val="0"/>
        <w:autoSpaceDE/>
        <w:autoSpaceDN/>
        <w:bidi w:val="0"/>
        <w:snapToGrid w:val="0"/>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地点：投标人应在投标截止时间前上传加密的电子投标文件到全国公共资源交易平台（河南省˙汤阴县）（https://ggzy.anyang.gov.cn/tyggzy/）。上传时投标人须使用制作该投标文件的同一 CA 锁进行上传操作。请投标人在上传时认真检查上传投标文件是否完整、正确。投标人应充分考虑上传文件时的不可预见因素，未在投标截止时间前完成上传的，视为逾期送达，电子招投标交易平台将拒绝接收。</w:t>
      </w:r>
    </w:p>
    <w:p w14:paraId="05E4D36C">
      <w:pPr>
        <w:keepNext w:val="0"/>
        <w:keepLines w:val="0"/>
        <w:pageBreakBefore w:val="0"/>
        <w:widowControl w:val="0"/>
        <w:kinsoku/>
        <w:wordWrap/>
        <w:overflowPunct/>
        <w:topLinePunct w:val="0"/>
        <w:autoSpaceDE/>
        <w:autoSpaceDN/>
        <w:bidi w:val="0"/>
        <w:snapToGrid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开标时间和地点</w:t>
      </w:r>
    </w:p>
    <w:p w14:paraId="6EB9334D">
      <w:pPr>
        <w:keepNext w:val="0"/>
        <w:keepLines w:val="0"/>
        <w:pageBreakBefore w:val="0"/>
        <w:kinsoku/>
        <w:wordWrap/>
        <w:overflowPunct/>
        <w:topLinePunct w:val="0"/>
        <w:autoSpaceDE/>
        <w:autoSpaceDN/>
        <w:bidi w:val="0"/>
        <w:snapToGrid w:val="0"/>
        <w:spacing w:line="500" w:lineRule="exact"/>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4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w:t>
      </w:r>
    </w:p>
    <w:p w14:paraId="491F9F44">
      <w:pPr>
        <w:keepNext w:val="0"/>
        <w:keepLines w:val="0"/>
        <w:pageBreakBefore w:val="0"/>
        <w:kinsoku/>
        <w:wordWrap/>
        <w:overflowPunct/>
        <w:topLinePunct w:val="0"/>
        <w:autoSpaceDE/>
        <w:autoSpaceDN/>
        <w:bidi w:val="0"/>
        <w:snapToGrid w:val="0"/>
        <w:spacing w:line="500" w:lineRule="exact"/>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地点（管理员网上操作地点）：汤阴县公共资源交易中心集中开标大厅 </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室。本项目采用远程不见面交易的模式，开标当日，投标人无需到开标现场参加开标会议，投标人应当在投标截止时间前，使用IE 浏 览 器 登 录 到 汤 阴 县 公 共 资 源 交 易 不 见 面 开 标 大 厅（https://ggzy.anyang.gov.cn/tyggzy/），点击右上方【登录】按钮进入，在线准时参加开标活动并进行投标文件解密等。因投标人原因未能解密、解密失败或解密超时的将被拒绝。</w:t>
      </w:r>
    </w:p>
    <w:p w14:paraId="0BB45454">
      <w:pPr>
        <w:keepNext w:val="0"/>
        <w:keepLines w:val="0"/>
        <w:pageBreakBefore w:val="0"/>
        <w:widowControl w:val="0"/>
        <w:kinsoku/>
        <w:wordWrap/>
        <w:overflowPunct/>
        <w:topLinePunct w:val="0"/>
        <w:autoSpaceDE/>
        <w:autoSpaceDN/>
        <w:bidi w:val="0"/>
        <w:snapToGrid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发布公告的媒介及招标公告期限</w:t>
      </w:r>
    </w:p>
    <w:p w14:paraId="7900EBBA">
      <w:pPr>
        <w:keepNext w:val="0"/>
        <w:keepLines w:val="0"/>
        <w:pageBreakBefore w:val="0"/>
        <w:widowControl w:val="0"/>
        <w:tabs>
          <w:tab w:val="left" w:pos="39"/>
          <w:tab w:val="left" w:pos="96"/>
        </w:tabs>
        <w:kinsoku/>
        <w:wordWrap/>
        <w:overflowPunct/>
        <w:topLinePunct w:val="0"/>
        <w:autoSpaceDE/>
        <w:autoSpaceDN/>
        <w:bidi w:val="0"/>
        <w:snapToGrid w:val="0"/>
        <w:spacing w:line="50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本次公告在《河南省政府采购网》、《安阳市政府采购网》、《全国公共资源交易平台（河南省˙汤阴县）》上发布。公告期限为五个工作日。（2025 年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 xml:space="preserve"> 日至 2025 年 </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月</w:t>
      </w:r>
      <w:r>
        <w:rPr>
          <w:rFonts w:hint="eastAsia" w:ascii="宋体" w:hAnsi="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日）。</w:t>
      </w:r>
    </w:p>
    <w:p w14:paraId="00C96722">
      <w:pPr>
        <w:keepNext w:val="0"/>
        <w:keepLines w:val="0"/>
        <w:pageBreakBefore w:val="0"/>
        <w:widowControl w:val="0"/>
        <w:kinsoku/>
        <w:wordWrap/>
        <w:overflowPunct/>
        <w:topLinePunct w:val="0"/>
        <w:autoSpaceDE/>
        <w:autoSpaceDN/>
        <w:bidi w:val="0"/>
        <w:snapToGrid w:val="0"/>
        <w:spacing w:line="500" w:lineRule="exact"/>
        <w:ind w:firstLine="562" w:firstLineChars="200"/>
        <w:rPr>
          <w:rFonts w:hint="eastAsia" w:ascii="宋体" w:hAnsi="宋体" w:eastAsia="宋体" w:cs="宋体"/>
          <w:b/>
          <w:color w:val="auto"/>
          <w:sz w:val="28"/>
          <w:szCs w:val="28"/>
          <w:highlight w:val="none"/>
        </w:rPr>
      </w:pPr>
      <w:bookmarkStart w:id="2" w:name="_Toc35393795"/>
      <w:bookmarkStart w:id="3" w:name="_Toc35393626"/>
      <w:r>
        <w:rPr>
          <w:rFonts w:hint="eastAsia" w:ascii="宋体" w:hAnsi="宋体" w:eastAsia="宋体" w:cs="宋体"/>
          <w:b/>
          <w:color w:val="auto"/>
          <w:sz w:val="28"/>
          <w:szCs w:val="28"/>
          <w:highlight w:val="none"/>
          <w:lang w:val="en-US" w:eastAsia="zh-CN"/>
        </w:rPr>
        <w:t>七、</w:t>
      </w:r>
      <w:r>
        <w:rPr>
          <w:rFonts w:hint="eastAsia" w:ascii="宋体" w:hAnsi="宋体" w:eastAsia="宋体" w:cs="宋体"/>
          <w:b/>
          <w:color w:val="auto"/>
          <w:sz w:val="28"/>
          <w:szCs w:val="28"/>
          <w:highlight w:val="none"/>
        </w:rPr>
        <w:t>其他补充事宜</w:t>
      </w:r>
      <w:bookmarkEnd w:id="2"/>
      <w:bookmarkEnd w:id="3"/>
    </w:p>
    <w:p w14:paraId="7CDDEFE3">
      <w:pPr>
        <w:keepNext w:val="0"/>
        <w:keepLines w:val="0"/>
        <w:pageBreakBefore w:val="0"/>
        <w:widowControl w:val="0"/>
        <w:kinsoku/>
        <w:wordWrap/>
        <w:overflowPunct/>
        <w:topLinePunct w:val="0"/>
        <w:autoSpaceDE/>
        <w:autoSpaceDN/>
        <w:bidi w:val="0"/>
        <w:snapToGrid w:val="0"/>
        <w:spacing w:line="500" w:lineRule="exact"/>
        <w:ind w:firstLine="542" w:firstLineChars="225"/>
        <w:jc w:val="left"/>
        <w:rPr>
          <w:rFonts w:hint="eastAsia" w:ascii="宋体" w:hAnsi="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项目落实的政府采购政策</w:t>
      </w:r>
    </w:p>
    <w:p w14:paraId="627C2A57">
      <w:pPr>
        <w:keepNext w:val="0"/>
        <w:keepLines w:val="0"/>
        <w:pageBreakBefore w:val="0"/>
        <w:widowControl w:val="0"/>
        <w:kinsoku/>
        <w:wordWrap/>
        <w:overflowPunct/>
        <w:topLinePunct w:val="0"/>
        <w:autoSpaceDE/>
        <w:autoSpaceDN/>
        <w:bidi w:val="0"/>
        <w:snapToGrid w:val="0"/>
        <w:spacing w:line="500" w:lineRule="exact"/>
        <w:ind w:firstLine="540" w:firstLineChars="225"/>
        <w:jc w:val="left"/>
        <w:rPr>
          <w:rFonts w:hint="eastAsia"/>
          <w:color w:val="auto"/>
          <w:sz w:val="24"/>
          <w:szCs w:val="24"/>
          <w:lang w:eastAsia="zh-CN"/>
        </w:rPr>
      </w:pPr>
      <w:r>
        <w:rPr>
          <w:rFonts w:hint="eastAsia" w:ascii="宋体" w:hAnsi="宋体"/>
          <w:color w:val="auto"/>
          <w:sz w:val="24"/>
          <w:szCs w:val="24"/>
          <w:lang w:val="en-US" w:eastAsia="zh-CN"/>
        </w:rPr>
        <w:t xml:space="preserve">1.1 </w:t>
      </w:r>
      <w:r>
        <w:rPr>
          <w:rFonts w:hint="eastAsia"/>
          <w:color w:val="auto"/>
          <w:sz w:val="24"/>
          <w:szCs w:val="24"/>
        </w:rPr>
        <w:t>强制节能产品强制采购、节能产品、环境标志产品及贫困地区产品优先采购、促进中小企业</w:t>
      </w:r>
      <w:r>
        <w:rPr>
          <w:rFonts w:hint="eastAsia"/>
          <w:color w:val="auto"/>
          <w:sz w:val="24"/>
          <w:szCs w:val="24"/>
          <w:lang w:eastAsia="zh-CN"/>
        </w:rPr>
        <w:t>（</w:t>
      </w:r>
      <w:r>
        <w:rPr>
          <w:rFonts w:hint="eastAsia"/>
          <w:color w:val="auto"/>
          <w:sz w:val="24"/>
          <w:szCs w:val="24"/>
          <w:lang w:val="en-US" w:eastAsia="zh-CN"/>
        </w:rPr>
        <w:t>含监狱企业、残疾人福利性单位</w:t>
      </w:r>
      <w:r>
        <w:rPr>
          <w:rFonts w:hint="eastAsia"/>
          <w:color w:val="auto"/>
          <w:sz w:val="24"/>
          <w:szCs w:val="24"/>
          <w:lang w:eastAsia="zh-CN"/>
        </w:rPr>
        <w:t>）</w:t>
      </w:r>
      <w:r>
        <w:rPr>
          <w:rFonts w:hint="eastAsia"/>
          <w:color w:val="auto"/>
          <w:sz w:val="24"/>
          <w:szCs w:val="24"/>
        </w:rPr>
        <w:t>发展扶持政策、</w:t>
      </w:r>
      <w:r>
        <w:rPr>
          <w:rFonts w:hint="eastAsia"/>
          <w:color w:val="auto"/>
          <w:sz w:val="24"/>
          <w:szCs w:val="24"/>
          <w:lang w:val="en-US" w:eastAsia="zh-CN"/>
        </w:rPr>
        <w:t>贫困地区产品政策、</w:t>
      </w:r>
      <w:r>
        <w:rPr>
          <w:rFonts w:hint="eastAsia"/>
          <w:color w:val="auto"/>
          <w:sz w:val="24"/>
          <w:szCs w:val="24"/>
        </w:rPr>
        <w:t>进口产品政策、信息安全产品、社会信用体系建设</w:t>
      </w:r>
      <w:r>
        <w:rPr>
          <w:rFonts w:hint="eastAsia"/>
          <w:color w:val="auto"/>
          <w:sz w:val="24"/>
          <w:szCs w:val="24"/>
          <w:lang w:eastAsia="zh-CN"/>
        </w:rPr>
        <w:t>；</w:t>
      </w:r>
    </w:p>
    <w:p w14:paraId="198B06F8">
      <w:pPr>
        <w:keepNext w:val="0"/>
        <w:keepLines w:val="0"/>
        <w:pageBreakBefore w:val="0"/>
        <w:widowControl w:val="0"/>
        <w:kinsoku/>
        <w:wordWrap/>
        <w:overflowPunct/>
        <w:topLinePunct w:val="0"/>
        <w:autoSpaceDE/>
        <w:autoSpaceDN/>
        <w:bidi w:val="0"/>
        <w:snapToGrid w:val="0"/>
        <w:spacing w:line="500" w:lineRule="exact"/>
        <w:ind w:firstLine="540" w:firstLineChars="225"/>
        <w:jc w:val="left"/>
        <w:rPr>
          <w:rFonts w:hint="eastAsia"/>
          <w:color w:val="auto"/>
          <w:sz w:val="24"/>
          <w:szCs w:val="24"/>
          <w:lang w:eastAsia="zh-CN"/>
        </w:rPr>
      </w:pPr>
      <w:r>
        <w:rPr>
          <w:rFonts w:hint="eastAsia"/>
          <w:color w:val="auto"/>
          <w:sz w:val="24"/>
          <w:szCs w:val="24"/>
          <w:lang w:val="en-US" w:eastAsia="zh-CN"/>
        </w:rPr>
        <w:t xml:space="preserve">1.2 </w:t>
      </w:r>
      <w:r>
        <w:rPr>
          <w:rFonts w:hint="eastAsia"/>
          <w:color w:val="auto"/>
          <w:sz w:val="24"/>
          <w:szCs w:val="24"/>
          <w:lang w:eastAsia="zh-CN"/>
        </w:rPr>
        <w:t>支持创新政策采购政策要求；</w:t>
      </w:r>
    </w:p>
    <w:p w14:paraId="0380FE2A">
      <w:pPr>
        <w:keepNext w:val="0"/>
        <w:keepLines w:val="0"/>
        <w:pageBreakBefore w:val="0"/>
        <w:widowControl w:val="0"/>
        <w:kinsoku/>
        <w:wordWrap/>
        <w:overflowPunct/>
        <w:topLinePunct w:val="0"/>
        <w:autoSpaceDE/>
        <w:autoSpaceDN/>
        <w:bidi w:val="0"/>
        <w:snapToGrid w:val="0"/>
        <w:spacing w:line="500" w:lineRule="exact"/>
        <w:ind w:firstLine="540" w:firstLineChars="225"/>
        <w:jc w:val="left"/>
        <w:rPr>
          <w:color w:val="auto"/>
          <w:sz w:val="24"/>
          <w:szCs w:val="24"/>
        </w:rPr>
      </w:pPr>
      <w:r>
        <w:rPr>
          <w:rFonts w:hint="eastAsia"/>
          <w:color w:val="auto"/>
          <w:sz w:val="24"/>
          <w:szCs w:val="24"/>
          <w:lang w:val="en-US" w:eastAsia="zh-CN"/>
        </w:rPr>
        <w:t xml:space="preserve">1.3 </w:t>
      </w:r>
      <w:r>
        <w:rPr>
          <w:rFonts w:hint="eastAsia"/>
          <w:color w:val="auto"/>
          <w:sz w:val="24"/>
          <w:szCs w:val="24"/>
          <w:lang w:eastAsia="zh-CN"/>
        </w:rPr>
        <w:t>落实绿色发展、节能环保政府采购政策</w:t>
      </w:r>
      <w:r>
        <w:rPr>
          <w:rFonts w:hint="eastAsia"/>
          <w:color w:val="auto"/>
          <w:sz w:val="24"/>
          <w:szCs w:val="24"/>
        </w:rPr>
        <w:t>等。</w:t>
      </w:r>
    </w:p>
    <w:p w14:paraId="10C222F4">
      <w:pPr>
        <w:keepNext w:val="0"/>
        <w:keepLines w:val="0"/>
        <w:pageBreakBefore w:val="0"/>
        <w:widowControl w:val="0"/>
        <w:kinsoku/>
        <w:wordWrap/>
        <w:overflowPunct/>
        <w:topLinePunct w:val="0"/>
        <w:autoSpaceDE/>
        <w:autoSpaceDN/>
        <w:bidi w:val="0"/>
        <w:snapToGrid w:val="0"/>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政府采购合同融资</w:t>
      </w:r>
    </w:p>
    <w:p w14:paraId="3BBE86E2">
      <w:pPr>
        <w:keepNext w:val="0"/>
        <w:keepLines w:val="0"/>
        <w:pageBreakBefore w:val="0"/>
        <w:widowControl w:val="0"/>
        <w:kinsoku/>
        <w:wordWrap/>
        <w:overflowPunct/>
        <w:topLinePunct w:val="0"/>
        <w:autoSpaceDE/>
        <w:autoSpaceDN/>
        <w:bidi w:val="0"/>
        <w:adjustRightInd w:val="0"/>
        <w:snapToGrid w:val="0"/>
        <w:spacing w:line="500" w:lineRule="exact"/>
        <w:ind w:firstLine="540" w:firstLineChars="225"/>
        <w:rPr>
          <w:rFonts w:ascii="宋体" w:hAnsi="宋体"/>
          <w:color w:val="auto"/>
          <w:sz w:val="24"/>
          <w:szCs w:val="24"/>
          <w:highlight w:val="none"/>
        </w:rPr>
      </w:pPr>
      <w:r>
        <w:rPr>
          <w:rFonts w:hint="eastAsia" w:ascii="宋体" w:hAnsi="宋体"/>
          <w:color w:val="auto"/>
          <w:sz w:val="24"/>
          <w:szCs w:val="24"/>
          <w:highlight w:val="none"/>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14:paraId="39C029F1">
      <w:pPr>
        <w:keepNext w:val="0"/>
        <w:keepLines w:val="0"/>
        <w:pageBreakBefore w:val="0"/>
        <w:widowControl w:val="0"/>
        <w:kinsoku/>
        <w:wordWrap/>
        <w:overflowPunct/>
        <w:topLinePunct w:val="0"/>
        <w:autoSpaceDE/>
        <w:autoSpaceDN/>
        <w:bidi w:val="0"/>
        <w:snapToGrid w:val="0"/>
        <w:spacing w:line="500" w:lineRule="exact"/>
        <w:ind w:firstLine="540" w:firstLineChars="225"/>
        <w:jc w:val="left"/>
        <w:rPr>
          <w:rFonts w:hint="eastAsia" w:ascii="宋体" w:hAnsi="宋体"/>
          <w:color w:val="auto"/>
          <w:sz w:val="24"/>
          <w:szCs w:val="24"/>
          <w:highlight w:val="none"/>
        </w:rPr>
      </w:pPr>
      <w:r>
        <w:rPr>
          <w:rFonts w:hint="eastAsia" w:ascii="宋体" w:hAnsi="宋体"/>
          <w:color w:val="auto"/>
          <w:sz w:val="24"/>
          <w:szCs w:val="24"/>
          <w:highlight w:val="none"/>
        </w:rPr>
        <w:t>3.本项目采用远程不见面交易模式进行采购，供应商需提前办理CA 数字证书及电子签章。</w:t>
      </w:r>
    </w:p>
    <w:p w14:paraId="2D0BCD11">
      <w:pPr>
        <w:keepNext w:val="0"/>
        <w:keepLines w:val="0"/>
        <w:pageBreakBefore w:val="0"/>
        <w:widowControl w:val="0"/>
        <w:kinsoku/>
        <w:wordWrap/>
        <w:overflowPunct/>
        <w:topLinePunct w:val="0"/>
        <w:autoSpaceDE/>
        <w:autoSpaceDN/>
        <w:bidi w:val="0"/>
        <w:snapToGrid w:val="0"/>
        <w:spacing w:line="500" w:lineRule="exact"/>
        <w:ind w:firstLine="540" w:firstLineChars="225"/>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供应商需在开标前登录“安阳市公共资源交易系统（投标方）”并进入本项目相匹配的网上开标室，在当代理公司下达解密命令后，要求供应商在规定时间内完成对本单位的加密响应文件解密，由于供应商自身原因，在规定时间内解密不成功的，作为无效处理</w:t>
      </w:r>
      <w:r>
        <w:rPr>
          <w:rFonts w:hint="eastAsia" w:ascii="宋体" w:hAnsi="宋体"/>
          <w:color w:val="auto"/>
          <w:sz w:val="24"/>
          <w:szCs w:val="24"/>
          <w:highlight w:val="none"/>
          <w:lang w:eastAsia="zh-CN"/>
        </w:rPr>
        <w:t>。</w:t>
      </w:r>
    </w:p>
    <w:p w14:paraId="6D76D5A8">
      <w:pPr>
        <w:keepNext w:val="0"/>
        <w:keepLines w:val="0"/>
        <w:pageBreakBefore w:val="0"/>
        <w:widowControl w:val="0"/>
        <w:kinsoku/>
        <w:wordWrap/>
        <w:overflowPunct/>
        <w:topLinePunct w:val="0"/>
        <w:autoSpaceDE/>
        <w:autoSpaceDN/>
        <w:bidi w:val="0"/>
        <w:snapToGrid w:val="0"/>
        <w:spacing w:line="500" w:lineRule="exact"/>
        <w:ind w:firstLine="540" w:firstLineChars="225"/>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5.政府采购监督管理部门将依据“双随机一公开”原则，定期或不定期随机抽取政府采购项目进行监督检查，审查供应商投标（响应）文件的真实性，重点审查中标、成交供应商，财政部门认为有必要的，可以对其他参加采购活动的供应商一并审查。如发现提供虚假材料谋取中标的情形，将按照政府采购法顶格给予处罚。</w:t>
      </w:r>
    </w:p>
    <w:p w14:paraId="3BDE21FB">
      <w:pPr>
        <w:keepNext w:val="0"/>
        <w:keepLines w:val="0"/>
        <w:pageBreakBefore w:val="0"/>
        <w:widowControl w:val="0"/>
        <w:kinsoku/>
        <w:wordWrap/>
        <w:overflowPunct/>
        <w:topLinePunct w:val="0"/>
        <w:autoSpaceDE/>
        <w:autoSpaceDN/>
        <w:bidi w:val="0"/>
        <w:snapToGrid w:val="0"/>
        <w:spacing w:line="500" w:lineRule="exact"/>
        <w:ind w:firstLine="540" w:firstLineChars="225"/>
        <w:jc w:val="left"/>
        <w:rPr>
          <w:rFonts w:hint="eastAsia" w:ascii="宋体" w:hAnsi="宋体"/>
          <w:color w:val="auto"/>
          <w:sz w:val="24"/>
          <w:szCs w:val="24"/>
          <w:highlight w:val="none"/>
        </w:rPr>
      </w:pPr>
      <w:r>
        <w:rPr>
          <w:rFonts w:hint="eastAsia" w:ascii="宋体" w:hAnsi="宋体"/>
          <w:color w:val="auto"/>
          <w:sz w:val="24"/>
          <w:szCs w:val="24"/>
          <w:highlight w:val="none"/>
        </w:rPr>
        <w:t>6.供应商代表对开标过程和开标记录有</w:t>
      </w:r>
      <w:r>
        <w:rPr>
          <w:rFonts w:hint="eastAsia" w:ascii="宋体" w:hAnsi="宋体"/>
          <w:color w:val="auto"/>
          <w:sz w:val="24"/>
          <w:szCs w:val="24"/>
          <w:highlight w:val="none"/>
          <w:lang w:val="en-US" w:eastAsia="zh-CN"/>
        </w:rPr>
        <w:t>异议</w:t>
      </w:r>
      <w:r>
        <w:rPr>
          <w:rFonts w:hint="eastAsia" w:ascii="宋体" w:hAnsi="宋体"/>
          <w:color w:val="auto"/>
          <w:sz w:val="24"/>
          <w:szCs w:val="24"/>
          <w:highlight w:val="none"/>
        </w:rPr>
        <w:t>，请及时与采购代理机构联系。</w:t>
      </w:r>
    </w:p>
    <w:p w14:paraId="0EAD551A">
      <w:pPr>
        <w:keepNext w:val="0"/>
        <w:keepLines w:val="0"/>
        <w:pageBreakBefore w:val="0"/>
        <w:kinsoku/>
        <w:wordWrap/>
        <w:overflowPunct/>
        <w:topLinePunct w:val="0"/>
        <w:autoSpaceDE/>
        <w:autoSpaceDN/>
        <w:bidi w:val="0"/>
        <w:spacing w:line="500" w:lineRule="exact"/>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八、凡对本次招标提出询问，请按照以下方式联系</w:t>
      </w:r>
    </w:p>
    <w:p w14:paraId="5E6A78D9">
      <w:pPr>
        <w:keepNext w:val="0"/>
        <w:keepLines w:val="0"/>
        <w:pageBreakBefore w:val="0"/>
        <w:kinsoku/>
        <w:wordWrap/>
        <w:overflowPunct/>
        <w:topLinePunct w:val="0"/>
        <w:autoSpaceDE/>
        <w:autoSpaceDN/>
        <w:bidi w:val="0"/>
        <w:spacing w:line="50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 xml:space="preserve"> 采购人信息</w:t>
      </w:r>
    </w:p>
    <w:p w14:paraId="77C0B9EC">
      <w:pPr>
        <w:keepNext w:val="0"/>
        <w:keepLines w:val="0"/>
        <w:pageBreakBefore w:val="0"/>
        <w:kinsoku/>
        <w:wordWrap/>
        <w:overflowPunct/>
        <w:topLinePunct w:val="0"/>
        <w:autoSpaceDE/>
        <w:autoSpaceDN/>
        <w:bidi w:val="0"/>
        <w:spacing w:line="500" w:lineRule="exact"/>
        <w:ind w:left="1079" w:leftChars="428" w:hanging="180" w:hangingChars="75"/>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 称：</w:t>
      </w:r>
      <w:r>
        <w:rPr>
          <w:rFonts w:hint="eastAsia" w:ascii="宋体" w:hAnsi="宋体"/>
          <w:color w:val="auto"/>
          <w:sz w:val="24"/>
          <w:szCs w:val="24"/>
          <w:highlight w:val="none"/>
          <w:lang w:eastAsia="zh-CN"/>
        </w:rPr>
        <w:t>汤阴县农业农村局</w:t>
      </w:r>
    </w:p>
    <w:p w14:paraId="4E43FA04">
      <w:pPr>
        <w:keepNext w:val="0"/>
        <w:keepLines w:val="0"/>
        <w:pageBreakBefore w:val="0"/>
        <w:kinsoku/>
        <w:wordWrap/>
        <w:overflowPunct/>
        <w:topLinePunct w:val="0"/>
        <w:autoSpaceDE/>
        <w:autoSpaceDN/>
        <w:bidi w:val="0"/>
        <w:spacing w:line="500" w:lineRule="exact"/>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eastAsia="宋体" w:cs="宋体"/>
          <w:color w:val="auto"/>
          <w:kern w:val="0"/>
          <w:sz w:val="24"/>
          <w:szCs w:val="24"/>
          <w:highlight w:val="none"/>
          <w:lang w:val="en-US" w:eastAsia="zh-CN" w:bidi="ar-SA"/>
        </w:rPr>
        <w:t>安阳市汤阴县光明路与人民路交叉口</w:t>
      </w:r>
      <w:r>
        <w:rPr>
          <w:rFonts w:hint="eastAsia" w:ascii="宋体" w:hAnsi="宋体"/>
          <w:color w:val="auto"/>
          <w:sz w:val="24"/>
          <w:szCs w:val="24"/>
          <w:highlight w:val="none"/>
        </w:rPr>
        <w:t>　       　</w:t>
      </w:r>
    </w:p>
    <w:p w14:paraId="1EB3319B">
      <w:pPr>
        <w:keepNext w:val="0"/>
        <w:keepLines w:val="0"/>
        <w:pageBreakBefore w:val="0"/>
        <w:kinsoku/>
        <w:wordWrap/>
        <w:overflowPunct/>
        <w:topLinePunct w:val="0"/>
        <w:autoSpaceDE/>
        <w:autoSpaceDN/>
        <w:bidi w:val="0"/>
        <w:spacing w:line="500" w:lineRule="exact"/>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高瑞平</w:t>
      </w:r>
      <w:r>
        <w:rPr>
          <w:rFonts w:hint="eastAsia" w:ascii="宋体" w:hAnsi="宋体"/>
          <w:color w:val="auto"/>
          <w:sz w:val="24"/>
          <w:szCs w:val="24"/>
          <w:highlight w:val="none"/>
        </w:rPr>
        <w:t xml:space="preserve">    </w:t>
      </w:r>
    </w:p>
    <w:p w14:paraId="026DB114">
      <w:pPr>
        <w:keepNext w:val="0"/>
        <w:keepLines w:val="0"/>
        <w:pageBreakBefore w:val="0"/>
        <w:kinsoku/>
        <w:wordWrap/>
        <w:overflowPunct/>
        <w:topLinePunct w:val="0"/>
        <w:autoSpaceDE/>
        <w:autoSpaceDN/>
        <w:bidi w:val="0"/>
        <w:spacing w:line="500" w:lineRule="exact"/>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hint="eastAsia" w:ascii="宋体" w:hAnsi="宋体"/>
          <w:color w:val="auto"/>
          <w:sz w:val="24"/>
          <w:szCs w:val="24"/>
          <w:highlight w:val="none"/>
          <w:lang w:val="en-US" w:eastAsia="zh-CN"/>
        </w:rPr>
        <w:t>0372-6225502</w:t>
      </w:r>
      <w:r>
        <w:rPr>
          <w:rFonts w:hint="eastAsia" w:ascii="宋体" w:hAnsi="宋体"/>
          <w:color w:val="auto"/>
          <w:sz w:val="24"/>
          <w:szCs w:val="24"/>
          <w:highlight w:val="none"/>
        </w:rPr>
        <w:t xml:space="preserve">     </w:t>
      </w:r>
      <w:bookmarkStart w:id="4" w:name="_Toc28359086"/>
      <w:bookmarkStart w:id="5" w:name="_Toc28359009"/>
    </w:p>
    <w:p w14:paraId="07FC8BCC">
      <w:pPr>
        <w:keepNext w:val="0"/>
        <w:keepLines w:val="0"/>
        <w:pageBreakBefore w:val="0"/>
        <w:kinsoku/>
        <w:wordWrap/>
        <w:overflowPunct/>
        <w:topLinePunct w:val="0"/>
        <w:autoSpaceDE/>
        <w:autoSpaceDN/>
        <w:bidi w:val="0"/>
        <w:spacing w:line="500" w:lineRule="exact"/>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采购代理机构信息</w:t>
      </w:r>
      <w:bookmarkEnd w:id="4"/>
      <w:bookmarkEnd w:id="5"/>
    </w:p>
    <w:p w14:paraId="7D5FF771">
      <w:pPr>
        <w:keepNext w:val="0"/>
        <w:keepLines w:val="0"/>
        <w:pageBreakBefore w:val="0"/>
        <w:kinsoku/>
        <w:wordWrap/>
        <w:overflowPunct/>
        <w:topLinePunct w:val="0"/>
        <w:autoSpaceDE/>
        <w:autoSpaceDN/>
        <w:bidi w:val="0"/>
        <w:spacing w:line="500" w:lineRule="exact"/>
        <w:ind w:firstLine="840" w:firstLineChars="3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名 称：</w:t>
      </w:r>
      <w:r>
        <w:rPr>
          <w:rFonts w:hint="eastAsia" w:ascii="宋体" w:hAnsi="宋体" w:cs="Times New Roman"/>
          <w:color w:val="auto"/>
          <w:sz w:val="24"/>
          <w:szCs w:val="24"/>
          <w:highlight w:val="none"/>
          <w:lang w:val="en-US" w:eastAsia="zh-CN"/>
        </w:rPr>
        <w:t>永乐国际工程管理有限公司</w:t>
      </w:r>
      <w:r>
        <w:rPr>
          <w:rFonts w:hint="eastAsia" w:ascii="宋体" w:hAnsi="宋体" w:eastAsia="宋体" w:cs="Times New Roman"/>
          <w:color w:val="auto"/>
          <w:sz w:val="24"/>
          <w:szCs w:val="24"/>
          <w:highlight w:val="none"/>
        </w:rPr>
        <w:t xml:space="preserve">  　</w:t>
      </w:r>
    </w:p>
    <w:p w14:paraId="230AAD30">
      <w:pPr>
        <w:keepNext w:val="0"/>
        <w:keepLines w:val="0"/>
        <w:pageBreakBefore w:val="0"/>
        <w:kinsoku/>
        <w:wordWrap/>
        <w:overflowPunct/>
        <w:topLinePunct w:val="0"/>
        <w:autoSpaceDE/>
        <w:autoSpaceDN/>
        <w:bidi w:val="0"/>
        <w:spacing w:line="500" w:lineRule="exact"/>
        <w:ind w:firstLine="840" w:firstLineChars="350"/>
        <w:rPr>
          <w:rFonts w:hint="eastAsia" w:ascii="宋体" w:hAnsi="宋体" w:eastAsia="宋体" w:cs="Times New Roman"/>
          <w:color w:val="auto"/>
          <w:sz w:val="24"/>
          <w:szCs w:val="24"/>
          <w:highlight w:val="none"/>
          <w:lang w:val="en-US" w:eastAsia="zh-CN"/>
        </w:rPr>
      </w:pPr>
      <w:bookmarkStart w:id="6" w:name="_Toc28359087"/>
      <w:bookmarkStart w:id="7" w:name="_Toc28359010"/>
      <w:r>
        <w:rPr>
          <w:rFonts w:hint="eastAsia" w:ascii="宋体" w:hAnsi="宋体" w:eastAsia="宋体" w:cs="Times New Roman"/>
          <w:color w:val="auto"/>
          <w:sz w:val="24"/>
          <w:szCs w:val="24"/>
          <w:highlight w:val="none"/>
          <w:lang w:val="en-US" w:eastAsia="zh-CN"/>
        </w:rPr>
        <w:t>地　址：</w:t>
      </w:r>
      <w:r>
        <w:rPr>
          <w:rFonts w:hint="eastAsia" w:ascii="宋体" w:hAnsi="宋体" w:eastAsia="宋体" w:cs="宋体"/>
          <w:color w:val="auto"/>
          <w:spacing w:val="2"/>
          <w:kern w:val="2"/>
          <w:sz w:val="24"/>
          <w:szCs w:val="24"/>
          <w:highlight w:val="none"/>
          <w:lang w:val="en-US" w:eastAsia="zh-CN" w:bidi="ar-SA"/>
        </w:rPr>
        <w:t>安阳市文峰区文峰大道与兴泰路交叉口向北200米路西财富公馆</w:t>
      </w:r>
      <w:r>
        <w:rPr>
          <w:rFonts w:hint="eastAsia" w:ascii="宋体" w:hAnsi="宋体" w:eastAsia="宋体" w:cs="Times New Roman"/>
          <w:color w:val="auto"/>
          <w:sz w:val="24"/>
          <w:szCs w:val="24"/>
          <w:highlight w:val="none"/>
          <w:lang w:val="en-US" w:eastAsia="zh-CN"/>
        </w:rPr>
        <w:t>　</w:t>
      </w:r>
    </w:p>
    <w:p w14:paraId="01FBC271">
      <w:pPr>
        <w:keepNext w:val="0"/>
        <w:keepLines w:val="0"/>
        <w:pageBreakBefore w:val="0"/>
        <w:kinsoku/>
        <w:wordWrap/>
        <w:overflowPunct/>
        <w:topLinePunct w:val="0"/>
        <w:autoSpaceDE/>
        <w:autoSpaceDN/>
        <w:bidi w:val="0"/>
        <w:spacing w:line="500" w:lineRule="exact"/>
        <w:ind w:firstLine="840" w:firstLineChars="3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w:t>
      </w:r>
      <w:r>
        <w:rPr>
          <w:rFonts w:hint="eastAsia" w:hAnsi="宋体"/>
          <w:color w:val="auto"/>
          <w:sz w:val="24"/>
          <w:szCs w:val="24"/>
          <w:highlight w:val="none"/>
          <w:lang w:val="en-US" w:eastAsia="zh-CN"/>
        </w:rPr>
        <w:t>王云祥</w:t>
      </w:r>
      <w:r>
        <w:rPr>
          <w:rFonts w:hint="eastAsia" w:ascii="宋体" w:hAnsi="宋体" w:eastAsia="宋体" w:cs="Times New Roman"/>
          <w:color w:val="auto"/>
          <w:sz w:val="24"/>
          <w:szCs w:val="24"/>
          <w:highlight w:val="none"/>
          <w:lang w:val="en-US" w:eastAsia="zh-CN"/>
        </w:rPr>
        <w:t xml:space="preserve">  </w:t>
      </w:r>
    </w:p>
    <w:p w14:paraId="2309B0A2">
      <w:pPr>
        <w:keepNext w:val="0"/>
        <w:keepLines w:val="0"/>
        <w:pageBreakBefore w:val="0"/>
        <w:kinsoku/>
        <w:wordWrap/>
        <w:overflowPunct/>
        <w:topLinePunct w:val="0"/>
        <w:autoSpaceDE/>
        <w:autoSpaceDN/>
        <w:bidi w:val="0"/>
        <w:spacing w:line="500" w:lineRule="exact"/>
        <w:ind w:firstLine="840" w:firstLineChars="3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联系方式：</w:t>
      </w:r>
      <w:r>
        <w:rPr>
          <w:rFonts w:hint="eastAsia" w:ascii="宋体" w:hAnsi="宋体" w:cs="Times New Roman"/>
          <w:color w:val="auto"/>
          <w:sz w:val="24"/>
          <w:szCs w:val="24"/>
          <w:highlight w:val="none"/>
          <w:lang w:val="en-US" w:eastAsia="zh-CN"/>
        </w:rPr>
        <w:t>17630535896</w:t>
      </w:r>
      <w:r>
        <w:rPr>
          <w:rFonts w:hint="eastAsia" w:ascii="宋体" w:hAnsi="宋体" w:eastAsia="宋体" w:cs="Times New Roman"/>
          <w:color w:val="auto"/>
          <w:sz w:val="24"/>
          <w:szCs w:val="24"/>
          <w:highlight w:val="none"/>
          <w:lang w:val="en-US" w:eastAsia="zh-CN"/>
        </w:rPr>
        <w:t>　</w:t>
      </w:r>
    </w:p>
    <w:p w14:paraId="069B095B">
      <w:pPr>
        <w:keepNext w:val="0"/>
        <w:keepLines w:val="0"/>
        <w:pageBreakBefore w:val="0"/>
        <w:kinsoku/>
        <w:wordWrap/>
        <w:overflowPunct/>
        <w:topLinePunct w:val="0"/>
        <w:autoSpaceDE/>
        <w:autoSpaceDN/>
        <w:bidi w:val="0"/>
        <w:spacing w:line="500" w:lineRule="exact"/>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项目</w:t>
      </w:r>
      <w:r>
        <w:rPr>
          <w:rFonts w:ascii="宋体" w:hAnsi="宋体" w:cs="宋体"/>
          <w:color w:val="auto"/>
          <w:sz w:val="24"/>
          <w:szCs w:val="24"/>
          <w:highlight w:val="none"/>
        </w:rPr>
        <w:t>联系方式</w:t>
      </w:r>
      <w:bookmarkEnd w:id="6"/>
      <w:bookmarkEnd w:id="7"/>
    </w:p>
    <w:p w14:paraId="65843144">
      <w:pPr>
        <w:pStyle w:val="2"/>
        <w:keepNext w:val="0"/>
        <w:keepLines w:val="0"/>
        <w:pageBreakBefore w:val="0"/>
        <w:kinsoku/>
        <w:wordWrap/>
        <w:overflowPunct/>
        <w:topLinePunct w:val="0"/>
        <w:autoSpaceDE/>
        <w:autoSpaceDN/>
        <w:bidi w:val="0"/>
        <w:spacing w:line="500" w:lineRule="exact"/>
        <w:ind w:firstLine="840" w:firstLineChars="350"/>
        <w:rPr>
          <w:rFonts w:hAnsi="宋体"/>
          <w:color w:val="auto"/>
          <w:sz w:val="24"/>
          <w:szCs w:val="24"/>
          <w:highlight w:val="none"/>
        </w:rPr>
      </w:pPr>
      <w:r>
        <w:rPr>
          <w:rFonts w:hint="eastAsia" w:hAnsi="宋体"/>
          <w:color w:val="auto"/>
          <w:sz w:val="24"/>
          <w:szCs w:val="24"/>
          <w:highlight w:val="none"/>
        </w:rPr>
        <w:t>项目联系人：</w:t>
      </w:r>
      <w:r>
        <w:rPr>
          <w:rFonts w:hint="eastAsia" w:hAnsi="宋体"/>
          <w:color w:val="auto"/>
          <w:sz w:val="24"/>
          <w:szCs w:val="24"/>
          <w:highlight w:val="none"/>
          <w:lang w:val="en-US" w:eastAsia="zh-CN"/>
        </w:rPr>
        <w:t>王云祥</w:t>
      </w:r>
      <w:r>
        <w:rPr>
          <w:rFonts w:hint="eastAsia" w:hAnsi="宋体"/>
          <w:color w:val="auto"/>
          <w:sz w:val="24"/>
          <w:szCs w:val="24"/>
          <w:highlight w:val="none"/>
        </w:rPr>
        <w:t xml:space="preserve">  </w:t>
      </w:r>
    </w:p>
    <w:p w14:paraId="31176D3A">
      <w:pPr>
        <w:keepNext w:val="0"/>
        <w:keepLines w:val="0"/>
        <w:pageBreakBefore w:val="0"/>
        <w:kinsoku/>
        <w:wordWrap/>
        <w:overflowPunct/>
        <w:topLinePunct w:val="0"/>
        <w:autoSpaceDE/>
        <w:autoSpaceDN/>
        <w:bidi w:val="0"/>
        <w:spacing w:line="500" w:lineRule="exact"/>
        <w:ind w:firstLine="840" w:firstLineChars="350"/>
        <w:rPr>
          <w:rFonts w:ascii="黑体" w:hAnsi="黑体" w:eastAsia="黑体"/>
          <w:b/>
          <w:color w:val="auto"/>
          <w:sz w:val="28"/>
          <w:szCs w:val="28"/>
          <w:highlight w:val="none"/>
        </w:rPr>
      </w:pPr>
      <w:r>
        <w:rPr>
          <w:rFonts w:hint="eastAsia" w:ascii="宋体" w:hAnsi="宋体"/>
          <w:color w:val="auto"/>
          <w:sz w:val="24"/>
          <w:szCs w:val="24"/>
          <w:highlight w:val="none"/>
        </w:rPr>
        <w:t>联系方式：</w:t>
      </w:r>
      <w:r>
        <w:rPr>
          <w:rFonts w:hint="eastAsia" w:ascii="宋体" w:hAnsi="宋体" w:cs="Times New Roman"/>
          <w:color w:val="auto"/>
          <w:sz w:val="24"/>
          <w:szCs w:val="24"/>
          <w:highlight w:val="none"/>
          <w:lang w:val="en-US" w:eastAsia="zh-CN"/>
        </w:rPr>
        <w:t>17630535896</w:t>
      </w:r>
    </w:p>
    <w:p w14:paraId="6F5EC102">
      <w:pPr>
        <w:keepNext w:val="0"/>
        <w:keepLines w:val="0"/>
        <w:pageBreakBefore w:val="0"/>
        <w:widowControl w:val="0"/>
        <w:tabs>
          <w:tab w:val="left" w:pos="39"/>
          <w:tab w:val="left" w:pos="96"/>
        </w:tabs>
        <w:kinsoku/>
        <w:wordWrap/>
        <w:overflowPunct/>
        <w:topLinePunct w:val="0"/>
        <w:autoSpaceDE/>
        <w:autoSpaceDN/>
        <w:bidi w:val="0"/>
        <w:snapToGrid w:val="0"/>
        <w:spacing w:line="500" w:lineRule="exact"/>
        <w:ind w:firstLine="540" w:firstLineChars="225"/>
        <w:rPr>
          <w:rFonts w:ascii="宋体"/>
          <w:color w:val="auto"/>
          <w:sz w:val="24"/>
          <w:szCs w:val="24"/>
          <w:highlight w:val="none"/>
        </w:rPr>
      </w:pPr>
    </w:p>
    <w:p w14:paraId="51B9765C">
      <w:pPr>
        <w:keepNext w:val="0"/>
        <w:keepLines w:val="0"/>
        <w:pageBreakBefore w:val="0"/>
        <w:widowControl w:val="0"/>
        <w:tabs>
          <w:tab w:val="left" w:pos="39"/>
          <w:tab w:val="left" w:pos="96"/>
        </w:tabs>
        <w:kinsoku/>
        <w:wordWrap/>
        <w:overflowPunct/>
        <w:topLinePunct w:val="0"/>
        <w:autoSpaceDE/>
        <w:autoSpaceDN/>
        <w:bidi w:val="0"/>
        <w:snapToGrid w:val="0"/>
        <w:spacing w:line="500" w:lineRule="exact"/>
        <w:ind w:firstLine="540" w:firstLineChars="225"/>
        <w:rPr>
          <w:rFonts w:ascii="宋体"/>
          <w:color w:val="auto"/>
          <w:sz w:val="24"/>
          <w:szCs w:val="24"/>
          <w:highlight w:val="none"/>
        </w:rPr>
      </w:pPr>
    </w:p>
    <w:p w14:paraId="0FBD59C6">
      <w:pPr>
        <w:ind w:firstLine="4800" w:firstLineChars="2000"/>
      </w:pPr>
      <w:r>
        <w:rPr>
          <w:rFonts w:hint="eastAsia" w:ascii="宋体" w:hAnsi="宋体" w:cs="Times New Roman"/>
          <w:color w:val="auto"/>
          <w:sz w:val="24"/>
          <w:szCs w:val="24"/>
          <w:highlight w:val="none"/>
          <w:lang w:val="en-US" w:eastAsia="zh-CN"/>
        </w:rPr>
        <w:t>永乐国际工程管理有限公司</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315C6"/>
    <w:rsid w:val="2DC20E23"/>
    <w:rsid w:val="368340BC"/>
    <w:rsid w:val="386E0ACD"/>
    <w:rsid w:val="40F35CD3"/>
    <w:rsid w:val="5E4E6BDA"/>
    <w:rsid w:val="604629C8"/>
    <w:rsid w:val="62A0377C"/>
    <w:rsid w:val="65872B42"/>
    <w:rsid w:val="6601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widowControl w:val="0"/>
      <w:spacing w:line="240" w:lineRule="auto"/>
      <w:textAlignment w:val="auto"/>
    </w:pPr>
    <w:rPr>
      <w:rFonts w:ascii="宋体" w:hAnsi="Courier New"/>
    </w:rPr>
  </w:style>
  <w:style w:type="character" w:styleId="5">
    <w:name w:val="Hyperlink"/>
    <w:basedOn w:val="4"/>
    <w:qFormat/>
    <w:uiPriority w:val="99"/>
    <w:rPr>
      <w:rFonts w:cs="Times New Roman"/>
      <w:color w:val="0368A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3218</Words>
  <Characters>3752</Characters>
  <Lines>0</Lines>
  <Paragraphs>0</Paragraphs>
  <TotalTime>0</TotalTime>
  <ScaleCrop>false</ScaleCrop>
  <LinksUpToDate>false</LinksUpToDate>
  <CharactersWithSpaces>3885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2025-03-26T08:16:00Z</dcterms:created>
  <dc:creator>Administrator</dc:creator>
  <cp:lastModifiedBy>Administrator</cp:lastModifiedBy>
  <dcterms:modified xsi:type="dcterms:W3CDTF">2025-03-26T09:22:53Z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eyJoZGlkIjoiYmIzYzdmNDE3N2ZlZjZjNDQ3YTkzNzFhNThhZDRlMjIiLCJ1c2VySWQiOiIyNTU2OTAwMDcifQ==</vt:lpwstr>
  </property>
  <property fmtid="{D5CDD505-2E9C-101B-9397-08002B2CF9AE}" pid="4" name="ICV">
    <vt:lpwstr>F4968F1D55874CF29E1401F93EC7CE7C_12</vt:lpwstr>
  </property>
</Properties>
</file>