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709B9">
      <w:pPr>
        <w:pStyle w:val="2"/>
        <w:tabs>
          <w:tab w:val="left" w:pos="0"/>
        </w:tabs>
        <w:autoSpaceDE w:val="0"/>
        <w:autoSpaceDN w:val="0"/>
        <w:adjustRightInd w:val="0"/>
        <w:spacing w:before="0" w:after="0" w:line="360" w:lineRule="auto"/>
        <w:jc w:val="center"/>
        <w:rPr>
          <w:rFonts w:hint="eastAsia" w:ascii="黑体" w:hAnsi="黑体" w:eastAsia="黑体" w:cs="黑体"/>
          <w:sz w:val="36"/>
          <w:szCs w:val="36"/>
        </w:rPr>
      </w:pPr>
      <w:bookmarkStart w:id="0" w:name="_Toc35393809"/>
      <w:bookmarkStart w:id="1" w:name="_Toc28359022"/>
      <w:r>
        <w:rPr>
          <w:rFonts w:hint="eastAsia" w:ascii="黑体" w:hAnsi="黑体" w:eastAsia="黑体" w:cs="黑体"/>
          <w:sz w:val="36"/>
          <w:szCs w:val="36"/>
        </w:rPr>
        <w:t>开封市祥符区公安局物业服务项目</w:t>
      </w:r>
    </w:p>
    <w:p w14:paraId="5CE8922B">
      <w:pPr>
        <w:pStyle w:val="2"/>
        <w:tabs>
          <w:tab w:val="left" w:pos="0"/>
        </w:tabs>
        <w:autoSpaceDE w:val="0"/>
        <w:autoSpaceDN w:val="0"/>
        <w:adjustRightInd w:val="0"/>
        <w:spacing w:before="0" w:after="0" w:line="360" w:lineRule="auto"/>
        <w:jc w:val="center"/>
        <w:rPr>
          <w:rFonts w:hint="eastAsia" w:ascii="黑体" w:hAnsi="黑体" w:eastAsia="黑体" w:cs="黑体"/>
          <w:sz w:val="24"/>
          <w:szCs w:val="24"/>
        </w:rPr>
      </w:pPr>
      <w:r>
        <w:rPr>
          <w:rFonts w:hint="eastAsia" w:ascii="黑体" w:hAnsi="黑体" w:eastAsia="黑体" w:cs="黑体"/>
          <w:sz w:val="24"/>
          <w:szCs w:val="24"/>
          <w:lang w:eastAsia="zh-CN"/>
        </w:rPr>
        <w:t>中标</w:t>
      </w:r>
      <w:r>
        <w:rPr>
          <w:rFonts w:hint="eastAsia" w:ascii="黑体" w:hAnsi="黑体" w:eastAsia="黑体" w:cs="黑体"/>
          <w:sz w:val="24"/>
          <w:szCs w:val="24"/>
        </w:rPr>
        <w:t>结果公告</w:t>
      </w:r>
      <w:bookmarkEnd w:id="0"/>
      <w:bookmarkEnd w:id="1"/>
    </w:p>
    <w:p w14:paraId="4C988F15">
      <w:pPr>
        <w:numPr>
          <w:ilvl w:val="0"/>
          <w:numId w:val="1"/>
        </w:numPr>
        <w:spacing w:line="400" w:lineRule="exact"/>
        <w:rPr>
          <w:rFonts w:hint="eastAsia" w:ascii="黑体" w:hAnsi="黑体" w:eastAsia="黑体" w:cs="黑体"/>
          <w:sz w:val="24"/>
          <w:szCs w:val="24"/>
        </w:rPr>
      </w:pPr>
      <w:r>
        <w:rPr>
          <w:rFonts w:hint="eastAsia" w:ascii="黑体" w:hAnsi="黑体" w:eastAsia="黑体" w:cs="黑体"/>
          <w:sz w:val="24"/>
          <w:szCs w:val="24"/>
        </w:rPr>
        <w:t>项目编号：祥符公开招标-2024-22</w:t>
      </w:r>
    </w:p>
    <w:p w14:paraId="40BFE3CE">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项目名称：开封市祥符区公安局物业服务项目</w:t>
      </w:r>
    </w:p>
    <w:p w14:paraId="1D510ED9">
      <w:pPr>
        <w:numPr>
          <w:ilvl w:val="0"/>
          <w:numId w:val="0"/>
        </w:numPr>
        <w:spacing w:line="400" w:lineRule="exact"/>
        <w:ind w:leftChars="0"/>
        <w:rPr>
          <w:rFonts w:hint="eastAsia" w:ascii="黑体" w:hAnsi="黑体" w:eastAsia="黑体" w:cs="黑体"/>
          <w:sz w:val="24"/>
          <w:szCs w:val="24"/>
        </w:rPr>
      </w:pPr>
      <w:r>
        <w:rPr>
          <w:rFonts w:hint="eastAsia" w:ascii="黑体" w:hAnsi="黑体" w:eastAsia="黑体" w:cs="黑体"/>
          <w:sz w:val="24"/>
          <w:szCs w:val="24"/>
        </w:rPr>
        <w:t>三、中标（成交）信息</w:t>
      </w:r>
    </w:p>
    <w:p w14:paraId="570DACE8">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供应商名称：</w:t>
      </w:r>
      <w:r>
        <w:rPr>
          <w:rFonts w:hint="eastAsia" w:ascii="黑体" w:hAnsi="黑体" w:eastAsia="黑体" w:cs="黑体"/>
          <w:sz w:val="24"/>
          <w:szCs w:val="24"/>
          <w:lang w:eastAsia="zh-CN"/>
        </w:rPr>
        <w:t>浙江国瑞安保服务有限公司河南分公司</w:t>
      </w:r>
    </w:p>
    <w:p w14:paraId="149737B0">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供应商地址：河南省郑州市二七区鼎盛大道与青铜西路交叉口绿地滨湖国际城三区1号楼812室</w:t>
      </w:r>
    </w:p>
    <w:p w14:paraId="7753ADE6">
      <w:pPr>
        <w:spacing w:line="400" w:lineRule="exact"/>
        <w:ind w:firstLine="480" w:firstLineChars="200"/>
        <w:rPr>
          <w:rFonts w:hint="default" w:ascii="黑体" w:hAnsi="黑体" w:eastAsia="黑体" w:cs="黑体"/>
          <w:sz w:val="24"/>
          <w:szCs w:val="24"/>
          <w:lang w:val="en-US" w:eastAsia="zh-CN"/>
        </w:rPr>
      </w:pPr>
      <w:r>
        <w:rPr>
          <w:rFonts w:hint="eastAsia" w:ascii="黑体" w:hAnsi="黑体" w:eastAsia="黑体" w:cs="黑体"/>
          <w:sz w:val="24"/>
          <w:szCs w:val="24"/>
        </w:rPr>
        <w:t>中标（成交）金额：</w:t>
      </w:r>
      <w:r>
        <w:rPr>
          <w:rFonts w:hint="eastAsia" w:ascii="黑体" w:hAnsi="黑体" w:eastAsia="黑体" w:cs="黑体"/>
          <w:sz w:val="24"/>
          <w:szCs w:val="24"/>
          <w:lang w:val="en-US" w:eastAsia="zh-CN"/>
        </w:rPr>
        <w:t>2256660.00元</w:t>
      </w:r>
    </w:p>
    <w:p w14:paraId="3F40FABD">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四、主要标的信息</w:t>
      </w:r>
    </w:p>
    <w:tbl>
      <w:tblPr>
        <w:tblStyle w:val="9"/>
        <w:tblW w:w="90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7"/>
      </w:tblGrid>
      <w:tr w14:paraId="1B7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79F5C1A0">
            <w:pPr>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服务类</w:t>
            </w:r>
          </w:p>
        </w:tc>
      </w:tr>
      <w:tr w14:paraId="08E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tcPr>
          <w:p w14:paraId="4F00EEC3">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名称：</w:t>
            </w:r>
            <w:r>
              <w:rPr>
                <w:rFonts w:hint="eastAsia" w:ascii="黑体" w:hAnsi="黑体" w:eastAsia="黑体" w:cs="黑体"/>
                <w:sz w:val="24"/>
                <w:szCs w:val="24"/>
              </w:rPr>
              <w:t>开封市祥符区公安局物业服务项目</w:t>
            </w:r>
          </w:p>
          <w:p w14:paraId="1B3304B8">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服务范围：配置人数不低于21人的管理人员其中包含保洁员、保安、电工、消防、园艺工人员</w:t>
            </w:r>
          </w:p>
          <w:p w14:paraId="1C8C32DB">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服务要求：合格，满足招标人项目服务需求及其他相关要求</w:t>
            </w:r>
          </w:p>
          <w:p w14:paraId="568EBE86">
            <w:pPr>
              <w:spacing w:line="400" w:lineRule="exact"/>
              <w:rPr>
                <w:rFonts w:hint="eastAsia" w:ascii="黑体" w:hAnsi="黑体" w:eastAsia="黑体" w:cs="黑体"/>
                <w:kern w:val="0"/>
                <w:sz w:val="24"/>
                <w:szCs w:val="24"/>
                <w:u w:val="single"/>
                <w:lang w:eastAsia="zh-CN"/>
              </w:rPr>
            </w:pPr>
            <w:r>
              <w:rPr>
                <w:rFonts w:hint="eastAsia" w:ascii="黑体" w:hAnsi="黑体" w:eastAsia="黑体" w:cs="黑体"/>
                <w:kern w:val="0"/>
                <w:sz w:val="24"/>
                <w:szCs w:val="24"/>
              </w:rPr>
              <w:t>服务时间：三年。服务合同一年一签（每年的合同金额为中标价的三分之一），如考核不合格或者预算有调整，甲方有权终止合同</w:t>
            </w:r>
          </w:p>
          <w:p w14:paraId="51B17EF0">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服务标准：合格，满足招标人项目服务需求及其他相关要求</w:t>
            </w:r>
          </w:p>
        </w:tc>
      </w:tr>
    </w:tbl>
    <w:p w14:paraId="22A82604">
      <w:p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五、评审专家名单：</w:t>
      </w:r>
      <w:bookmarkStart w:id="2" w:name="PsxxEntity：ZJMD_4"/>
      <w:r>
        <w:rPr>
          <w:rFonts w:hint="eastAsia" w:ascii="黑体" w:hAnsi="黑体" w:eastAsia="黑体" w:cs="黑体"/>
          <w:sz w:val="24"/>
          <w:szCs w:val="24"/>
        </w:rPr>
        <w:t>安靖</w:t>
      </w:r>
      <w:r>
        <w:rPr>
          <w:rFonts w:hint="eastAsia" w:ascii="黑体" w:hAnsi="黑体" w:eastAsia="黑体" w:cs="黑体"/>
          <w:sz w:val="24"/>
          <w:szCs w:val="24"/>
          <w:lang w:eastAsia="zh-CN"/>
        </w:rPr>
        <w:t>、</w:t>
      </w:r>
      <w:r>
        <w:rPr>
          <w:rFonts w:hint="eastAsia" w:ascii="黑体" w:hAnsi="黑体" w:eastAsia="黑体" w:cs="黑体"/>
          <w:sz w:val="24"/>
          <w:szCs w:val="24"/>
        </w:rPr>
        <w:t>毛旭秋</w:t>
      </w:r>
      <w:r>
        <w:rPr>
          <w:rFonts w:hint="eastAsia" w:ascii="黑体" w:hAnsi="黑体" w:eastAsia="黑体" w:cs="黑体"/>
          <w:sz w:val="24"/>
          <w:szCs w:val="24"/>
          <w:lang w:eastAsia="zh-CN"/>
        </w:rPr>
        <w:t>、</w:t>
      </w:r>
      <w:r>
        <w:rPr>
          <w:rFonts w:hint="eastAsia" w:ascii="黑体" w:hAnsi="黑体" w:eastAsia="黑体" w:cs="黑体"/>
          <w:sz w:val="24"/>
          <w:szCs w:val="24"/>
        </w:rPr>
        <w:t>岳香</w:t>
      </w:r>
      <w:r>
        <w:rPr>
          <w:rFonts w:hint="eastAsia" w:ascii="黑体" w:hAnsi="黑体" w:eastAsia="黑体" w:cs="黑体"/>
          <w:sz w:val="24"/>
          <w:szCs w:val="24"/>
          <w:lang w:eastAsia="zh-CN"/>
        </w:rPr>
        <w:t>、</w:t>
      </w:r>
      <w:r>
        <w:rPr>
          <w:rFonts w:hint="eastAsia" w:ascii="黑体" w:hAnsi="黑体" w:eastAsia="黑体" w:cs="黑体"/>
          <w:sz w:val="24"/>
          <w:szCs w:val="24"/>
        </w:rPr>
        <w:t>宋晓勇</w:t>
      </w:r>
      <w:r>
        <w:rPr>
          <w:rFonts w:hint="eastAsia" w:ascii="黑体" w:hAnsi="黑体" w:eastAsia="黑体" w:cs="黑体"/>
          <w:sz w:val="24"/>
          <w:szCs w:val="24"/>
          <w:lang w:eastAsia="zh-CN"/>
        </w:rPr>
        <w:t>、</w:t>
      </w:r>
      <w:r>
        <w:rPr>
          <w:rFonts w:hint="eastAsia" w:ascii="黑体" w:hAnsi="黑体" w:eastAsia="黑体" w:cs="黑体"/>
          <w:sz w:val="24"/>
          <w:szCs w:val="24"/>
        </w:rPr>
        <w:t>张建红</w:t>
      </w:r>
      <w:bookmarkEnd w:id="2"/>
    </w:p>
    <w:p w14:paraId="111284DA">
      <w:pPr>
        <w:spacing w:line="400" w:lineRule="exact"/>
        <w:rPr>
          <w:rFonts w:hint="eastAsia" w:ascii="黑体" w:hAnsi="黑体" w:eastAsia="黑体" w:cs="黑体"/>
          <w:sz w:val="24"/>
          <w:szCs w:val="24"/>
          <w:lang w:val="en-US" w:eastAsia="zh-CN"/>
        </w:rPr>
      </w:pPr>
      <w:r>
        <w:rPr>
          <w:rFonts w:hint="eastAsia" w:ascii="黑体" w:hAnsi="黑体" w:eastAsia="黑体" w:cs="黑体"/>
          <w:sz w:val="24"/>
          <w:szCs w:val="24"/>
        </w:rPr>
        <w:t>六、代理服务收费标准及金额：</w:t>
      </w:r>
      <w:r>
        <w:rPr>
          <w:rFonts w:hint="eastAsia" w:ascii="黑体" w:hAnsi="黑体" w:eastAsia="黑体" w:cs="黑体"/>
          <w:sz w:val="24"/>
          <w:szCs w:val="24"/>
          <w:lang w:val="en-US" w:eastAsia="zh-CN"/>
        </w:rPr>
        <w:t>不收取</w:t>
      </w:r>
    </w:p>
    <w:p w14:paraId="2CC4C047">
      <w:pPr>
        <w:spacing w:line="400" w:lineRule="exact"/>
        <w:rPr>
          <w:rFonts w:hint="eastAsia" w:ascii="黑体" w:hAnsi="黑体" w:eastAsia="黑体" w:cs="黑体"/>
          <w:sz w:val="24"/>
          <w:szCs w:val="24"/>
        </w:rPr>
      </w:pPr>
      <w:r>
        <w:rPr>
          <w:rFonts w:hint="eastAsia" w:ascii="黑体" w:hAnsi="黑体" w:eastAsia="黑体" w:cs="黑体"/>
          <w:sz w:val="24"/>
          <w:szCs w:val="24"/>
        </w:rPr>
        <w:t>七、公告期限</w:t>
      </w:r>
    </w:p>
    <w:p w14:paraId="45837A49">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自本公告发布之日起1个工作日。</w:t>
      </w:r>
    </w:p>
    <w:p w14:paraId="0B2DBE06">
      <w:pPr>
        <w:numPr>
          <w:ilvl w:val="0"/>
          <w:numId w:val="2"/>
        </w:numPr>
        <w:spacing w:line="400" w:lineRule="exact"/>
        <w:rPr>
          <w:rFonts w:hint="eastAsia" w:ascii="黑体" w:hAnsi="黑体" w:eastAsia="黑体" w:cs="黑体"/>
          <w:sz w:val="24"/>
          <w:szCs w:val="24"/>
          <w:lang w:eastAsia="zh-CN"/>
        </w:rPr>
      </w:pPr>
      <w:r>
        <w:rPr>
          <w:rFonts w:hint="eastAsia" w:ascii="黑体" w:hAnsi="黑体" w:eastAsia="黑体" w:cs="黑体"/>
          <w:sz w:val="24"/>
          <w:szCs w:val="24"/>
        </w:rPr>
        <w:t>其他补充事宜</w:t>
      </w:r>
    </w:p>
    <w:tbl>
      <w:tblPr>
        <w:tblStyle w:val="9"/>
        <w:tblW w:w="5000" w:type="pct"/>
        <w:tblInd w:w="0" w:type="dxa"/>
        <w:tblLayout w:type="autofit"/>
        <w:tblCellMar>
          <w:top w:w="15" w:type="dxa"/>
          <w:left w:w="15" w:type="dxa"/>
          <w:bottom w:w="15" w:type="dxa"/>
          <w:right w:w="15" w:type="dxa"/>
        </w:tblCellMar>
      </w:tblPr>
      <w:tblGrid>
        <w:gridCol w:w="408"/>
        <w:gridCol w:w="2929"/>
        <w:gridCol w:w="3794"/>
        <w:gridCol w:w="797"/>
        <w:gridCol w:w="408"/>
      </w:tblGrid>
      <w:tr w14:paraId="14EDA17A">
        <w:tblPrEx>
          <w:tblCellMar>
            <w:top w:w="15" w:type="dxa"/>
            <w:left w:w="15" w:type="dxa"/>
            <w:bottom w:w="15" w:type="dxa"/>
            <w:right w:w="15"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6079244A">
            <w:pPr>
              <w:jc w:val="center"/>
              <w:rPr>
                <w:rFonts w:ascii="Times New Roman" w:hAnsi="Times New Roman" w:eastAsia="Times New Roman"/>
                <w:sz w:val="20"/>
                <w:szCs w:val="20"/>
              </w:rPr>
            </w:pPr>
            <w:r>
              <w:t>第一标段</w:t>
            </w:r>
          </w:p>
        </w:tc>
      </w:tr>
      <w:tr w14:paraId="4AAAF83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7FF51DCC">
            <w:pPr>
              <w:jc w:val="center"/>
              <w:rPr>
                <w:rFonts w:ascii="宋体" w:hAnsi="宋体" w:cs="宋体"/>
                <w:sz w:val="24"/>
                <w:szCs w:val="24"/>
              </w:rPr>
            </w:pPr>
            <w:r>
              <w:t>序号</w:t>
            </w:r>
          </w:p>
        </w:tc>
        <w:tc>
          <w:tcPr>
            <w:tcW w:w="0" w:type="auto"/>
            <w:tcBorders>
              <w:top w:val="single" w:color="000000" w:sz="6" w:space="0"/>
              <w:left w:val="single" w:color="000000" w:sz="6" w:space="0"/>
              <w:bottom w:val="single" w:color="000000" w:sz="6" w:space="0"/>
              <w:right w:val="single" w:color="000000" w:sz="6" w:space="0"/>
            </w:tcBorders>
            <w:vAlign w:val="center"/>
          </w:tcPr>
          <w:p w14:paraId="21833BA8">
            <w:pPr>
              <w:jc w:val="center"/>
            </w:pPr>
            <w:r>
              <w:t>投标人名称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4219E861">
            <w:pPr>
              <w:jc w:val="center"/>
            </w:pPr>
            <w:r>
              <w:t>投标报价</w:t>
            </w:r>
          </w:p>
        </w:tc>
        <w:tc>
          <w:tcPr>
            <w:tcW w:w="0" w:type="auto"/>
            <w:tcBorders>
              <w:top w:val="single" w:color="000000" w:sz="6" w:space="0"/>
              <w:left w:val="single" w:color="000000" w:sz="6" w:space="0"/>
              <w:bottom w:val="single" w:color="000000" w:sz="6" w:space="0"/>
              <w:right w:val="single" w:color="000000" w:sz="6" w:space="0"/>
            </w:tcBorders>
            <w:vAlign w:val="center"/>
          </w:tcPr>
          <w:p w14:paraId="470C71A6">
            <w:pPr>
              <w:jc w:val="center"/>
            </w:pPr>
            <w:r>
              <w:t>合计得分</w:t>
            </w:r>
          </w:p>
        </w:tc>
        <w:tc>
          <w:tcPr>
            <w:tcW w:w="0" w:type="auto"/>
            <w:tcBorders>
              <w:top w:val="single" w:color="000000" w:sz="6" w:space="0"/>
              <w:left w:val="single" w:color="000000" w:sz="6" w:space="0"/>
              <w:bottom w:val="single" w:color="000000" w:sz="6" w:space="0"/>
              <w:right w:val="single" w:color="000000" w:sz="6" w:space="0"/>
            </w:tcBorders>
            <w:vAlign w:val="center"/>
          </w:tcPr>
          <w:p w14:paraId="49F351C6">
            <w:pPr>
              <w:jc w:val="center"/>
            </w:pPr>
            <w:r>
              <w:t>名次</w:t>
            </w:r>
          </w:p>
        </w:tc>
      </w:tr>
      <w:tr w14:paraId="5DD0EAA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9297969">
            <w:pPr>
              <w:jc w:val="center"/>
            </w:pPr>
            <w:r>
              <w:t>1</w:t>
            </w:r>
          </w:p>
        </w:tc>
        <w:tc>
          <w:tcPr>
            <w:tcW w:w="0" w:type="auto"/>
            <w:tcBorders>
              <w:top w:val="single" w:color="000000" w:sz="6" w:space="0"/>
              <w:left w:val="single" w:color="000000" w:sz="6" w:space="0"/>
              <w:bottom w:val="single" w:color="000000" w:sz="6" w:space="0"/>
              <w:right w:val="single" w:color="000000" w:sz="6" w:space="0"/>
            </w:tcBorders>
            <w:vAlign w:val="center"/>
          </w:tcPr>
          <w:p w14:paraId="6FCA39E0">
            <w:pPr>
              <w:jc w:val="center"/>
            </w:pPr>
            <w:r>
              <w:t>浙江国瑞安保服务有限公司河南分公司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4689FD6A">
            <w:pPr>
              <w:jc w:val="center"/>
            </w:pPr>
            <w:r>
              <w:t>贰佰贰拾伍万陆仟陆佰陆拾元整(2,256,660.00)</w:t>
            </w:r>
          </w:p>
        </w:tc>
        <w:tc>
          <w:tcPr>
            <w:tcW w:w="0" w:type="auto"/>
            <w:tcBorders>
              <w:top w:val="single" w:color="000000" w:sz="6" w:space="0"/>
              <w:left w:val="single" w:color="000000" w:sz="6" w:space="0"/>
              <w:bottom w:val="single" w:color="000000" w:sz="6" w:space="0"/>
              <w:right w:val="single" w:color="000000" w:sz="6" w:space="0"/>
            </w:tcBorders>
            <w:vAlign w:val="center"/>
          </w:tcPr>
          <w:p w14:paraId="77FECC95">
            <w:pPr>
              <w:jc w:val="center"/>
            </w:pPr>
            <w:r>
              <w:t>87.11</w:t>
            </w:r>
          </w:p>
        </w:tc>
        <w:tc>
          <w:tcPr>
            <w:tcW w:w="0" w:type="auto"/>
            <w:tcBorders>
              <w:top w:val="single" w:color="000000" w:sz="6" w:space="0"/>
              <w:left w:val="single" w:color="000000" w:sz="6" w:space="0"/>
              <w:bottom w:val="single" w:color="000000" w:sz="6" w:space="0"/>
              <w:right w:val="single" w:color="000000" w:sz="6" w:space="0"/>
            </w:tcBorders>
            <w:vAlign w:val="center"/>
          </w:tcPr>
          <w:p w14:paraId="3A9ADF72">
            <w:pPr>
              <w:jc w:val="center"/>
            </w:pPr>
            <w:r>
              <w:t>1</w:t>
            </w:r>
          </w:p>
        </w:tc>
      </w:tr>
      <w:tr w14:paraId="4E1B3A0B">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C985954">
            <w:pPr>
              <w:jc w:val="center"/>
            </w:pPr>
            <w:r>
              <w:t>2</w:t>
            </w:r>
          </w:p>
        </w:tc>
        <w:tc>
          <w:tcPr>
            <w:tcW w:w="0" w:type="auto"/>
            <w:tcBorders>
              <w:top w:val="single" w:color="000000" w:sz="6" w:space="0"/>
              <w:left w:val="single" w:color="000000" w:sz="6" w:space="0"/>
              <w:bottom w:val="single" w:color="000000" w:sz="6" w:space="0"/>
              <w:right w:val="single" w:color="000000" w:sz="6" w:space="0"/>
            </w:tcBorders>
            <w:vAlign w:val="center"/>
          </w:tcPr>
          <w:p w14:paraId="7397AB55">
            <w:pPr>
              <w:jc w:val="center"/>
            </w:pPr>
            <w:r>
              <w:t>河南圆方保安服务有限公司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6EC4575F">
            <w:pPr>
              <w:jc w:val="center"/>
            </w:pPr>
            <w:r>
              <w:t>贰佰壹拾玖万零伍拾陆元叁角柒分(2,190,056.37)</w:t>
            </w:r>
          </w:p>
        </w:tc>
        <w:tc>
          <w:tcPr>
            <w:tcW w:w="0" w:type="auto"/>
            <w:tcBorders>
              <w:top w:val="single" w:color="000000" w:sz="6" w:space="0"/>
              <w:left w:val="single" w:color="000000" w:sz="6" w:space="0"/>
              <w:bottom w:val="single" w:color="000000" w:sz="6" w:space="0"/>
              <w:right w:val="single" w:color="000000" w:sz="6" w:space="0"/>
            </w:tcBorders>
            <w:vAlign w:val="center"/>
          </w:tcPr>
          <w:p w14:paraId="7123D959">
            <w:pPr>
              <w:jc w:val="center"/>
            </w:pPr>
            <w:r>
              <w:t>84</w:t>
            </w:r>
          </w:p>
        </w:tc>
        <w:tc>
          <w:tcPr>
            <w:tcW w:w="0" w:type="auto"/>
            <w:tcBorders>
              <w:top w:val="single" w:color="000000" w:sz="6" w:space="0"/>
              <w:left w:val="single" w:color="000000" w:sz="6" w:space="0"/>
              <w:bottom w:val="single" w:color="000000" w:sz="6" w:space="0"/>
              <w:right w:val="single" w:color="000000" w:sz="6" w:space="0"/>
            </w:tcBorders>
            <w:vAlign w:val="center"/>
          </w:tcPr>
          <w:p w14:paraId="471888E5">
            <w:pPr>
              <w:jc w:val="center"/>
            </w:pPr>
            <w:r>
              <w:t>2</w:t>
            </w:r>
          </w:p>
        </w:tc>
      </w:tr>
      <w:tr w14:paraId="32B51B94">
        <w:tblPrEx>
          <w:tblCellMar>
            <w:top w:w="15" w:type="dxa"/>
            <w:left w:w="15" w:type="dxa"/>
            <w:bottom w:w="15" w:type="dxa"/>
            <w:right w:w="15" w:type="dxa"/>
          </w:tblCellMar>
        </w:tblPrEx>
        <w:trPr>
          <w:trHeight w:val="481" w:hRule="atLeast"/>
        </w:trPr>
        <w:tc>
          <w:tcPr>
            <w:tcW w:w="0" w:type="auto"/>
            <w:tcBorders>
              <w:top w:val="single" w:color="000000" w:sz="6" w:space="0"/>
              <w:left w:val="single" w:color="000000" w:sz="6" w:space="0"/>
              <w:bottom w:val="single" w:color="000000" w:sz="6" w:space="0"/>
              <w:right w:val="single" w:color="000000" w:sz="6" w:space="0"/>
            </w:tcBorders>
            <w:vAlign w:val="center"/>
          </w:tcPr>
          <w:p w14:paraId="3DD9CA40">
            <w:pPr>
              <w:jc w:val="center"/>
            </w:pPr>
            <w:r>
              <w:t>3</w:t>
            </w:r>
          </w:p>
        </w:tc>
        <w:tc>
          <w:tcPr>
            <w:tcW w:w="0" w:type="auto"/>
            <w:tcBorders>
              <w:top w:val="single" w:color="000000" w:sz="6" w:space="0"/>
              <w:left w:val="single" w:color="000000" w:sz="6" w:space="0"/>
              <w:bottom w:val="single" w:color="000000" w:sz="6" w:space="0"/>
              <w:right w:val="single" w:color="000000" w:sz="6" w:space="0"/>
            </w:tcBorders>
            <w:vAlign w:val="center"/>
          </w:tcPr>
          <w:p w14:paraId="7174A7AA">
            <w:pPr>
              <w:jc w:val="center"/>
            </w:pPr>
            <w:r>
              <w:t>河南得力保安服务有限公司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7A9EEC1D">
            <w:pPr>
              <w:jc w:val="center"/>
            </w:pPr>
            <w:r>
              <w:t>贰佰贰拾玖万叁仟贰佰元整(2,293,200.00)</w:t>
            </w:r>
          </w:p>
        </w:tc>
        <w:tc>
          <w:tcPr>
            <w:tcW w:w="0" w:type="auto"/>
            <w:tcBorders>
              <w:top w:val="single" w:color="000000" w:sz="6" w:space="0"/>
              <w:left w:val="single" w:color="000000" w:sz="6" w:space="0"/>
              <w:bottom w:val="single" w:color="000000" w:sz="6" w:space="0"/>
              <w:right w:val="single" w:color="000000" w:sz="6" w:space="0"/>
            </w:tcBorders>
            <w:vAlign w:val="center"/>
          </w:tcPr>
          <w:p w14:paraId="744B3742">
            <w:pPr>
              <w:jc w:val="center"/>
            </w:pPr>
            <w:r>
              <w:t>71.45</w:t>
            </w:r>
          </w:p>
        </w:tc>
        <w:tc>
          <w:tcPr>
            <w:tcW w:w="0" w:type="auto"/>
            <w:tcBorders>
              <w:top w:val="single" w:color="000000" w:sz="6" w:space="0"/>
              <w:left w:val="single" w:color="000000" w:sz="6" w:space="0"/>
              <w:bottom w:val="single" w:color="000000" w:sz="6" w:space="0"/>
              <w:right w:val="single" w:color="000000" w:sz="6" w:space="0"/>
            </w:tcBorders>
            <w:vAlign w:val="center"/>
          </w:tcPr>
          <w:p w14:paraId="03294D89">
            <w:pPr>
              <w:jc w:val="center"/>
            </w:pPr>
            <w:r>
              <w:t>3</w:t>
            </w:r>
          </w:p>
        </w:tc>
      </w:tr>
      <w:tr w14:paraId="790EF75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2298092A">
            <w:pPr>
              <w:jc w:val="center"/>
            </w:pPr>
            <w:r>
              <w:t>4</w:t>
            </w:r>
          </w:p>
        </w:tc>
        <w:tc>
          <w:tcPr>
            <w:tcW w:w="0" w:type="auto"/>
            <w:tcBorders>
              <w:top w:val="single" w:color="000000" w:sz="6" w:space="0"/>
              <w:left w:val="single" w:color="000000" w:sz="6" w:space="0"/>
              <w:bottom w:val="single" w:color="000000" w:sz="6" w:space="0"/>
              <w:right w:val="single" w:color="000000" w:sz="6" w:space="0"/>
            </w:tcBorders>
            <w:vAlign w:val="center"/>
          </w:tcPr>
          <w:p w14:paraId="7AE038C1">
            <w:pPr>
              <w:jc w:val="center"/>
            </w:pPr>
            <w:r>
              <w:t>河南中祥保安服务有限公司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1173E7A6">
            <w:pPr>
              <w:jc w:val="center"/>
            </w:pPr>
            <w:r>
              <w:t>贰佰贰拾陆万陆仟肆佰捌拾捌元整(2,266,488.00)</w:t>
            </w:r>
          </w:p>
        </w:tc>
        <w:tc>
          <w:tcPr>
            <w:tcW w:w="0" w:type="auto"/>
            <w:tcBorders>
              <w:top w:val="single" w:color="000000" w:sz="6" w:space="0"/>
              <w:left w:val="single" w:color="000000" w:sz="6" w:space="0"/>
              <w:bottom w:val="single" w:color="000000" w:sz="6" w:space="0"/>
              <w:right w:val="single" w:color="000000" w:sz="6" w:space="0"/>
            </w:tcBorders>
            <w:vAlign w:val="center"/>
          </w:tcPr>
          <w:p w14:paraId="4DBD7BD9">
            <w:pPr>
              <w:jc w:val="center"/>
            </w:pPr>
            <w:r>
              <w:t>69.99</w:t>
            </w:r>
          </w:p>
        </w:tc>
        <w:tc>
          <w:tcPr>
            <w:tcW w:w="0" w:type="auto"/>
            <w:tcBorders>
              <w:top w:val="single" w:color="000000" w:sz="6" w:space="0"/>
              <w:left w:val="single" w:color="000000" w:sz="6" w:space="0"/>
              <w:bottom w:val="single" w:color="000000" w:sz="6" w:space="0"/>
              <w:right w:val="single" w:color="000000" w:sz="6" w:space="0"/>
            </w:tcBorders>
            <w:vAlign w:val="center"/>
          </w:tcPr>
          <w:p w14:paraId="411435BB">
            <w:pPr>
              <w:jc w:val="center"/>
            </w:pPr>
            <w:r>
              <w:t>4</w:t>
            </w:r>
          </w:p>
        </w:tc>
      </w:tr>
      <w:tr w14:paraId="027043A9">
        <w:tblPrEx>
          <w:tblCellMar>
            <w:top w:w="15" w:type="dxa"/>
            <w:left w:w="15" w:type="dxa"/>
            <w:bottom w:w="15" w:type="dxa"/>
            <w:right w:w="15" w:type="dxa"/>
          </w:tblCellMar>
        </w:tblPrEx>
        <w:trPr>
          <w:trHeight w:val="980" w:hRule="atLeast"/>
        </w:trPr>
        <w:tc>
          <w:tcPr>
            <w:tcW w:w="0" w:type="auto"/>
            <w:tcBorders>
              <w:top w:val="single" w:color="000000" w:sz="6" w:space="0"/>
              <w:left w:val="single" w:color="000000" w:sz="6" w:space="0"/>
              <w:bottom w:val="single" w:color="000000" w:sz="6" w:space="0"/>
              <w:right w:val="single" w:color="000000" w:sz="6" w:space="0"/>
            </w:tcBorders>
            <w:vAlign w:val="center"/>
          </w:tcPr>
          <w:p w14:paraId="51A70156">
            <w:pPr>
              <w:jc w:val="center"/>
            </w:pPr>
            <w:r>
              <w:t>5</w:t>
            </w:r>
          </w:p>
        </w:tc>
        <w:tc>
          <w:tcPr>
            <w:tcW w:w="0" w:type="auto"/>
            <w:tcBorders>
              <w:top w:val="single" w:color="000000" w:sz="6" w:space="0"/>
              <w:left w:val="single" w:color="000000" w:sz="6" w:space="0"/>
              <w:bottom w:val="single" w:color="000000" w:sz="6" w:space="0"/>
              <w:right w:val="single" w:color="000000" w:sz="6" w:space="0"/>
            </w:tcBorders>
            <w:vAlign w:val="center"/>
          </w:tcPr>
          <w:p w14:paraId="40A1CB6A">
            <w:pPr>
              <w:jc w:val="center"/>
            </w:pPr>
            <w:r>
              <w:t>河南鼎誉保安服务有限公司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79CDCAF2">
            <w:pPr>
              <w:jc w:val="center"/>
            </w:pPr>
            <w:r>
              <w:t>贰佰贰拾陆万肆仟贰佰贰拾元整(2,264,220.00)</w:t>
            </w:r>
          </w:p>
        </w:tc>
        <w:tc>
          <w:tcPr>
            <w:tcW w:w="0" w:type="auto"/>
            <w:tcBorders>
              <w:top w:val="single" w:color="000000" w:sz="6" w:space="0"/>
              <w:left w:val="single" w:color="000000" w:sz="6" w:space="0"/>
              <w:bottom w:val="single" w:color="000000" w:sz="6" w:space="0"/>
              <w:right w:val="single" w:color="000000" w:sz="6" w:space="0"/>
            </w:tcBorders>
            <w:vAlign w:val="center"/>
          </w:tcPr>
          <w:p w14:paraId="11382E82">
            <w:pPr>
              <w:jc w:val="center"/>
            </w:pPr>
            <w:r>
              <w:t>67.22</w:t>
            </w:r>
          </w:p>
        </w:tc>
        <w:tc>
          <w:tcPr>
            <w:tcW w:w="0" w:type="auto"/>
            <w:tcBorders>
              <w:top w:val="single" w:color="000000" w:sz="6" w:space="0"/>
              <w:left w:val="single" w:color="000000" w:sz="6" w:space="0"/>
              <w:bottom w:val="single" w:color="000000" w:sz="6" w:space="0"/>
              <w:right w:val="single" w:color="000000" w:sz="6" w:space="0"/>
            </w:tcBorders>
            <w:vAlign w:val="center"/>
          </w:tcPr>
          <w:p w14:paraId="5B13E35E">
            <w:pPr>
              <w:jc w:val="center"/>
            </w:pPr>
            <w:r>
              <w:t>5</w:t>
            </w:r>
          </w:p>
        </w:tc>
      </w:tr>
      <w:tr w14:paraId="4F189BC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15AAEC0">
            <w:pPr>
              <w:jc w:val="center"/>
            </w:pPr>
            <w:r>
              <w:t>6</w:t>
            </w:r>
          </w:p>
        </w:tc>
        <w:tc>
          <w:tcPr>
            <w:tcW w:w="0" w:type="auto"/>
            <w:tcBorders>
              <w:top w:val="single" w:color="000000" w:sz="6" w:space="0"/>
              <w:left w:val="single" w:color="000000" w:sz="6" w:space="0"/>
              <w:bottom w:val="single" w:color="000000" w:sz="6" w:space="0"/>
              <w:right w:val="single" w:color="000000" w:sz="6" w:space="0"/>
            </w:tcBorders>
            <w:vAlign w:val="center"/>
          </w:tcPr>
          <w:p w14:paraId="0AF098EC">
            <w:pPr>
              <w:jc w:val="center"/>
            </w:pPr>
            <w:r>
              <w:t>河南绿都智慧城市运营服务有限公司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26BD9F87">
            <w:pPr>
              <w:jc w:val="center"/>
            </w:pPr>
            <w:r>
              <w:t>贰佰贰拾万零陆仟元整(2,206,000.00)</w:t>
            </w:r>
          </w:p>
        </w:tc>
        <w:tc>
          <w:tcPr>
            <w:tcW w:w="0" w:type="auto"/>
            <w:tcBorders>
              <w:top w:val="single" w:color="000000" w:sz="6" w:space="0"/>
              <w:left w:val="single" w:color="000000" w:sz="6" w:space="0"/>
              <w:bottom w:val="single" w:color="000000" w:sz="6" w:space="0"/>
              <w:right w:val="single" w:color="000000" w:sz="6" w:space="0"/>
            </w:tcBorders>
            <w:vAlign w:val="center"/>
          </w:tcPr>
          <w:p w14:paraId="16B41ADF">
            <w:pPr>
              <w:jc w:val="center"/>
            </w:pPr>
            <w:r>
              <w:t>62.18</w:t>
            </w:r>
          </w:p>
        </w:tc>
        <w:tc>
          <w:tcPr>
            <w:tcW w:w="0" w:type="auto"/>
            <w:tcBorders>
              <w:top w:val="single" w:color="000000" w:sz="6" w:space="0"/>
              <w:left w:val="single" w:color="000000" w:sz="6" w:space="0"/>
              <w:bottom w:val="single" w:color="000000" w:sz="6" w:space="0"/>
              <w:right w:val="single" w:color="000000" w:sz="6" w:space="0"/>
            </w:tcBorders>
            <w:vAlign w:val="center"/>
          </w:tcPr>
          <w:p w14:paraId="2AC1898D">
            <w:pPr>
              <w:jc w:val="center"/>
            </w:pPr>
            <w:r>
              <w:t>6</w:t>
            </w:r>
          </w:p>
        </w:tc>
      </w:tr>
      <w:tr w14:paraId="105964E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7455922">
            <w:pPr>
              <w:jc w:val="center"/>
            </w:pPr>
            <w:r>
              <w:t>7</w:t>
            </w:r>
          </w:p>
        </w:tc>
        <w:tc>
          <w:tcPr>
            <w:tcW w:w="0" w:type="auto"/>
            <w:tcBorders>
              <w:top w:val="single" w:color="000000" w:sz="6" w:space="0"/>
              <w:left w:val="single" w:color="000000" w:sz="6" w:space="0"/>
              <w:bottom w:val="single" w:color="000000" w:sz="6" w:space="0"/>
              <w:right w:val="single" w:color="000000" w:sz="6" w:space="0"/>
            </w:tcBorders>
            <w:vAlign w:val="center"/>
          </w:tcPr>
          <w:p w14:paraId="4F41D0DF">
            <w:pPr>
              <w:jc w:val="center"/>
            </w:pPr>
            <w:r>
              <w:t>河南省合之众保安服务有限公司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7384162B">
            <w:pPr>
              <w:jc w:val="center"/>
            </w:pPr>
            <w:r>
              <w:t>贰佰贰拾贰万元整(2,220,000.00)</w:t>
            </w:r>
          </w:p>
        </w:tc>
        <w:tc>
          <w:tcPr>
            <w:tcW w:w="0" w:type="auto"/>
            <w:tcBorders>
              <w:top w:val="single" w:color="000000" w:sz="6" w:space="0"/>
              <w:left w:val="single" w:color="000000" w:sz="6" w:space="0"/>
              <w:bottom w:val="single" w:color="000000" w:sz="6" w:space="0"/>
              <w:right w:val="single" w:color="000000" w:sz="6" w:space="0"/>
            </w:tcBorders>
            <w:vAlign w:val="center"/>
          </w:tcPr>
          <w:p w14:paraId="2427024A">
            <w:pPr>
              <w:jc w:val="center"/>
            </w:pPr>
            <w:r>
              <w:t>57</w:t>
            </w:r>
          </w:p>
        </w:tc>
        <w:tc>
          <w:tcPr>
            <w:tcW w:w="0" w:type="auto"/>
            <w:tcBorders>
              <w:top w:val="single" w:color="000000" w:sz="6" w:space="0"/>
              <w:left w:val="single" w:color="000000" w:sz="6" w:space="0"/>
              <w:bottom w:val="single" w:color="000000" w:sz="6" w:space="0"/>
              <w:right w:val="single" w:color="000000" w:sz="6" w:space="0"/>
            </w:tcBorders>
            <w:vAlign w:val="center"/>
          </w:tcPr>
          <w:p w14:paraId="1AD0CD9A">
            <w:pPr>
              <w:jc w:val="center"/>
            </w:pPr>
            <w:r>
              <w:t>7</w:t>
            </w:r>
          </w:p>
        </w:tc>
      </w:tr>
    </w:tbl>
    <w:p w14:paraId="7EEB41C7">
      <w:pPr>
        <w:spacing w:line="400" w:lineRule="exact"/>
        <w:ind w:firstLine="480" w:firstLineChars="200"/>
        <w:rPr>
          <w:rFonts w:hint="eastAsia" w:ascii="黑体" w:hAnsi="黑体" w:eastAsia="黑体" w:cs="黑体"/>
          <w:color w:val="auto"/>
          <w:kern w:val="0"/>
          <w:sz w:val="24"/>
          <w:szCs w:val="24"/>
        </w:rPr>
      </w:pPr>
      <w:r>
        <w:rPr>
          <w:rFonts w:hint="eastAsia" w:ascii="宋体" w:cs="宋体"/>
          <w:color w:val="auto"/>
          <w:kern w:val="0"/>
          <w:sz w:val="24"/>
          <w:szCs w:val="24"/>
        </w:rPr>
        <w:t>提出质疑的渠道和方式：根据汴公管办（2020）13号文规定，若供应商对上述结果有质疑,可在成交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681F1A7F">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九、凡对本次公告内容提出询问，请按以下方式联系。</w:t>
      </w:r>
    </w:p>
    <w:p w14:paraId="383C520D">
      <w:pPr>
        <w:pStyle w:val="3"/>
        <w:spacing w:before="0" w:after="0" w:line="400" w:lineRule="exact"/>
        <w:ind w:firstLine="600" w:firstLineChars="250"/>
        <w:rPr>
          <w:rFonts w:hint="eastAsia" w:ascii="黑体" w:hAnsi="黑体" w:eastAsia="黑体" w:cs="黑体"/>
          <w:b w:val="0"/>
          <w:bCs w:val="0"/>
          <w:sz w:val="24"/>
          <w:szCs w:val="24"/>
        </w:rPr>
      </w:pPr>
      <w:bookmarkStart w:id="3" w:name="_Toc28359100"/>
      <w:bookmarkStart w:id="4" w:name="_Toc28359023"/>
      <w:bookmarkStart w:id="5" w:name="_Toc35393810"/>
      <w:bookmarkStart w:id="6" w:name="_Toc35393641"/>
      <w:r>
        <w:rPr>
          <w:rFonts w:hint="eastAsia" w:ascii="黑体" w:hAnsi="黑体" w:eastAsia="黑体" w:cs="黑体"/>
          <w:b w:val="0"/>
          <w:bCs w:val="0"/>
          <w:sz w:val="24"/>
          <w:szCs w:val="24"/>
        </w:rPr>
        <w:t>1.采购人信息</w:t>
      </w:r>
      <w:bookmarkEnd w:id="3"/>
      <w:bookmarkEnd w:id="4"/>
      <w:bookmarkEnd w:id="5"/>
      <w:bookmarkEnd w:id="6"/>
    </w:p>
    <w:p w14:paraId="2E60DA7A">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名    称：</w:t>
      </w:r>
      <w:r>
        <w:rPr>
          <w:rFonts w:hint="eastAsia" w:ascii="黑体" w:hAnsi="黑体" w:eastAsia="黑体" w:cs="黑体"/>
          <w:i w:val="0"/>
          <w:iCs w:val="0"/>
          <w:sz w:val="24"/>
          <w:szCs w:val="24"/>
          <w:u w:val="single"/>
        </w:rPr>
        <w:t>开封市祥符区公安局</w:t>
      </w:r>
    </w:p>
    <w:p w14:paraId="0EDD45CD">
      <w:pPr>
        <w:spacing w:line="400" w:lineRule="exact"/>
        <w:ind w:left="298" w:leftChars="142" w:firstLine="360" w:firstLineChars="150"/>
        <w:jc w:val="left"/>
        <w:rPr>
          <w:rFonts w:hint="default" w:ascii="黑体" w:hAnsi="黑体" w:eastAsia="黑体" w:cs="黑体"/>
          <w:sz w:val="24"/>
          <w:szCs w:val="24"/>
          <w:u w:val="single"/>
          <w:lang w:val="en-US" w:eastAsia="zh-CN"/>
        </w:rPr>
      </w:pPr>
      <w:r>
        <w:rPr>
          <w:rFonts w:hint="eastAsia" w:ascii="黑体" w:hAnsi="黑体" w:eastAsia="黑体" w:cs="黑体"/>
          <w:sz w:val="24"/>
          <w:szCs w:val="24"/>
        </w:rPr>
        <w:t>地    址：</w:t>
      </w:r>
      <w:r>
        <w:rPr>
          <w:rFonts w:hint="eastAsia" w:ascii="黑体" w:hAnsi="黑体" w:eastAsia="黑体" w:cs="黑体"/>
          <w:sz w:val="24"/>
          <w:szCs w:val="24"/>
          <w:u w:val="single"/>
        </w:rPr>
        <w:t>开封市祥符区纬三路与李太路交叉口</w:t>
      </w:r>
    </w:p>
    <w:p w14:paraId="0F333730">
      <w:pPr>
        <w:spacing w:line="400" w:lineRule="exact"/>
        <w:ind w:left="298" w:leftChars="142" w:firstLine="360" w:firstLineChars="150"/>
        <w:jc w:val="left"/>
        <w:rPr>
          <w:rFonts w:hint="eastAsia" w:ascii="黑体" w:hAnsi="黑体" w:eastAsia="黑体" w:cs="黑体"/>
          <w:sz w:val="24"/>
          <w:szCs w:val="24"/>
        </w:rPr>
      </w:pPr>
      <w:r>
        <w:rPr>
          <w:rFonts w:hint="eastAsia" w:ascii="黑体" w:hAnsi="黑体" w:eastAsia="黑体" w:cs="黑体"/>
          <w:sz w:val="24"/>
          <w:szCs w:val="24"/>
        </w:rPr>
        <w:t>联系方式：</w:t>
      </w:r>
      <w:r>
        <w:rPr>
          <w:rFonts w:hint="eastAsia" w:ascii="黑体" w:hAnsi="黑体" w:eastAsia="黑体" w:cs="黑体"/>
          <w:sz w:val="24"/>
          <w:szCs w:val="24"/>
          <w:u w:val="single"/>
        </w:rPr>
        <w:t xml:space="preserve">　13592139224　 </w:t>
      </w:r>
    </w:p>
    <w:p w14:paraId="26C7EC38">
      <w:pPr>
        <w:pStyle w:val="3"/>
        <w:spacing w:before="0" w:after="0" w:line="400" w:lineRule="exact"/>
        <w:ind w:firstLine="720" w:firstLineChars="300"/>
        <w:rPr>
          <w:rFonts w:hint="eastAsia" w:ascii="黑体" w:hAnsi="黑体" w:eastAsia="黑体" w:cs="黑体"/>
          <w:b w:val="0"/>
          <w:bCs w:val="0"/>
          <w:sz w:val="24"/>
          <w:szCs w:val="24"/>
        </w:rPr>
      </w:pPr>
      <w:bookmarkStart w:id="7" w:name="_Toc28359101"/>
      <w:bookmarkStart w:id="8" w:name="_Toc35393811"/>
      <w:bookmarkStart w:id="9" w:name="_Toc28359024"/>
      <w:bookmarkStart w:id="10" w:name="_Toc35393642"/>
      <w:r>
        <w:rPr>
          <w:rFonts w:hint="eastAsia" w:ascii="黑体" w:hAnsi="黑体" w:eastAsia="黑体" w:cs="黑体"/>
          <w:b w:val="0"/>
          <w:bCs w:val="0"/>
          <w:sz w:val="24"/>
          <w:szCs w:val="24"/>
        </w:rPr>
        <w:t>2.采购代理机构信息（如有）</w:t>
      </w:r>
      <w:bookmarkEnd w:id="7"/>
      <w:bookmarkEnd w:id="8"/>
      <w:bookmarkEnd w:id="9"/>
      <w:bookmarkEnd w:id="10"/>
    </w:p>
    <w:p w14:paraId="0536E297">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名    称：</w:t>
      </w:r>
      <w:r>
        <w:rPr>
          <w:rFonts w:hint="eastAsia" w:ascii="黑体" w:hAnsi="黑体" w:eastAsia="黑体" w:cs="黑体"/>
          <w:sz w:val="24"/>
          <w:szCs w:val="24"/>
          <w:u w:val="single"/>
          <w:lang w:eastAsia="zh-CN"/>
        </w:rPr>
        <w:t>开封市祥符区公共资源交易所</w:t>
      </w:r>
    </w:p>
    <w:p w14:paraId="14BCA223">
      <w:pPr>
        <w:spacing w:line="400" w:lineRule="exact"/>
        <w:ind w:firstLine="720" w:firstLineChars="300"/>
        <w:rPr>
          <w:rFonts w:hint="eastAsia" w:ascii="黑体" w:hAnsi="黑体" w:eastAsia="黑体" w:cs="黑体"/>
          <w:sz w:val="24"/>
          <w:szCs w:val="24"/>
        </w:rPr>
      </w:pPr>
      <w:r>
        <w:rPr>
          <w:rFonts w:hint="eastAsia" w:ascii="黑体" w:hAnsi="黑体" w:eastAsia="黑体" w:cs="黑体"/>
          <w:sz w:val="24"/>
          <w:szCs w:val="24"/>
        </w:rPr>
        <w:t>地　  址：</w:t>
      </w:r>
      <w:r>
        <w:rPr>
          <w:rFonts w:hint="eastAsia" w:ascii="黑体" w:hAnsi="黑体" w:eastAsia="黑体" w:cs="黑体"/>
          <w:sz w:val="24"/>
          <w:szCs w:val="24"/>
          <w:u w:val="single"/>
          <w:lang w:eastAsia="zh-CN"/>
        </w:rPr>
        <w:t>开封市祥符区经一路与纬三路交叉口市民之家9楼909室</w:t>
      </w:r>
    </w:p>
    <w:p w14:paraId="7108108F">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联系方式：</w:t>
      </w:r>
      <w:r>
        <w:rPr>
          <w:rFonts w:hint="eastAsia" w:ascii="黑体" w:hAnsi="黑体" w:eastAsia="黑体" w:cs="黑体"/>
          <w:sz w:val="24"/>
          <w:szCs w:val="24"/>
          <w:u w:val="single"/>
          <w:lang w:val="en-US" w:eastAsia="zh-CN"/>
        </w:rPr>
        <w:t>15803872663</w:t>
      </w:r>
      <w:r>
        <w:rPr>
          <w:rFonts w:hint="eastAsia" w:ascii="黑体" w:hAnsi="黑体" w:eastAsia="黑体" w:cs="黑体"/>
          <w:sz w:val="24"/>
          <w:szCs w:val="24"/>
          <w:u w:val="single"/>
        </w:rPr>
        <w:t xml:space="preserve"> </w:t>
      </w:r>
    </w:p>
    <w:p w14:paraId="7376A56F">
      <w:pPr>
        <w:pStyle w:val="3"/>
        <w:spacing w:before="0" w:after="0" w:line="400" w:lineRule="exact"/>
        <w:ind w:firstLine="720" w:firstLineChars="300"/>
        <w:rPr>
          <w:rFonts w:hint="eastAsia" w:ascii="黑体" w:hAnsi="黑体" w:eastAsia="黑体" w:cs="黑体"/>
          <w:b w:val="0"/>
          <w:bCs w:val="0"/>
          <w:sz w:val="24"/>
          <w:szCs w:val="24"/>
        </w:rPr>
      </w:pPr>
      <w:bookmarkStart w:id="11" w:name="_Toc35393643"/>
      <w:bookmarkStart w:id="12" w:name="_Toc28359102"/>
      <w:bookmarkStart w:id="13" w:name="_Toc28359025"/>
      <w:bookmarkStart w:id="14" w:name="_Toc35393812"/>
      <w:r>
        <w:rPr>
          <w:rFonts w:hint="eastAsia" w:ascii="黑体" w:hAnsi="黑体" w:eastAsia="黑体" w:cs="黑体"/>
          <w:b w:val="0"/>
          <w:bCs w:val="0"/>
          <w:sz w:val="24"/>
          <w:szCs w:val="24"/>
        </w:rPr>
        <w:t>3.项目联系方式</w:t>
      </w:r>
      <w:bookmarkEnd w:id="11"/>
      <w:bookmarkEnd w:id="12"/>
      <w:bookmarkEnd w:id="13"/>
      <w:bookmarkEnd w:id="14"/>
    </w:p>
    <w:p w14:paraId="7046AC35">
      <w:pPr>
        <w:pStyle w:val="6"/>
        <w:spacing w:line="400" w:lineRule="exact"/>
        <w:ind w:firstLine="720" w:firstLineChars="300"/>
        <w:rPr>
          <w:rFonts w:hint="eastAsia" w:ascii="黑体" w:hAnsi="黑体" w:eastAsia="黑体" w:cs="黑体"/>
          <w:sz w:val="24"/>
          <w:szCs w:val="24"/>
          <w:lang w:eastAsia="zh-CN"/>
        </w:rPr>
      </w:pPr>
      <w:r>
        <w:rPr>
          <w:rFonts w:hint="eastAsia" w:ascii="黑体" w:hAnsi="黑体" w:eastAsia="黑体" w:cs="黑体"/>
          <w:sz w:val="24"/>
          <w:szCs w:val="24"/>
        </w:rPr>
        <w:t>项目联系人：</w:t>
      </w:r>
      <w:r>
        <w:rPr>
          <w:rFonts w:hint="eastAsia" w:ascii="黑体" w:hAnsi="黑体" w:eastAsia="黑体" w:cs="黑体"/>
          <w:sz w:val="24"/>
          <w:szCs w:val="24"/>
          <w:u w:val="single"/>
          <w:lang w:eastAsia="zh-CN"/>
        </w:rPr>
        <w:t>边女士</w:t>
      </w:r>
    </w:p>
    <w:p w14:paraId="1A7F1BB5">
      <w:pPr>
        <w:spacing w:line="400" w:lineRule="exact"/>
        <w:ind w:firstLine="720" w:firstLineChars="300"/>
        <w:rPr>
          <w:rFonts w:hint="eastAsia" w:ascii="黑体" w:hAnsi="黑体" w:eastAsia="黑体" w:cs="黑体"/>
          <w:sz w:val="24"/>
          <w:szCs w:val="24"/>
          <w:u w:val="single"/>
        </w:rPr>
      </w:pPr>
      <w:r>
        <w:rPr>
          <w:rFonts w:hint="eastAsia" w:ascii="黑体" w:hAnsi="黑体" w:eastAsia="黑体" w:cs="黑体"/>
          <w:sz w:val="24"/>
          <w:szCs w:val="24"/>
        </w:rPr>
        <w:t>电　  话：</w:t>
      </w:r>
      <w:r>
        <w:rPr>
          <w:rFonts w:hint="eastAsia" w:ascii="黑体" w:hAnsi="黑体" w:eastAsia="黑体" w:cs="黑体"/>
          <w:sz w:val="24"/>
          <w:szCs w:val="24"/>
          <w:u w:val="single"/>
        </w:rPr>
        <w:t>　</w:t>
      </w:r>
      <w:r>
        <w:rPr>
          <w:rFonts w:hint="eastAsia" w:ascii="黑体" w:hAnsi="黑体" w:eastAsia="黑体" w:cs="黑体"/>
          <w:sz w:val="24"/>
          <w:szCs w:val="24"/>
          <w:u w:val="single"/>
          <w:lang w:val="en-US" w:eastAsia="zh-CN"/>
        </w:rPr>
        <w:t>13592139224</w:t>
      </w:r>
      <w:r>
        <w:rPr>
          <w:rFonts w:hint="eastAsia" w:ascii="黑体" w:hAnsi="黑体" w:eastAsia="黑体" w:cs="黑体"/>
          <w:sz w:val="24"/>
          <w:szCs w:val="24"/>
          <w:u w:val="single"/>
        </w:rPr>
        <w:t>　　</w:t>
      </w:r>
      <w:bookmarkStart w:id="15" w:name="_GoBack"/>
      <w:bookmarkEnd w:id="15"/>
    </w:p>
    <w:p w14:paraId="47362D4B">
      <w:pPr>
        <w:spacing w:line="400" w:lineRule="exact"/>
        <w:rPr>
          <w:rFonts w:hint="eastAsia" w:ascii="黑体" w:hAnsi="黑体" w:eastAsia="黑体" w:cs="黑体"/>
          <w:kern w:val="0"/>
          <w:sz w:val="24"/>
          <w:szCs w:val="24"/>
        </w:rPr>
      </w:pPr>
      <w:r>
        <w:rPr>
          <w:rFonts w:hint="eastAsia" w:ascii="黑体" w:hAnsi="黑体" w:eastAsia="黑体" w:cs="黑体"/>
          <w:kern w:val="0"/>
          <w:sz w:val="24"/>
          <w:szCs w:val="24"/>
        </w:rPr>
        <w:t>十、附件</w:t>
      </w:r>
    </w:p>
    <w:p w14:paraId="196BC387">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1.采购文件（</w:t>
      </w:r>
      <w:r>
        <w:rPr>
          <w:rFonts w:hint="eastAsia" w:ascii="黑体" w:hAnsi="黑体" w:eastAsia="黑体" w:cs="黑体"/>
          <w:i/>
          <w:iCs/>
          <w:kern w:val="0"/>
          <w:sz w:val="24"/>
          <w:szCs w:val="24"/>
        </w:rPr>
        <w:t>已公告的可不重复公告</w:t>
      </w:r>
      <w:r>
        <w:rPr>
          <w:rFonts w:hint="eastAsia" w:ascii="黑体" w:hAnsi="黑体" w:eastAsia="黑体" w:cs="黑体"/>
          <w:kern w:val="0"/>
          <w:sz w:val="24"/>
          <w:szCs w:val="24"/>
        </w:rPr>
        <w:t>）</w:t>
      </w:r>
    </w:p>
    <w:p w14:paraId="0720361D">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2.被推荐供应商名单和推荐理由（</w:t>
      </w:r>
      <w:r>
        <w:rPr>
          <w:rFonts w:hint="eastAsia" w:ascii="黑体" w:hAnsi="黑体" w:eastAsia="黑体" w:cs="黑体"/>
          <w:i/>
          <w:iCs/>
          <w:kern w:val="0"/>
          <w:sz w:val="24"/>
          <w:szCs w:val="24"/>
        </w:rPr>
        <w:t>适用于邀请招标、竞争性谈判、询价、竞争性磋商采用书面推荐方式产生符合资格条件的潜在供应商的</w:t>
      </w:r>
      <w:r>
        <w:rPr>
          <w:rFonts w:hint="eastAsia" w:ascii="黑体" w:hAnsi="黑体" w:eastAsia="黑体" w:cs="黑体"/>
          <w:kern w:val="0"/>
          <w:sz w:val="24"/>
          <w:szCs w:val="24"/>
        </w:rPr>
        <w:t>）</w:t>
      </w:r>
    </w:p>
    <w:p w14:paraId="7E8E2D4C">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3.中标、成交供应商为中小企业的，应公告其《中小企业声明函》</w:t>
      </w:r>
    </w:p>
    <w:p w14:paraId="3B139AB5">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4.中标、成交供应商为残疾人福利性单位的，应公告其《残疾人福利性单位声明函》</w:t>
      </w:r>
    </w:p>
    <w:p w14:paraId="14EEE0B8">
      <w:pPr>
        <w:spacing w:line="400" w:lineRule="exact"/>
        <w:ind w:firstLine="480" w:firstLineChars="200"/>
        <w:rPr>
          <w:rFonts w:hint="eastAsia" w:ascii="黑体" w:hAnsi="黑体" w:eastAsia="黑体" w:cs="黑体"/>
          <w:kern w:val="0"/>
          <w:sz w:val="24"/>
          <w:szCs w:val="24"/>
        </w:rPr>
      </w:pPr>
      <w:r>
        <w:rPr>
          <w:rFonts w:hint="eastAsia" w:ascii="黑体" w:hAnsi="黑体" w:eastAsia="黑体" w:cs="黑体"/>
          <w:kern w:val="0"/>
          <w:sz w:val="24"/>
          <w:szCs w:val="24"/>
        </w:rPr>
        <w:t>5.中标、成交供应商为注册地在国家级贫困县域内物业公司的，应公告注册所在县扶贫部门出具的聘用建档立卡贫困人员具体数量的证明。</w:t>
      </w:r>
    </w:p>
    <w:p w14:paraId="2388FC4B"/>
    <w:p w14:paraId="2979A4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1010101"/>
    <w:charset w:val="7A"/>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43977"/>
    <w:multiLevelType w:val="singleLevel"/>
    <w:tmpl w:val="2EC43977"/>
    <w:lvl w:ilvl="0" w:tentative="0">
      <w:start w:val="1"/>
      <w:numFmt w:val="chineseCounting"/>
      <w:suff w:val="nothing"/>
      <w:lvlText w:val="%1、"/>
      <w:lvlJc w:val="left"/>
      <w:rPr>
        <w:rFonts w:hint="eastAsia"/>
      </w:rPr>
    </w:lvl>
  </w:abstractNum>
  <w:abstractNum w:abstractNumId="1">
    <w:nsid w:val="4F7F2163"/>
    <w:multiLevelType w:val="singleLevel"/>
    <w:tmpl w:val="4F7F2163"/>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DRmM2FhNTBjODA5MmY3NmM1ZmExNjk2YzIyYmQifQ=="/>
  </w:docVars>
  <w:rsids>
    <w:rsidRoot w:val="4A7637BD"/>
    <w:rsid w:val="055F1F34"/>
    <w:rsid w:val="0B920BAC"/>
    <w:rsid w:val="224C556F"/>
    <w:rsid w:val="22A144DF"/>
    <w:rsid w:val="4A7637BD"/>
    <w:rsid w:val="4FD9168F"/>
    <w:rsid w:val="523E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rPr>
      <w:rFonts w:ascii="Calibri" w:hAnsi="Calibri" w:eastAsia="宋体" w:cs="Calibri"/>
    </w:rPr>
  </w:style>
  <w:style w:type="paragraph" w:styleId="5">
    <w:name w:val="envelope return"/>
    <w:basedOn w:val="1"/>
    <w:qFormat/>
    <w:uiPriority w:val="0"/>
    <w:pPr>
      <w:widowControl w:val="0"/>
      <w:adjustRightInd/>
      <w:spacing w:after="0"/>
      <w:jc w:val="both"/>
    </w:pPr>
    <w:rPr>
      <w:rFonts w:ascii="Arial" w:hAnsi="Arial" w:eastAsia="宋体" w:cs="Times New Roman"/>
      <w:kern w:val="2"/>
      <w:sz w:val="21"/>
      <w:szCs w:val="21"/>
    </w:rPr>
  </w:style>
  <w:style w:type="paragraph" w:styleId="6">
    <w:name w:val="Plain Text"/>
    <w:basedOn w:val="1"/>
    <w:autoRedefine/>
    <w:qFormat/>
    <w:uiPriority w:val="99"/>
    <w:rPr>
      <w:rFonts w:ascii="宋体" w:hAnsi="Courier New" w:cs="宋体"/>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Body Text First Indent 2"/>
    <w:basedOn w:val="4"/>
    <w:qFormat/>
    <w:uiPriority w:val="0"/>
    <w:pPr>
      <w:adjustRightInd w:val="0"/>
      <w:ind w:left="0" w:leftChars="0"/>
    </w:pPr>
    <w:rPr>
      <w:rFonts w:ascii="Times New Roman" w:hAnsi="Times New Roman" w:eastAsia="宋体" w:cs="Times New Roman"/>
    </w:rPr>
  </w:style>
  <w:style w:type="character" w:styleId="11">
    <w:name w:val="FollowedHyperlink"/>
    <w:basedOn w:val="10"/>
    <w:autoRedefine/>
    <w:qFormat/>
    <w:uiPriority w:val="0"/>
    <w:rPr>
      <w:color w:val="000000"/>
      <w:sz w:val="21"/>
      <w:szCs w:val="21"/>
      <w:u w:val="none"/>
    </w:rPr>
  </w:style>
  <w:style w:type="character" w:styleId="12">
    <w:name w:val="Hyperlink"/>
    <w:basedOn w:val="10"/>
    <w:autoRedefine/>
    <w:qFormat/>
    <w:uiPriority w:val="0"/>
    <w:rPr>
      <w:color w:val="000000"/>
      <w:sz w:val="21"/>
      <w:szCs w:val="21"/>
      <w:u w:val="none"/>
      <w:bdr w:val="single" w:color="2E8DF7" w:sz="6" w:space="0"/>
      <w:shd w:val="clear" w:fill="FFFFFF"/>
    </w:rPr>
  </w:style>
  <w:style w:type="character" w:customStyle="1" w:styleId="13">
    <w:name w:val="menutitle"/>
    <w:basedOn w:val="10"/>
    <w:autoRedefine/>
    <w:qFormat/>
    <w:uiPriority w:val="0"/>
    <w:rPr>
      <w:color w:val="333333"/>
      <w:sz w:val="24"/>
      <w:szCs w:val="24"/>
    </w:rPr>
  </w:style>
  <w:style w:type="character" w:customStyle="1" w:styleId="14">
    <w:name w:val="menutitle1"/>
    <w:basedOn w:val="10"/>
    <w:autoRedefine/>
    <w:qFormat/>
    <w:uiPriority w:val="0"/>
    <w:rPr>
      <w:color w:val="333333"/>
      <w:sz w:val="24"/>
      <w:szCs w:val="24"/>
    </w:rPr>
  </w:style>
  <w:style w:type="character" w:customStyle="1" w:styleId="15">
    <w:name w:val="icon_cxkcyry"/>
    <w:basedOn w:val="10"/>
    <w:autoRedefine/>
    <w:qFormat/>
    <w:uiPriority w:val="0"/>
  </w:style>
  <w:style w:type="character" w:customStyle="1" w:styleId="16">
    <w:name w:val="close6"/>
    <w:basedOn w:val="10"/>
    <w:autoRedefine/>
    <w:qFormat/>
    <w:uiPriority w:val="0"/>
  </w:style>
  <w:style w:type="character" w:customStyle="1" w:styleId="17">
    <w:name w:val="focus1"/>
    <w:basedOn w:val="10"/>
    <w:qFormat/>
    <w:uiPriority w:val="0"/>
    <w:rPr>
      <w:b/>
      <w:bCs/>
      <w:color w:val="000000"/>
    </w:rPr>
  </w:style>
  <w:style w:type="character" w:customStyle="1" w:styleId="18">
    <w:name w:val="icon_gzkj"/>
    <w:basedOn w:val="10"/>
    <w:qFormat/>
    <w:uiPriority w:val="0"/>
  </w:style>
  <w:style w:type="character" w:customStyle="1" w:styleId="19">
    <w:name w:val="l_1"/>
    <w:basedOn w:val="10"/>
    <w:qFormat/>
    <w:uiPriority w:val="0"/>
  </w:style>
  <w:style w:type="character" w:customStyle="1" w:styleId="20">
    <w:name w:val="l_4"/>
    <w:basedOn w:val="10"/>
    <w:autoRedefine/>
    <w:qFormat/>
    <w:uiPriority w:val="0"/>
  </w:style>
  <w:style w:type="character" w:customStyle="1" w:styleId="21">
    <w:name w:val="color_cdyy"/>
    <w:basedOn w:val="10"/>
    <w:autoRedefine/>
    <w:qFormat/>
    <w:uiPriority w:val="0"/>
    <w:rPr>
      <w:color w:val="FFFFFF"/>
      <w:bdr w:val="single" w:color="FFFFFF" w:sz="6" w:space="0"/>
    </w:rPr>
  </w:style>
  <w:style w:type="character" w:customStyle="1" w:styleId="22">
    <w:name w:val="icon_xglc"/>
    <w:basedOn w:val="10"/>
    <w:autoRedefine/>
    <w:qFormat/>
    <w:uiPriority w:val="0"/>
  </w:style>
  <w:style w:type="character" w:customStyle="1" w:styleId="23">
    <w:name w:val="swapimg4"/>
    <w:basedOn w:val="10"/>
    <w:autoRedefine/>
    <w:qFormat/>
    <w:uiPriority w:val="0"/>
  </w:style>
  <w:style w:type="character" w:customStyle="1" w:styleId="24">
    <w:name w:val="swapimg5"/>
    <w:basedOn w:val="10"/>
    <w:autoRedefine/>
    <w:qFormat/>
    <w:uiPriority w:val="0"/>
  </w:style>
  <w:style w:type="character" w:customStyle="1" w:styleId="25">
    <w:name w:val="l_10"/>
    <w:basedOn w:val="10"/>
    <w:autoRedefine/>
    <w:qFormat/>
    <w:uiPriority w:val="0"/>
  </w:style>
  <w:style w:type="character" w:customStyle="1" w:styleId="26">
    <w:name w:val="l_101"/>
    <w:basedOn w:val="10"/>
    <w:autoRedefine/>
    <w:qFormat/>
    <w:uiPriority w:val="0"/>
  </w:style>
  <w:style w:type="character" w:customStyle="1" w:styleId="27">
    <w:name w:val="icon_cxktbr"/>
    <w:basedOn w:val="10"/>
    <w:autoRedefine/>
    <w:qFormat/>
    <w:uiPriority w:val="0"/>
  </w:style>
  <w:style w:type="character" w:customStyle="1" w:styleId="28">
    <w:name w:val="searchclose"/>
    <w:basedOn w:val="10"/>
    <w:autoRedefine/>
    <w:qFormat/>
    <w:uiPriority w:val="0"/>
  </w:style>
  <w:style w:type="character" w:customStyle="1" w:styleId="29">
    <w:name w:val="searchopen"/>
    <w:basedOn w:val="10"/>
    <w:autoRedefine/>
    <w:qFormat/>
    <w:uiPriority w:val="0"/>
  </w:style>
  <w:style w:type="character" w:customStyle="1" w:styleId="30">
    <w:name w:val="icon_dljg"/>
    <w:basedOn w:val="10"/>
    <w:autoRedefine/>
    <w:qFormat/>
    <w:uiPriority w:val="0"/>
  </w:style>
  <w:style w:type="character" w:customStyle="1" w:styleId="31">
    <w:name w:val="l_5"/>
    <w:basedOn w:val="10"/>
    <w:autoRedefine/>
    <w:qFormat/>
    <w:uiPriority w:val="0"/>
  </w:style>
  <w:style w:type="character" w:customStyle="1" w:styleId="32">
    <w:name w:val="l_51"/>
    <w:basedOn w:val="10"/>
    <w:autoRedefine/>
    <w:qFormat/>
    <w:uiPriority w:val="0"/>
  </w:style>
  <w:style w:type="character" w:customStyle="1" w:styleId="33">
    <w:name w:val="l_6"/>
    <w:basedOn w:val="10"/>
    <w:autoRedefine/>
    <w:qFormat/>
    <w:uiPriority w:val="0"/>
  </w:style>
  <w:style w:type="character" w:customStyle="1" w:styleId="34">
    <w:name w:val="l_61"/>
    <w:basedOn w:val="10"/>
    <w:autoRedefine/>
    <w:qFormat/>
    <w:uiPriority w:val="0"/>
  </w:style>
  <w:style w:type="character" w:customStyle="1" w:styleId="35">
    <w:name w:val="l_12"/>
    <w:basedOn w:val="10"/>
    <w:autoRedefine/>
    <w:qFormat/>
    <w:uiPriority w:val="0"/>
  </w:style>
  <w:style w:type="character" w:customStyle="1" w:styleId="36">
    <w:name w:val="l_121"/>
    <w:basedOn w:val="10"/>
    <w:qFormat/>
    <w:uiPriority w:val="0"/>
  </w:style>
  <w:style w:type="character" w:customStyle="1" w:styleId="37">
    <w:name w:val="m-text"/>
    <w:basedOn w:val="10"/>
    <w:qFormat/>
    <w:uiPriority w:val="0"/>
  </w:style>
  <w:style w:type="character" w:customStyle="1" w:styleId="38">
    <w:name w:val="l_14"/>
    <w:basedOn w:val="10"/>
    <w:qFormat/>
    <w:uiPriority w:val="0"/>
  </w:style>
  <w:style w:type="character" w:customStyle="1" w:styleId="39">
    <w:name w:val="l_141"/>
    <w:basedOn w:val="10"/>
    <w:qFormat/>
    <w:uiPriority w:val="0"/>
  </w:style>
  <w:style w:type="character" w:customStyle="1" w:styleId="40">
    <w:name w:val="l_7"/>
    <w:basedOn w:val="10"/>
    <w:qFormat/>
    <w:uiPriority w:val="0"/>
  </w:style>
  <w:style w:type="character" w:customStyle="1" w:styleId="41">
    <w:name w:val="l_71"/>
    <w:basedOn w:val="10"/>
    <w:qFormat/>
    <w:uiPriority w:val="0"/>
  </w:style>
  <w:style w:type="character" w:customStyle="1" w:styleId="42">
    <w:name w:val="l_13"/>
    <w:basedOn w:val="10"/>
    <w:qFormat/>
    <w:uiPriority w:val="0"/>
  </w:style>
  <w:style w:type="character" w:customStyle="1" w:styleId="43">
    <w:name w:val="l_131"/>
    <w:basedOn w:val="10"/>
    <w:qFormat/>
    <w:uiPriority w:val="0"/>
  </w:style>
  <w:style w:type="character" w:customStyle="1" w:styleId="44">
    <w:name w:val="icon_lzrz"/>
    <w:basedOn w:val="10"/>
    <w:qFormat/>
    <w:uiPriority w:val="0"/>
  </w:style>
  <w:style w:type="character" w:customStyle="1" w:styleId="45">
    <w:name w:val="icon_xzry"/>
    <w:basedOn w:val="10"/>
    <w:autoRedefine/>
    <w:qFormat/>
    <w:uiPriority w:val="0"/>
  </w:style>
  <w:style w:type="character" w:customStyle="1" w:styleId="46">
    <w:name w:val="l_0"/>
    <w:basedOn w:val="10"/>
    <w:qFormat/>
    <w:uiPriority w:val="0"/>
  </w:style>
  <w:style w:type="character" w:customStyle="1" w:styleId="47">
    <w:name w:val="l_01"/>
    <w:basedOn w:val="10"/>
    <w:qFormat/>
    <w:uiPriority w:val="0"/>
  </w:style>
  <w:style w:type="character" w:customStyle="1" w:styleId="48">
    <w:name w:val="l_11"/>
    <w:basedOn w:val="10"/>
    <w:qFormat/>
    <w:uiPriority w:val="0"/>
  </w:style>
  <w:style w:type="character" w:customStyle="1" w:styleId="49">
    <w:name w:val="l_111"/>
    <w:basedOn w:val="10"/>
    <w:qFormat/>
    <w:uiPriority w:val="0"/>
  </w:style>
  <w:style w:type="character" w:customStyle="1" w:styleId="50">
    <w:name w:val="l_9"/>
    <w:basedOn w:val="10"/>
    <w:qFormat/>
    <w:uiPriority w:val="0"/>
  </w:style>
  <w:style w:type="character" w:customStyle="1" w:styleId="51">
    <w:name w:val="l_91"/>
    <w:basedOn w:val="10"/>
    <w:qFormat/>
    <w:uiPriority w:val="0"/>
  </w:style>
  <w:style w:type="character" w:customStyle="1" w:styleId="52">
    <w:name w:val="l_2"/>
    <w:basedOn w:val="10"/>
    <w:qFormat/>
    <w:uiPriority w:val="0"/>
  </w:style>
  <w:style w:type="character" w:customStyle="1" w:styleId="53">
    <w:name w:val="l_21"/>
    <w:basedOn w:val="10"/>
    <w:autoRedefine/>
    <w:qFormat/>
    <w:uiPriority w:val="0"/>
  </w:style>
  <w:style w:type="character" w:customStyle="1" w:styleId="54">
    <w:name w:val="l_3"/>
    <w:basedOn w:val="10"/>
    <w:autoRedefine/>
    <w:qFormat/>
    <w:uiPriority w:val="0"/>
  </w:style>
  <w:style w:type="character" w:customStyle="1" w:styleId="55">
    <w:name w:val="l_31"/>
    <w:basedOn w:val="10"/>
    <w:autoRedefine/>
    <w:qFormat/>
    <w:uiPriority w:val="0"/>
  </w:style>
  <w:style w:type="character" w:customStyle="1" w:styleId="56">
    <w:name w:val="l_8"/>
    <w:basedOn w:val="10"/>
    <w:qFormat/>
    <w:uiPriority w:val="0"/>
  </w:style>
  <w:style w:type="character" w:customStyle="1" w:styleId="57">
    <w:name w:val="l_81"/>
    <w:basedOn w:val="10"/>
    <w:qFormat/>
    <w:uiPriority w:val="0"/>
  </w:style>
  <w:style w:type="character" w:customStyle="1" w:styleId="58">
    <w:name w:val="l_15"/>
    <w:basedOn w:val="10"/>
    <w:qFormat/>
    <w:uiPriority w:val="0"/>
  </w:style>
  <w:style w:type="character" w:customStyle="1" w:styleId="59">
    <w:name w:val="l_151"/>
    <w:basedOn w:val="10"/>
    <w:qFormat/>
    <w:uiPriority w:val="0"/>
  </w:style>
  <w:style w:type="character" w:customStyle="1" w:styleId="60">
    <w:name w:val="swapimg"/>
    <w:basedOn w:val="10"/>
    <w:qFormat/>
    <w:uiPriority w:val="0"/>
  </w:style>
  <w:style w:type="character" w:customStyle="1" w:styleId="61">
    <w:name w:val="swapimg1"/>
    <w:basedOn w:val="10"/>
    <w:qFormat/>
    <w:uiPriority w:val="0"/>
  </w:style>
  <w:style w:type="character" w:customStyle="1" w:styleId="62">
    <w:name w:val="focus"/>
    <w:basedOn w:val="10"/>
    <w:qFormat/>
    <w:uiPriority w:val="0"/>
    <w:rPr>
      <w:b/>
      <w:bCs/>
      <w:color w:val="000000"/>
    </w:rPr>
  </w:style>
  <w:style w:type="character" w:customStyle="1" w:styleId="63">
    <w:name w:val="menutitle12"/>
    <w:basedOn w:val="10"/>
    <w:qFormat/>
    <w:uiPriority w:val="0"/>
    <w:rPr>
      <w:color w:val="333333"/>
      <w:sz w:val="24"/>
      <w:szCs w:val="24"/>
    </w:rPr>
  </w:style>
  <w:style w:type="character" w:customStyle="1" w:styleId="64">
    <w:name w:val="menutitle13"/>
    <w:basedOn w:val="10"/>
    <w:qFormat/>
    <w:uiPriority w:val="0"/>
    <w:rPr>
      <w:color w:val="333333"/>
      <w:sz w:val="24"/>
      <w:szCs w:val="24"/>
    </w:rPr>
  </w:style>
  <w:style w:type="character" w:customStyle="1" w:styleId="65">
    <w:name w:val="l_112"/>
    <w:basedOn w:val="10"/>
    <w:qFormat/>
    <w:uiPriority w:val="0"/>
  </w:style>
  <w:style w:type="paragraph" w:customStyle="1" w:styleId="66">
    <w:name w:val="Default"/>
    <w:next w:val="6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7">
    <w:name w:val="大标题"/>
    <w:basedOn w:val="1"/>
    <w:next w:val="8"/>
    <w:qFormat/>
    <w:uiPriority w:val="0"/>
    <w:pPr>
      <w:widowControl w:val="0"/>
      <w:spacing w:after="0" w:line="240" w:lineRule="auto"/>
      <w:ind w:firstLine="0" w:firstLineChars="0"/>
      <w:jc w:val="center"/>
    </w:pPr>
    <w:rPr>
      <w:rFonts w:ascii="@仿宋_GB2312" w:hAnsi="@仿宋_GB2312" w:eastAsia="华文中宋" w:cs="Times New Roman"/>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1164</Words>
  <Characters>1300</Characters>
  <Lines>0</Lines>
  <Paragraphs>0</Paragraphs>
  <TotalTime>0</TotalTime>
  <ScaleCrop>false</ScaleCrop>
  <LinksUpToDate>false</LinksUpToDate>
  <CharactersWithSpaces>1331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2023-12-29T07:52:00Z</dcterms:created>
  <dc:creator>小堯</dc:creator>
  <cp:lastModifiedBy>小堯</cp:lastModifiedBy>
  <dcterms:modified xsi:type="dcterms:W3CDTF">2025-04-23T01:54:00Z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D100DBAB384146B48266B23F2527CDA4_13</vt:lpwstr>
  </property>
  <property fmtid="{D5CDD505-2E9C-101B-9397-08002B2CF9AE}" pid="4" name="KSOTemplateDocerSaveRecord">
    <vt:lpwstr>eyJoZGlkIjoiMTBiMDRmM2FhNTBjODA5MmY3NmM1ZmExNjk2YzIyYmQiLCJ1c2VySWQiOiIyNzMxMjk0OTkifQ==</vt:lpwstr>
  </property>
</Properties>
</file>