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1D7D7">
      <w:pPr>
        <w:pStyle w:val="4"/>
        <w:ind w:left="0" w:leftChars="0" w:firstLine="0" w:firstLineChars="0"/>
        <w:rPr>
          <w:rFonts w:hint="eastAsia" w:ascii="宋体" w:hAnsi="宋体" w:eastAsia="宋体" w:cs="宋体"/>
          <w:b/>
          <w:bCs/>
          <w:sz w:val="60"/>
          <w:szCs w:val="60"/>
          <w:lang w:eastAsia="zh-CN"/>
        </w:rPr>
      </w:pPr>
      <w:r>
        <w:rPr>
          <w:rFonts w:hint="eastAsia" w:ascii="宋体" w:hAnsi="宋体" w:eastAsia="宋体" w:cs="宋体"/>
          <w:b/>
          <w:bCs/>
          <w:sz w:val="60"/>
          <w:szCs w:val="60"/>
          <w:lang w:eastAsia="zh-CN"/>
        </w:rPr>
        <w:t>息县发展和改革委员会南信合高铁息县站站区规划费用项目</w:t>
      </w:r>
    </w:p>
    <w:p w14:paraId="1C030DF2">
      <w:pPr>
        <w:rPr>
          <w:rFonts w:hint="eastAsia"/>
        </w:rPr>
      </w:pPr>
    </w:p>
    <w:p w14:paraId="266A1E7A">
      <w:pPr>
        <w:pStyle w:val="4"/>
        <w:rPr>
          <w:rFonts w:hint="eastAsia"/>
        </w:rPr>
      </w:pPr>
    </w:p>
    <w:p w14:paraId="3D9280DC">
      <w:pPr>
        <w:spacing w:line="600" w:lineRule="auto"/>
        <w:jc w:val="both"/>
        <w:rPr>
          <w:rFonts w:hint="eastAsia" w:ascii="宋体" w:hAnsi="宋体" w:eastAsia="宋体" w:cs="宋体"/>
          <w:b/>
          <w:kern w:val="15"/>
          <w:sz w:val="72"/>
          <w:szCs w:val="52"/>
        </w:rPr>
      </w:pPr>
      <w:r>
        <w:rPr>
          <w:rFonts w:hint="eastAsia" w:ascii="宋体" w:hAnsi="宋体" w:eastAsia="宋体" w:cs="宋体"/>
          <w:b/>
          <w:kern w:val="15"/>
          <w:sz w:val="72"/>
          <w:szCs w:val="52"/>
        </w:rPr>
        <w:t>竞争性</w:t>
      </w:r>
      <w:r>
        <w:rPr>
          <w:rFonts w:hint="eastAsia" w:ascii="宋体" w:hAnsi="宋体" w:eastAsia="宋体" w:cs="宋体"/>
          <w:b/>
          <w:kern w:val="15"/>
          <w:sz w:val="72"/>
          <w:szCs w:val="52"/>
          <w:lang w:eastAsia="zh-CN"/>
        </w:rPr>
        <w:t>磋商</w:t>
      </w:r>
      <w:r>
        <w:rPr>
          <w:rFonts w:hint="eastAsia" w:ascii="宋体" w:hAnsi="宋体" w:eastAsia="宋体" w:cs="宋体"/>
          <w:b/>
          <w:kern w:val="15"/>
          <w:sz w:val="72"/>
          <w:szCs w:val="52"/>
        </w:rPr>
        <w:t>文件</w:t>
      </w:r>
    </w:p>
    <w:p w14:paraId="71C7EC7F">
      <w:pPr>
        <w:pStyle w:val="2"/>
        <w:rPr>
          <w:rFonts w:hint="eastAsia"/>
        </w:rPr>
      </w:pPr>
      <w:r>
        <w:rPr>
          <w:rFonts w:hint="eastAsia" w:ascii="楷体" w:hAnsi="楷体" w:eastAsia="楷体" w:cs="楷体"/>
          <w:b/>
          <w:bCs/>
          <w:sz w:val="56"/>
          <w:szCs w:val="96"/>
        </w:rPr>
        <w:drawing>
          <wp:anchor distT="0" distB="0" distL="114300" distR="114300" simplePos="0" relativeHeight="251661312" behindDoc="0" locked="0" layoutInCell="1" allowOverlap="1">
            <wp:simplePos x="0" y="0"/>
            <wp:positionH relativeFrom="column">
              <wp:posOffset>1266190</wp:posOffset>
            </wp:positionH>
            <wp:positionV relativeFrom="paragraph">
              <wp:posOffset>385445</wp:posOffset>
            </wp:positionV>
            <wp:extent cx="2477135" cy="2208530"/>
            <wp:effectExtent l="0" t="0" r="18415" b="1270"/>
            <wp:wrapSquare wrapText="bothSides"/>
            <wp:docPr id="6" name="图片 2" descr="亿达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亿达logo"/>
                    <pic:cNvPicPr>
                      <a:picLocks noChangeAspect="1"/>
                    </pic:cNvPicPr>
                  </pic:nvPicPr>
                  <pic:blipFill>
                    <a:blip r:embed="rId15" cstate="print"/>
                    <a:srcRect l="21983" t="24567" r="21173" b="24767"/>
                    <a:stretch>
                      <a:fillRect/>
                    </a:stretch>
                  </pic:blipFill>
                  <pic:spPr>
                    <a:xfrm>
                      <a:off x="0" y="0"/>
                      <a:ext cx="2477135" cy="2208530"/>
                    </a:xfrm>
                    <a:prstGeom prst="rect">
                      <a:avLst/>
                    </a:prstGeom>
                    <a:noFill/>
                    <a:ln>
                      <a:noFill/>
                    </a:ln>
                  </pic:spPr>
                </pic:pic>
              </a:graphicData>
            </a:graphic>
          </wp:anchor>
        </w:drawing>
      </w:r>
    </w:p>
    <w:p w14:paraId="104B78B7">
      <w:pPr>
        <w:autoSpaceDE w:val="0"/>
        <w:autoSpaceDN w:val="0"/>
        <w:jc w:val="center"/>
        <w:rPr>
          <w:rFonts w:hint="eastAsia" w:ascii="宋体" w:hAnsi="宋体" w:eastAsia="宋体" w:cs="宋体"/>
          <w:b/>
          <w:sz w:val="36"/>
          <w:szCs w:val="36"/>
        </w:rPr>
      </w:pPr>
    </w:p>
    <w:p w14:paraId="60158AE9">
      <w:pPr>
        <w:jc w:val="center"/>
        <w:rPr>
          <w:rFonts w:hint="eastAsia" w:ascii="宋体" w:hAnsi="宋体" w:eastAsia="宋体" w:cs="宋体"/>
          <w:b/>
          <w:sz w:val="36"/>
          <w:szCs w:val="36"/>
        </w:rPr>
      </w:pPr>
    </w:p>
    <w:p w14:paraId="4560AD44">
      <w:pPr>
        <w:jc w:val="center"/>
        <w:rPr>
          <w:rFonts w:hint="eastAsia" w:ascii="宋体" w:hAnsi="宋体" w:eastAsia="宋体" w:cs="宋体"/>
          <w:b/>
          <w:sz w:val="36"/>
          <w:szCs w:val="36"/>
        </w:rPr>
      </w:pPr>
    </w:p>
    <w:p w14:paraId="3A32429F">
      <w:pPr>
        <w:rPr>
          <w:rFonts w:hint="eastAsia"/>
        </w:rPr>
      </w:pPr>
    </w:p>
    <w:p w14:paraId="4EB21E6B">
      <w:pPr>
        <w:pStyle w:val="2"/>
        <w:rPr>
          <w:rFonts w:hint="eastAsia"/>
        </w:rPr>
      </w:pPr>
    </w:p>
    <w:p w14:paraId="16F2BCBB">
      <w:pPr>
        <w:pStyle w:val="2"/>
        <w:rPr>
          <w:rFonts w:hint="eastAsia"/>
        </w:rPr>
      </w:pPr>
    </w:p>
    <w:p w14:paraId="47B02939">
      <w:pPr>
        <w:pStyle w:val="2"/>
        <w:rPr>
          <w:rFonts w:hint="eastAsia"/>
          <w:lang w:val="en-US" w:eastAsia="zh-CN"/>
        </w:rPr>
      </w:pPr>
    </w:p>
    <w:p w14:paraId="246DF2D7">
      <w:pPr>
        <w:tabs>
          <w:tab w:val="left" w:pos="7860"/>
        </w:tabs>
        <w:spacing w:line="480" w:lineRule="auto"/>
        <w:ind w:left="0" w:leftChars="0" w:firstLine="842" w:firstLineChars="262"/>
        <w:rPr>
          <w:rFonts w:hint="eastAsia" w:ascii="宋体" w:hAnsi="宋体" w:eastAsia="宋体" w:cs="宋体"/>
          <w:b/>
          <w:bCs/>
          <w:color w:val="auto"/>
          <w:sz w:val="32"/>
          <w:szCs w:val="32"/>
          <w:lang w:val="en-US" w:eastAsia="zh-CN"/>
        </w:rPr>
      </w:pPr>
    </w:p>
    <w:p w14:paraId="70F9AF71">
      <w:pPr>
        <w:ind w:left="0" w:leftChars="0" w:firstLine="0" w:firstLineChars="0"/>
        <w:rPr>
          <w:rFonts w:hint="eastAsia" w:ascii="宋体" w:hAnsi="宋体" w:eastAsia="宋体" w:cs="宋体"/>
          <w:b/>
          <w:bCs/>
          <w:color w:val="auto"/>
          <w:sz w:val="32"/>
          <w:szCs w:val="32"/>
          <w:lang w:val="en-US" w:eastAsia="zh-CN"/>
        </w:rPr>
      </w:pPr>
    </w:p>
    <w:p w14:paraId="7735188A">
      <w:pPr>
        <w:tabs>
          <w:tab w:val="left" w:pos="7860"/>
        </w:tabs>
        <w:spacing w:line="480" w:lineRule="auto"/>
        <w:ind w:left="0" w:leftChars="0" w:firstLine="643"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采   购   </w:t>
      </w:r>
      <w:r>
        <w:rPr>
          <w:rFonts w:hint="eastAsia" w:ascii="宋体" w:hAnsi="宋体" w:eastAsia="宋体" w:cs="宋体"/>
          <w:b/>
          <w:bCs/>
          <w:color w:val="auto"/>
          <w:sz w:val="32"/>
          <w:szCs w:val="32"/>
        </w:rPr>
        <w:t xml:space="preserve">人: </w:t>
      </w:r>
      <w:r>
        <w:rPr>
          <w:rFonts w:hint="eastAsia" w:ascii="宋体" w:hAnsi="宋体" w:eastAsia="宋体" w:cs="宋体"/>
          <w:b/>
          <w:bCs/>
          <w:color w:val="auto"/>
          <w:sz w:val="32"/>
          <w:szCs w:val="32"/>
          <w:lang w:eastAsia="zh-CN"/>
        </w:rPr>
        <w:t>息县发展和改革委员会</w:t>
      </w:r>
    </w:p>
    <w:p w14:paraId="35F15A63">
      <w:pPr>
        <w:tabs>
          <w:tab w:val="left" w:pos="7860"/>
        </w:tabs>
        <w:spacing w:line="480" w:lineRule="auto"/>
        <w:ind w:left="0" w:leftChars="0"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 xml:space="preserve">代理机构: </w:t>
      </w:r>
      <w:r>
        <w:rPr>
          <w:rFonts w:hint="eastAsia" w:ascii="宋体" w:hAnsi="宋体" w:eastAsia="宋体" w:cs="宋体"/>
          <w:b/>
          <w:bCs/>
          <w:color w:val="auto"/>
          <w:sz w:val="32"/>
          <w:szCs w:val="32"/>
          <w:lang w:eastAsia="zh-CN"/>
        </w:rPr>
        <w:t>河南省亿达工程管理咨询有限公司</w:t>
      </w:r>
    </w:p>
    <w:p w14:paraId="086448A6">
      <w:pPr>
        <w:spacing w:line="360" w:lineRule="auto"/>
        <w:ind w:left="0" w:leftChars="0" w:firstLine="643" w:firstLineChars="200"/>
        <w:rPr>
          <w:rFonts w:ascii="宋体" w:hAnsi="宋体" w:cs="宋体"/>
          <w:b/>
          <w:sz w:val="32"/>
        </w:rPr>
      </w:pPr>
      <w:r>
        <w:rPr>
          <w:rFonts w:hint="eastAsia" w:ascii="宋体" w:hAnsi="宋体" w:eastAsia="宋体" w:cs="宋体"/>
          <w:b/>
          <w:bCs/>
          <w:color w:val="auto"/>
          <w:sz w:val="32"/>
          <w:szCs w:val="32"/>
          <w:highlight w:val="none"/>
        </w:rPr>
        <w:t>日        期</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 xml:space="preserve"> </w:t>
      </w:r>
      <w:r>
        <w:rPr>
          <w:rFonts w:hint="eastAsia" w:ascii="宋体" w:hAnsi="宋体" w:cs="宋体"/>
          <w:b/>
          <w:sz w:val="32"/>
        </w:rPr>
        <w:t>二零二</w:t>
      </w:r>
      <w:r>
        <w:rPr>
          <w:rFonts w:hint="eastAsia" w:ascii="宋体" w:hAnsi="宋体" w:cs="宋体"/>
          <w:b/>
          <w:sz w:val="32"/>
          <w:lang w:val="en-US" w:eastAsia="zh-CN"/>
        </w:rPr>
        <w:t>五</w:t>
      </w:r>
      <w:r>
        <w:rPr>
          <w:rFonts w:hint="eastAsia" w:ascii="宋体" w:hAnsi="宋体" w:cs="宋体"/>
          <w:b/>
          <w:sz w:val="32"/>
        </w:rPr>
        <w:t>年</w:t>
      </w:r>
      <w:r>
        <w:rPr>
          <w:rFonts w:hint="eastAsia" w:ascii="宋体" w:hAnsi="宋体" w:cs="宋体"/>
          <w:b/>
          <w:sz w:val="32"/>
          <w:lang w:eastAsia="zh-CN"/>
        </w:rPr>
        <w:t>二</w:t>
      </w:r>
      <w:r>
        <w:rPr>
          <w:rFonts w:hint="eastAsia" w:ascii="宋体" w:hAnsi="宋体" w:cs="宋体"/>
          <w:b/>
          <w:sz w:val="32"/>
        </w:rPr>
        <w:t>月</w:t>
      </w:r>
    </w:p>
    <w:p w14:paraId="7BA5DDD1">
      <w:pPr>
        <w:pStyle w:val="2"/>
        <w:rPr>
          <w:rFonts w:hint="eastAsia"/>
        </w:rPr>
      </w:pPr>
    </w:p>
    <w:p w14:paraId="365F8BC2">
      <w:pPr>
        <w:pStyle w:val="27"/>
        <w:jc w:val="center"/>
        <w:rPr>
          <w:rFonts w:hint="eastAsia" w:cs="宋体"/>
          <w:b/>
          <w:color w:val="auto"/>
          <w:spacing w:val="14"/>
          <w:sz w:val="44"/>
          <w:szCs w:val="44"/>
          <w:lang w:eastAsia="zh-CN"/>
        </w:rPr>
      </w:pPr>
      <w:r>
        <w:rPr>
          <w:rFonts w:hint="eastAsia" w:cs="宋体"/>
          <w:b/>
          <w:color w:val="auto"/>
          <w:spacing w:val="14"/>
          <w:sz w:val="44"/>
          <w:szCs w:val="44"/>
          <w:lang w:eastAsia="zh-CN"/>
        </w:rPr>
        <w:t>目</w:t>
      </w:r>
      <w:r>
        <w:rPr>
          <w:rFonts w:hint="eastAsia" w:cs="宋体"/>
          <w:b/>
          <w:color w:val="auto"/>
          <w:spacing w:val="14"/>
          <w:sz w:val="44"/>
          <w:szCs w:val="44"/>
          <w:lang w:val="en-US" w:eastAsia="zh-CN"/>
        </w:rPr>
        <w:t xml:space="preserve">  </w:t>
      </w:r>
      <w:r>
        <w:rPr>
          <w:rFonts w:hint="eastAsia" w:cs="宋体"/>
          <w:b/>
          <w:color w:val="auto"/>
          <w:spacing w:val="14"/>
          <w:sz w:val="44"/>
          <w:szCs w:val="44"/>
          <w:lang w:eastAsia="zh-CN"/>
        </w:rPr>
        <w:t>录</w:t>
      </w:r>
    </w:p>
    <w:p w14:paraId="7A5F52C3">
      <w:pPr>
        <w:pStyle w:val="17"/>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"1-3" \h \u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_Toc30884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 xml:space="preserve">第一章 </w:t>
      </w:r>
      <w:r>
        <w:rPr>
          <w:rFonts w:hint="eastAsia" w:ascii="宋体" w:hAnsi="宋体" w:eastAsia="宋体" w:cs="宋体"/>
          <w:bCs/>
          <w:sz w:val="24"/>
          <w:szCs w:val="24"/>
          <w:highlight w:val="none"/>
          <w:lang w:eastAsia="zh-CN"/>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53BE3F">
      <w:pPr>
        <w:pStyle w:val="17"/>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_Toc13762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val="0"/>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5CCEEC3">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_Toc12234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供应商须知前附表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_Toc12234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AB3519F">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_Toc26921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1.总则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_Toc26921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FEC3E38">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_Toc19756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eastAsia="zh-CN"/>
        </w:rPr>
        <w:t>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_Toc19756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65F4195">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_Toc30559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3.响应文件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_Toc30559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C8445D3">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_Toc17752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4.磋商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_Toc17752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E7AE62B">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_Toc11086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5.磋商开始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_Toc11086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9A4FD77">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_Toc21457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6.磋商小组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_Toc21457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D51D2C5">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_Toc17150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7.合同授予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0564D8A">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_Toc13693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8.重新招标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_Toc13693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67B2A7B">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_Toc6440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9.纪律和监督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_Toc6440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8E8861C">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_Toc27064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10.需要补充的其他内容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8BA9663">
      <w:pPr>
        <w:pStyle w:val="17"/>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_Toc30658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kern w:val="44"/>
          <w:sz w:val="24"/>
          <w:szCs w:val="24"/>
          <w:highlight w:val="none"/>
        </w:rPr>
        <w:t>第三章 评审办法（综合评分法）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_Toc30658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95324A">
      <w:pPr>
        <w:pStyle w:val="17"/>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_Toc11597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rPr>
        <w:t xml:space="preserve">第四章 </w:t>
      </w:r>
      <w:r>
        <w:rPr>
          <w:rFonts w:hint="eastAsia" w:ascii="宋体" w:hAnsi="宋体" w:eastAsia="宋体" w:cs="宋体"/>
          <w:sz w:val="24"/>
          <w:szCs w:val="24"/>
          <w:highlight w:val="none"/>
        </w:rPr>
        <w:t>河南省政府采购合同（</w:t>
      </w:r>
      <w:r>
        <w:rPr>
          <w:rFonts w:hint="eastAsia" w:ascii="宋体" w:hAnsi="宋体" w:eastAsia="宋体" w:cs="宋体"/>
          <w:sz w:val="24"/>
          <w:szCs w:val="24"/>
          <w:highlight w:val="none"/>
          <w:lang w:eastAsia="zh-CN"/>
        </w:rPr>
        <w:t>参考文本</w:t>
      </w:r>
      <w:r>
        <w:rPr>
          <w:rFonts w:hint="eastAsia" w:ascii="宋体" w:hAnsi="宋体" w:eastAsia="宋体" w:cs="宋体"/>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_Toc11597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207C2D8">
      <w:pPr>
        <w:pStyle w:val="17"/>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_Toc31498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_Toc31498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33EC86A">
      <w:pPr>
        <w:pStyle w:val="17"/>
        <w:keepNext w:val="0"/>
        <w:keepLines w:val="0"/>
        <w:pageBreakBefore w:val="0"/>
        <w:tabs>
          <w:tab w:val="right" w:leader="dot" w:pos="8299"/>
        </w:tabs>
        <w:kinsoku/>
        <w:wordWrap/>
        <w:overflowPunct/>
        <w:topLinePunct w:val="0"/>
        <w:autoSpaceDE/>
        <w:autoSpaceDN/>
        <w:bidi w:val="0"/>
        <w:adjustRightInd/>
        <w:snapToGrid/>
        <w:spacing w:line="480" w:lineRule="exact"/>
        <w:ind w:left="0" w:leftChars="-95" w:hanging="199" w:hangingChars="8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_Toc21882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 xml:space="preserve">第六章 </w:t>
      </w:r>
      <w:r>
        <w:rPr>
          <w:rFonts w:hint="eastAsia" w:ascii="宋体" w:hAnsi="宋体" w:eastAsia="宋体" w:cs="宋体"/>
          <w:sz w:val="24"/>
          <w:szCs w:val="24"/>
          <w:highlight w:val="none"/>
          <w:lang w:eastAsia="zh-CN"/>
        </w:rPr>
        <w:t>竞争性磋商响应文件格式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_Toc21882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6926A8">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_Toc23074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响应函</w:t>
      </w:r>
      <w:r>
        <w:rPr>
          <w:rFonts w:hint="eastAsia" w:ascii="宋体" w:hAnsi="宋体" w:eastAsia="宋体" w:cs="宋体"/>
          <w:sz w:val="24"/>
          <w:szCs w:val="24"/>
          <w:highlight w:val="none"/>
        </w:rPr>
        <w:t>及</w:t>
      </w:r>
      <w:r>
        <w:rPr>
          <w:rFonts w:hint="eastAsia" w:ascii="宋体" w:hAnsi="宋体" w:eastAsia="宋体" w:cs="宋体"/>
          <w:sz w:val="24"/>
          <w:szCs w:val="24"/>
          <w:highlight w:val="none"/>
          <w:lang w:eastAsia="zh-CN"/>
        </w:rPr>
        <w:t>响应函</w:t>
      </w:r>
      <w:r>
        <w:rPr>
          <w:rFonts w:hint="eastAsia" w:ascii="宋体" w:hAnsi="宋体" w:eastAsia="宋体" w:cs="宋体"/>
          <w:sz w:val="24"/>
          <w:szCs w:val="24"/>
          <w:highlight w:val="none"/>
        </w:rPr>
        <w:t>附录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_Toc23074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57E2EAA">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_Toc30887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二、法定代表</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身份证明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6B34174">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_Toc16617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20CFBAE">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_Toc19302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、商务及技术偏差表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764E339">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_Toc28051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、资格审查资料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_Toc28051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33BEC48">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_Toc16337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六、中小企业声明函（服务类）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_Toc16337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4B2D16A">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_Toc26041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七</w:t>
      </w:r>
      <w:r>
        <w:rPr>
          <w:rFonts w:hint="eastAsia" w:ascii="宋体" w:hAnsi="宋体" w:eastAsia="宋体" w:cs="宋体"/>
          <w:bCs/>
          <w:sz w:val="24"/>
          <w:szCs w:val="24"/>
          <w:highlight w:val="none"/>
        </w:rPr>
        <w:t>、残疾人福利性单位声明函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_Toc26041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14FB2F1">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_Toc2382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八</w:t>
      </w:r>
      <w:r>
        <w:rPr>
          <w:rFonts w:hint="eastAsia" w:ascii="宋体" w:hAnsi="宋体" w:eastAsia="宋体" w:cs="宋体"/>
          <w:bCs/>
          <w:sz w:val="24"/>
          <w:szCs w:val="24"/>
          <w:highlight w:val="none"/>
        </w:rPr>
        <w:t>、监狱企业证明文件（如有）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B8D48F6">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_Toc23831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eastAsia="zh-CN"/>
        </w:rPr>
        <w:t>九</w:t>
      </w:r>
      <w:r>
        <w:rPr>
          <w:rFonts w:hint="eastAsia" w:ascii="宋体" w:hAnsi="宋体" w:eastAsia="宋体" w:cs="宋体"/>
          <w:bCs/>
          <w:sz w:val="24"/>
          <w:szCs w:val="24"/>
          <w:highlight w:val="none"/>
        </w:rPr>
        <w:t>、反商业贿赂承诺书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31CB2261">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ind w:left="0" w:leftChars="0" w:firstLine="218" w:firstLineChars="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_Toc27343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kern w:val="2"/>
          <w:sz w:val="24"/>
          <w:szCs w:val="24"/>
          <w:highlight w:val="none"/>
          <w:lang w:val="en-US" w:eastAsia="zh-CN" w:bidi="ar-SA"/>
        </w:rPr>
        <w:t>十、其他材料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_Toc27343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E1CCB5D">
      <w:pPr>
        <w:pStyle w:val="2"/>
        <w:keepNext w:val="0"/>
        <w:keepLines w:val="0"/>
        <w:pageBreakBefore w:val="0"/>
        <w:kinsoku/>
        <w:wordWrap/>
        <w:overflowPunct/>
        <w:topLinePunct w:val="0"/>
        <w:autoSpaceDE/>
        <w:autoSpaceDN/>
        <w:bidi w:val="0"/>
        <w:adjustRightInd/>
        <w:snapToGrid/>
        <w:spacing w:after="0" w:afterLines="0" w:line="480" w:lineRule="exact"/>
        <w:ind w:left="0" w:leftChars="-95" w:hanging="199" w:hangingChars="83"/>
        <w:textAlignment w:val="auto"/>
        <w:rPr>
          <w:rFonts w:hint="eastAsia"/>
          <w:lang w:eastAsia="zh-CN"/>
        </w:rPr>
        <w:sectPr>
          <w:headerReference r:id="rId5" w:type="default"/>
          <w:footerReference r:id="rId6" w:type="default"/>
          <w:pgSz w:w="11905" w:h="16838"/>
          <w:pgMar w:top="1440" w:right="1803" w:bottom="1440" w:left="1803" w:header="227"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sz w:val="24"/>
          <w:szCs w:val="24"/>
          <w:highlight w:val="none"/>
          <w:lang w:eastAsia="zh-CN"/>
        </w:rPr>
        <w:fldChar w:fldCharType="end"/>
      </w:r>
    </w:p>
    <w:p w14:paraId="78299508">
      <w:pPr>
        <w:pStyle w:val="19"/>
        <w:tabs>
          <w:tab w:val="right" w:leader="underscore" w:pos="8296"/>
        </w:tabs>
        <w:spacing w:after="0" w:afterLines="0" w:line="360" w:lineRule="auto"/>
        <w:ind w:left="0"/>
        <w:jc w:val="center"/>
        <w:outlineLvl w:val="0"/>
        <w:rPr>
          <w:rFonts w:hint="eastAsia" w:ascii="宋体" w:hAnsi="宋体" w:eastAsia="宋体" w:cs="宋体"/>
          <w:b/>
          <w:bCs/>
          <w:color w:val="auto"/>
          <w:sz w:val="32"/>
          <w:szCs w:val="32"/>
          <w:lang w:eastAsia="zh-CN"/>
        </w:rPr>
      </w:pPr>
      <w:bookmarkStart w:id="0" w:name="_Toc30363"/>
      <w:bookmarkStart w:id="1" w:name="_Toc30884"/>
      <w:r>
        <w:rPr>
          <w:rFonts w:hint="eastAsia" w:ascii="宋体" w:hAnsi="宋体" w:cs="宋体"/>
          <w:b/>
          <w:bCs/>
          <w:color w:val="auto"/>
          <w:sz w:val="32"/>
          <w:szCs w:val="32"/>
        </w:rPr>
        <w:t xml:space="preserve">第一章 </w:t>
      </w:r>
      <w:bookmarkEnd w:id="0"/>
      <w:r>
        <w:rPr>
          <w:rFonts w:hint="eastAsia" w:ascii="宋体" w:hAnsi="宋体" w:cs="宋体"/>
          <w:b/>
          <w:bCs/>
          <w:color w:val="auto"/>
          <w:sz w:val="32"/>
          <w:szCs w:val="32"/>
          <w:lang w:eastAsia="zh-CN"/>
        </w:rPr>
        <w:t>竞争性磋商公告</w:t>
      </w:r>
      <w:bookmarkEnd w:id="1"/>
    </w:p>
    <w:p w14:paraId="4A23F06C">
      <w:pPr>
        <w:pStyle w:val="28"/>
        <w:keepNext w:val="0"/>
        <w:keepLines w:val="0"/>
        <w:pageBreakBefore w:val="0"/>
        <w:widowControl/>
        <w:kinsoku/>
        <w:wordWrap/>
        <w:overflowPunct/>
        <w:topLinePunct w:val="0"/>
        <w:autoSpaceDE/>
        <w:autoSpaceDN/>
        <w:bidi w:val="0"/>
        <w:adjustRightInd/>
        <w:snapToGrid/>
        <w:spacing w:before="0" w:after="0" w:line="500" w:lineRule="exact"/>
        <w:jc w:val="center"/>
        <w:textAlignment w:val="auto"/>
        <w:rPr>
          <w:rFonts w:hint="eastAsia"/>
          <w:b/>
          <w:bCs/>
          <w:sz w:val="32"/>
          <w:szCs w:val="32"/>
          <w:lang w:eastAsia="zh-CN"/>
        </w:rPr>
      </w:pPr>
      <w:bookmarkStart w:id="2" w:name="OLE_LINK1"/>
      <w:bookmarkStart w:id="3" w:name="_Toc152045527"/>
      <w:bookmarkStart w:id="4" w:name="_Toc152042303"/>
      <w:bookmarkStart w:id="5" w:name="_Toc144974495"/>
      <w:r>
        <w:rPr>
          <w:rFonts w:hint="eastAsia"/>
          <w:b/>
          <w:bCs/>
          <w:sz w:val="32"/>
          <w:szCs w:val="32"/>
          <w:lang w:eastAsia="zh-CN"/>
        </w:rPr>
        <w:t>息县发展和改革委员会南信合高铁息县站站区规划费用项目</w:t>
      </w:r>
    </w:p>
    <w:p w14:paraId="32C3F5F2">
      <w:pPr>
        <w:pStyle w:val="28"/>
        <w:keepNext w:val="0"/>
        <w:keepLines w:val="0"/>
        <w:pageBreakBefore w:val="0"/>
        <w:widowControl/>
        <w:kinsoku/>
        <w:wordWrap/>
        <w:overflowPunct/>
        <w:topLinePunct w:val="0"/>
        <w:autoSpaceDE/>
        <w:autoSpaceDN/>
        <w:bidi w:val="0"/>
        <w:adjustRightInd/>
        <w:snapToGrid/>
        <w:spacing w:before="0" w:after="0" w:line="500" w:lineRule="exact"/>
        <w:jc w:val="center"/>
        <w:textAlignment w:val="auto"/>
        <w:rPr>
          <w:rFonts w:hint="eastAsia"/>
          <w:b/>
          <w:bCs/>
          <w:sz w:val="32"/>
          <w:szCs w:val="32"/>
          <w:lang w:eastAsia="zh-CN"/>
        </w:rPr>
      </w:pPr>
      <w:r>
        <w:rPr>
          <w:rFonts w:hint="eastAsia"/>
          <w:b/>
          <w:bCs/>
          <w:sz w:val="32"/>
          <w:szCs w:val="32"/>
          <w:lang w:eastAsia="zh-CN"/>
        </w:rPr>
        <w:t>竞争性磋商公告</w:t>
      </w:r>
    </w:p>
    <w:p w14:paraId="4A208649">
      <w:pPr>
        <w:pStyle w:val="30"/>
        <w:rPr>
          <w:rFonts w:hint="eastAsia"/>
          <w:lang w:eastAsia="zh-CN"/>
        </w:rPr>
      </w:pPr>
    </w:p>
    <w:p w14:paraId="410207BE">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项</w:t>
      </w:r>
      <w:r>
        <w:rPr>
          <w:rFonts w:hint="eastAsia" w:ascii="宋体" w:hAnsi="宋体" w:eastAsia="宋体" w:cs="宋体"/>
          <w:sz w:val="24"/>
          <w:szCs w:val="24"/>
        </w:rPr>
        <w:t>目概况</w:t>
      </w:r>
    </w:p>
    <w:p w14:paraId="48B87DF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息县发展和改革委员会南信合高铁息县站站区规划费用项目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（全国公共资源交易平台（河南省·息县）</w:t>
      </w:r>
      <w:r>
        <w:rPr>
          <w:rFonts w:hint="eastAsia" w:ascii="宋体" w:hAnsi="宋体" w:eastAsia="宋体" w:cs="宋体"/>
          <w:b w:val="0"/>
          <w:bCs/>
          <w:i w:val="0"/>
          <w:iCs w:val="0"/>
          <w:sz w:val="24"/>
          <w:szCs w:val="24"/>
          <w:highlight w:val="none"/>
          <w:u w:val="single"/>
          <w:lang w:eastAsia="zh-CN"/>
        </w:rPr>
        <w:t>http://ggzyjy.xinyang.gov.cn/xixian/</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2025 </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3 </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11 </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14 </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30 </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154D2B0D">
      <w:pPr>
        <w:pStyle w:val="7"/>
        <w:pageBreakBefore w:val="0"/>
        <w:widowControl w:val="0"/>
        <w:tabs>
          <w:tab w:val="left" w:pos="525"/>
        </w:tabs>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val="0"/>
          <w:sz w:val="24"/>
          <w:szCs w:val="24"/>
          <w:highlight w:val="none"/>
        </w:rPr>
      </w:pPr>
      <w:bookmarkStart w:id="6" w:name="_Toc35393798"/>
      <w:bookmarkStart w:id="7" w:name="_Toc24425"/>
      <w:bookmarkStart w:id="8" w:name="_Toc28359089"/>
      <w:bookmarkStart w:id="9" w:name="_Toc13077"/>
      <w:bookmarkStart w:id="10" w:name="_Toc13689"/>
      <w:bookmarkStart w:id="11" w:name="_Toc30364"/>
      <w:bookmarkStart w:id="12" w:name="_Toc35393629"/>
      <w:bookmarkStart w:id="13" w:name="_Toc28359012"/>
      <w:bookmarkStart w:id="14" w:name="_Toc27258"/>
      <w:bookmarkStart w:id="15" w:name="_Toc12313"/>
      <w:bookmarkStart w:id="16" w:name="_Toc18501"/>
      <w:bookmarkStart w:id="17" w:name="_Toc19595"/>
      <w:bookmarkStart w:id="18" w:name="_Toc1732"/>
      <w:r>
        <w:rPr>
          <w:rFonts w:hint="eastAsia" w:ascii="宋体" w:hAnsi="宋体" w:eastAsia="宋体" w:cs="宋体"/>
          <w:b w:val="0"/>
          <w:sz w:val="24"/>
          <w:szCs w:val="24"/>
          <w:highlight w:val="none"/>
        </w:rPr>
        <w:t>一、项目基本情况</w:t>
      </w:r>
      <w:bookmarkEnd w:id="6"/>
      <w:bookmarkEnd w:id="7"/>
      <w:bookmarkEnd w:id="8"/>
      <w:bookmarkEnd w:id="9"/>
      <w:bookmarkEnd w:id="10"/>
      <w:bookmarkEnd w:id="11"/>
      <w:bookmarkEnd w:id="12"/>
      <w:bookmarkEnd w:id="13"/>
      <w:bookmarkEnd w:id="14"/>
      <w:bookmarkEnd w:id="15"/>
      <w:bookmarkEnd w:id="16"/>
      <w:bookmarkEnd w:id="17"/>
      <w:bookmarkEnd w:id="18"/>
    </w:p>
    <w:p w14:paraId="25998C19">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：息财磋商-202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p w14:paraId="6EABB02C">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息县发展和改革委员会南信合高铁息县站站区规划费用项目</w:t>
      </w:r>
    </w:p>
    <w:p w14:paraId="4CA8C0DF">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w:t>
      </w:r>
      <w:r>
        <w:rPr>
          <w:rFonts w:hint="eastAsia" w:ascii="宋体" w:hAnsi="宋体" w:eastAsia="宋体" w:cs="宋体"/>
          <w:sz w:val="24"/>
          <w:szCs w:val="24"/>
          <w:lang w:eastAsia="zh-CN"/>
        </w:rPr>
        <w:t>竞争性磋商</w:t>
      </w:r>
    </w:p>
    <w:p w14:paraId="148DA029">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1786000.00</w:t>
      </w:r>
      <w:r>
        <w:rPr>
          <w:rFonts w:hint="eastAsia" w:ascii="宋体" w:hAnsi="宋体" w:eastAsia="宋体" w:cs="宋体"/>
          <w:color w:val="auto"/>
          <w:sz w:val="24"/>
          <w:szCs w:val="24"/>
          <w:highlight w:val="none"/>
        </w:rPr>
        <w:t xml:space="preserve">元 </w:t>
      </w:r>
    </w:p>
    <w:p w14:paraId="6A037792">
      <w:pPr>
        <w:keepNext w:val="0"/>
        <w:keepLines w:val="0"/>
        <w:pageBreakBefore w:val="0"/>
        <w:widowControl w:val="0"/>
        <w:kinsoku/>
        <w:wordWrap/>
        <w:overflowPunct/>
        <w:topLinePunct w:val="0"/>
        <w:autoSpaceDE/>
        <w:autoSpaceDN/>
        <w:bidi w:val="0"/>
        <w:adjustRightInd/>
        <w:snapToGrid/>
        <w:spacing w:line="500" w:lineRule="exact"/>
        <w:ind w:left="0" w:leftChars="0" w:firstLine="784" w:firstLineChars="32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1786000.00</w:t>
      </w:r>
      <w:r>
        <w:rPr>
          <w:rFonts w:hint="eastAsia" w:ascii="宋体" w:hAnsi="宋体" w:eastAsia="宋体" w:cs="宋体"/>
          <w:color w:val="auto"/>
          <w:sz w:val="24"/>
          <w:szCs w:val="24"/>
          <w:highlight w:val="none"/>
        </w:rPr>
        <w:t>元</w:t>
      </w:r>
    </w:p>
    <w:tbl>
      <w:tblPr>
        <w:tblStyle w:val="24"/>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6"/>
        <w:gridCol w:w="3198"/>
        <w:gridCol w:w="1515"/>
        <w:gridCol w:w="1920"/>
      </w:tblGrid>
      <w:tr w14:paraId="404C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7" w:type="dxa"/>
          </w:tcPr>
          <w:p w14:paraId="64CCDD90">
            <w:pPr>
              <w:pStyle w:val="2"/>
              <w:ind w:left="0" w:leftChars="0" w:firstLine="0" w:firstLineChars="0"/>
              <w:jc w:val="both"/>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序号</w:t>
            </w:r>
          </w:p>
        </w:tc>
        <w:tc>
          <w:tcPr>
            <w:tcW w:w="2616" w:type="dxa"/>
          </w:tcPr>
          <w:p w14:paraId="444CDCB3">
            <w:pPr>
              <w:pStyle w:val="2"/>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包号</w:t>
            </w:r>
          </w:p>
        </w:tc>
        <w:tc>
          <w:tcPr>
            <w:tcW w:w="3198" w:type="dxa"/>
          </w:tcPr>
          <w:p w14:paraId="589BB180">
            <w:pPr>
              <w:pStyle w:val="2"/>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包名称</w:t>
            </w:r>
          </w:p>
        </w:tc>
        <w:tc>
          <w:tcPr>
            <w:tcW w:w="1515" w:type="dxa"/>
          </w:tcPr>
          <w:p w14:paraId="27D40A2F">
            <w:pPr>
              <w:pStyle w:val="2"/>
              <w:ind w:left="0" w:leftChars="0" w:firstLine="0" w:firstLineChars="0"/>
              <w:jc w:val="both"/>
              <w:rPr>
                <w:rFonts w:hint="eastAsia" w:eastAsiaTheme="minorEastAsia"/>
                <w:color w:val="auto"/>
                <w:sz w:val="24"/>
                <w:szCs w:val="24"/>
                <w:vertAlign w:val="baseline"/>
                <w:lang w:eastAsia="zh-CN"/>
              </w:rPr>
            </w:pPr>
            <w:r>
              <w:rPr>
                <w:rFonts w:hint="eastAsia"/>
                <w:color w:val="auto"/>
                <w:sz w:val="24"/>
                <w:szCs w:val="24"/>
                <w:vertAlign w:val="baseline"/>
                <w:lang w:eastAsia="zh-CN"/>
              </w:rPr>
              <w:t>包预算（元）</w:t>
            </w:r>
          </w:p>
        </w:tc>
        <w:tc>
          <w:tcPr>
            <w:tcW w:w="1920" w:type="dxa"/>
          </w:tcPr>
          <w:p w14:paraId="73B0F3D8">
            <w:pPr>
              <w:pStyle w:val="2"/>
              <w:ind w:left="0" w:leftChars="0" w:firstLine="0" w:firstLineChars="0"/>
              <w:jc w:val="both"/>
              <w:rPr>
                <w:rFonts w:hint="eastAsia" w:eastAsiaTheme="minorEastAsia"/>
                <w:color w:val="auto"/>
                <w:sz w:val="24"/>
                <w:szCs w:val="24"/>
                <w:vertAlign w:val="baseline"/>
                <w:lang w:eastAsia="zh-CN"/>
              </w:rPr>
            </w:pPr>
            <w:r>
              <w:rPr>
                <w:rFonts w:hint="eastAsia"/>
                <w:color w:val="auto"/>
                <w:sz w:val="24"/>
                <w:szCs w:val="24"/>
                <w:vertAlign w:val="baseline"/>
                <w:lang w:eastAsia="zh-CN"/>
              </w:rPr>
              <w:t>包最高限价（元）</w:t>
            </w:r>
          </w:p>
        </w:tc>
      </w:tr>
      <w:tr w14:paraId="196B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17" w:type="dxa"/>
          </w:tcPr>
          <w:p w14:paraId="0A1E203A">
            <w:pPr>
              <w:pStyle w:val="2"/>
              <w:rPr>
                <w:rFonts w:hint="eastAsia" w:eastAsiaTheme="minorEastAsia"/>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616" w:type="dxa"/>
          </w:tcPr>
          <w:p w14:paraId="61359C41">
            <w:pPr>
              <w:pStyle w:val="2"/>
              <w:ind w:left="0" w:leftChars="0" w:firstLine="0" w:firstLineChars="0"/>
              <w:rPr>
                <w:rFonts w:hint="default" w:eastAsia="宋体"/>
                <w:color w:val="auto"/>
                <w:sz w:val="24"/>
                <w:szCs w:val="24"/>
                <w:vertAlign w:val="baseline"/>
                <w:lang w:val="en-US" w:eastAsia="zh-CN"/>
              </w:rPr>
            </w:pPr>
            <w:r>
              <w:rPr>
                <w:rFonts w:hint="eastAsia" w:ascii="宋体" w:hAnsi="宋体" w:eastAsia="宋体" w:cs="宋体"/>
                <w:color w:val="auto"/>
                <w:sz w:val="24"/>
                <w:szCs w:val="24"/>
                <w:highlight w:val="none"/>
              </w:rPr>
              <w:t>息财磋商-202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3198" w:type="dxa"/>
            <w:vAlign w:val="center"/>
          </w:tcPr>
          <w:p w14:paraId="62E77BDB">
            <w:pPr>
              <w:pStyle w:val="2"/>
              <w:spacing w:line="240" w:lineRule="auto"/>
              <w:ind w:left="0" w:leftChars="0" w:firstLine="0" w:firstLineChars="0"/>
              <w:jc w:val="center"/>
              <w:rPr>
                <w:rFonts w:hint="eastAsia"/>
                <w:color w:val="auto"/>
                <w:sz w:val="24"/>
                <w:szCs w:val="24"/>
                <w:vertAlign w:val="baseline"/>
              </w:rPr>
            </w:pPr>
            <w:r>
              <w:rPr>
                <w:rFonts w:hint="eastAsia" w:ascii="宋体" w:hAnsi="宋体" w:eastAsia="宋体" w:cs="宋体"/>
                <w:color w:val="auto"/>
                <w:sz w:val="24"/>
                <w:szCs w:val="24"/>
                <w:highlight w:val="none"/>
                <w:lang w:eastAsia="zh-CN"/>
              </w:rPr>
              <w:t>息县发展和改革委员会南信合高铁息县站站区规划费用项目</w:t>
            </w:r>
          </w:p>
        </w:tc>
        <w:tc>
          <w:tcPr>
            <w:tcW w:w="1515" w:type="dxa"/>
          </w:tcPr>
          <w:p w14:paraId="13A6C4E6">
            <w:pPr>
              <w:ind w:left="0" w:leftChars="0" w:firstLine="0" w:firstLineChars="0"/>
              <w:jc w:val="center"/>
              <w:rPr>
                <w:rFonts w:hint="default" w:eastAsiaTheme="minorEastAsia"/>
                <w:color w:val="auto"/>
                <w:sz w:val="24"/>
                <w:szCs w:val="24"/>
                <w:vertAlign w:val="baseline"/>
                <w:lang w:val="en-US" w:eastAsia="zh-CN"/>
              </w:rPr>
            </w:pPr>
            <w:r>
              <w:rPr>
                <w:rFonts w:hint="eastAsia" w:ascii="宋体" w:hAnsi="宋体" w:eastAsia="宋体" w:cs="宋体"/>
                <w:color w:val="auto"/>
                <w:sz w:val="24"/>
                <w:szCs w:val="24"/>
                <w:highlight w:val="none"/>
                <w:lang w:val="en-US" w:eastAsia="zh-CN"/>
              </w:rPr>
              <w:t>1786000.00</w:t>
            </w:r>
          </w:p>
        </w:tc>
        <w:tc>
          <w:tcPr>
            <w:tcW w:w="1920" w:type="dxa"/>
          </w:tcPr>
          <w:p w14:paraId="7E03E578">
            <w:pPr>
              <w:ind w:left="0" w:leftChars="0" w:firstLine="0" w:firstLineChars="0"/>
              <w:jc w:val="center"/>
              <w:rPr>
                <w:rFonts w:hint="eastAsia"/>
                <w:color w:val="auto"/>
                <w:sz w:val="24"/>
                <w:szCs w:val="24"/>
                <w:vertAlign w:val="baseline"/>
              </w:rPr>
            </w:pPr>
            <w:r>
              <w:rPr>
                <w:rFonts w:hint="eastAsia" w:ascii="宋体" w:hAnsi="宋体" w:eastAsia="宋体" w:cs="宋体"/>
                <w:color w:val="auto"/>
                <w:sz w:val="24"/>
                <w:szCs w:val="24"/>
                <w:highlight w:val="none"/>
                <w:lang w:val="en-US" w:eastAsia="zh-CN"/>
              </w:rPr>
              <w:t>1786000.00</w:t>
            </w:r>
          </w:p>
        </w:tc>
      </w:tr>
    </w:tbl>
    <w:p w14:paraId="4F92BACD">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5.采购需求：</w:t>
      </w:r>
    </w:p>
    <w:p w14:paraId="4D486DDD">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lang w:eastAsia="zh-CN"/>
        </w:rPr>
      </w:pPr>
      <w:r>
        <w:rPr>
          <w:rFonts w:hint="eastAsia" w:ascii="宋体" w:hAnsi="宋体" w:cs="宋体"/>
          <w:sz w:val="24"/>
          <w:highlight w:val="none"/>
        </w:rPr>
        <w:t>5.1</w:t>
      </w:r>
      <w:r>
        <w:rPr>
          <w:rFonts w:hint="eastAsia" w:ascii="宋体" w:hAnsi="宋体" w:cs="宋体"/>
          <w:sz w:val="24"/>
          <w:highlight w:val="none"/>
          <w:lang w:eastAsia="zh-CN"/>
        </w:rPr>
        <w:t>磋商</w:t>
      </w:r>
      <w:r>
        <w:rPr>
          <w:rFonts w:hint="eastAsia" w:ascii="宋体" w:hAnsi="宋体" w:cs="宋体"/>
          <w:sz w:val="24"/>
          <w:highlight w:val="none"/>
        </w:rPr>
        <w:t>内容：</w:t>
      </w:r>
      <w:r>
        <w:rPr>
          <w:rFonts w:hint="eastAsia" w:ascii="宋体" w:hAnsi="宋体" w:cs="宋体"/>
          <w:sz w:val="24"/>
          <w:highlight w:val="none"/>
          <w:lang w:eastAsia="zh-CN"/>
        </w:rPr>
        <w:t>息县发展和改革委员会南信合高铁息县站站区规划，包含(1)高铁站区概念性城市设计(约3.0Km2)(2)站前广场概念性方案研究(3)涉铁通道专题研究等</w:t>
      </w:r>
    </w:p>
    <w:p w14:paraId="75EC7F44">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lang w:val="en-US" w:eastAsia="zh-CN"/>
        </w:rPr>
        <w:t>5.2</w:t>
      </w:r>
      <w:r>
        <w:rPr>
          <w:rFonts w:hint="eastAsia" w:ascii="宋体" w:hAnsi="宋体" w:cs="宋体"/>
          <w:sz w:val="24"/>
          <w:highlight w:val="none"/>
        </w:rPr>
        <w:t>资金来源：财政资金，已落实</w:t>
      </w:r>
    </w:p>
    <w:p w14:paraId="1D18F19C">
      <w:pPr>
        <w:pageBreakBefore w:val="0"/>
        <w:kinsoku/>
        <w:wordWrap/>
        <w:overflowPunct/>
        <w:topLinePunct w:val="0"/>
        <w:autoSpaceDE/>
        <w:autoSpaceDN/>
        <w:bidi w:val="0"/>
        <w:adjustRightInd/>
        <w:snapToGrid/>
        <w:spacing w:line="500" w:lineRule="exact"/>
        <w:ind w:firstLine="638" w:firstLineChars="266"/>
        <w:jc w:val="left"/>
        <w:textAlignment w:val="auto"/>
        <w:rPr>
          <w:rFonts w:hint="default" w:ascii="宋体" w:hAnsi="宋体" w:cs="宋体" w:eastAsiaTheme="minorEastAsia"/>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自合同签订后180日内</w:t>
      </w:r>
    </w:p>
    <w:p w14:paraId="1052B69D">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5.4质量要求：符合国家现行相关规范及标准要求，确保通过各相关部门审查</w:t>
      </w:r>
    </w:p>
    <w:p w14:paraId="13C3C962">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5.5标段划分：本项目共划分为1个标段</w:t>
      </w:r>
    </w:p>
    <w:p w14:paraId="32EB0C17">
      <w:pPr>
        <w:spacing w:line="500" w:lineRule="exact"/>
        <w:ind w:left="0" w:leftChars="0" w:firstLine="420" w:firstLineChars="175"/>
        <w:jc w:val="left"/>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自合同签订后180日内</w:t>
      </w:r>
    </w:p>
    <w:p w14:paraId="31D902D0">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7.本项目（是/否）接受联合体投标：否</w:t>
      </w:r>
    </w:p>
    <w:p w14:paraId="7CEED48D">
      <w:pPr>
        <w:pStyle w:val="2"/>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14:paraId="38084F70">
      <w:pPr>
        <w:pStyle w:val="2"/>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9.是否专门面向中小企业：否</w:t>
      </w:r>
    </w:p>
    <w:p w14:paraId="56064EB3">
      <w:pPr>
        <w:pStyle w:val="7"/>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highlight w:val="none"/>
        </w:rPr>
      </w:pPr>
      <w:bookmarkStart w:id="19" w:name="_Toc8368"/>
      <w:bookmarkStart w:id="20" w:name="_Toc22314"/>
      <w:bookmarkStart w:id="21" w:name="_Toc30543"/>
      <w:bookmarkStart w:id="22" w:name="_Toc18864"/>
      <w:bookmarkStart w:id="23" w:name="_Toc12712"/>
      <w:bookmarkStart w:id="24" w:name="_Toc19866"/>
      <w:bookmarkStart w:id="25" w:name="_Toc35393630"/>
      <w:bookmarkStart w:id="26" w:name="_Toc5017"/>
      <w:bookmarkStart w:id="27" w:name="_Toc28359090"/>
      <w:bookmarkStart w:id="28" w:name="_Toc35393799"/>
      <w:bookmarkStart w:id="29" w:name="_Toc8367"/>
      <w:bookmarkStart w:id="30" w:name="_Toc11451"/>
      <w:bookmarkStart w:id="31" w:name="_Toc28359013"/>
      <w:r>
        <w:rPr>
          <w:rFonts w:hint="eastAsia" w:ascii="宋体" w:hAnsi="宋体" w:eastAsia="宋体" w:cs="宋体"/>
          <w:b w:val="0"/>
          <w:sz w:val="24"/>
          <w:szCs w:val="24"/>
          <w:highlight w:val="none"/>
        </w:rPr>
        <w:t>二、申请人的资格要求</w:t>
      </w:r>
      <w:bookmarkEnd w:id="19"/>
      <w:bookmarkEnd w:id="20"/>
      <w:bookmarkEnd w:id="21"/>
      <w:bookmarkEnd w:id="22"/>
      <w:bookmarkEnd w:id="23"/>
      <w:bookmarkEnd w:id="24"/>
      <w:bookmarkEnd w:id="25"/>
      <w:bookmarkEnd w:id="26"/>
      <w:bookmarkEnd w:id="27"/>
      <w:bookmarkEnd w:id="28"/>
      <w:bookmarkEnd w:id="29"/>
      <w:bookmarkEnd w:id="30"/>
      <w:bookmarkEnd w:id="31"/>
    </w:p>
    <w:p w14:paraId="5EFC82DF">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1BCCD3EA">
      <w:pPr>
        <w:pStyle w:val="21"/>
        <w:keepNext w:val="0"/>
        <w:keepLines w:val="0"/>
        <w:pageBreakBefore w:val="0"/>
        <w:widowControl w:val="0"/>
        <w:kinsoku/>
        <w:overflowPunct/>
        <w:topLinePunct w:val="0"/>
        <w:autoSpaceDE/>
        <w:autoSpaceDN/>
        <w:bidi w:val="0"/>
        <w:snapToGrid/>
        <w:spacing w:before="0" w:beforeAutospacing="0" w:after="0" w:afterAutospacing="0"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rPr>
        <w:t>2.落实政府采购政策需满足的资格要求：</w:t>
      </w:r>
      <w:r>
        <w:rPr>
          <w:rFonts w:hint="eastAsia" w:ascii="宋体" w:hAnsi="宋体" w:eastAsia="宋体" w:cs="宋体"/>
          <w:b/>
          <w:bCs/>
          <w:color w:val="auto"/>
          <w:sz w:val="24"/>
          <w:szCs w:val="24"/>
          <w:highlight w:val="none"/>
          <w:lang w:val="en-US" w:eastAsia="zh-CN"/>
        </w:rPr>
        <w:t>本项目</w:t>
      </w:r>
      <w:r>
        <w:rPr>
          <w:rFonts w:hint="eastAsia" w:eastAsia="宋体" w:cs="宋体"/>
          <w:b/>
          <w:bCs/>
          <w:color w:val="auto"/>
          <w:sz w:val="24"/>
          <w:szCs w:val="24"/>
          <w:highlight w:val="none"/>
          <w:lang w:val="en-US" w:eastAsia="zh-CN"/>
        </w:rPr>
        <w:t>非</w:t>
      </w:r>
      <w:r>
        <w:rPr>
          <w:rFonts w:hint="eastAsia" w:ascii="宋体" w:hAnsi="宋体" w:eastAsia="宋体" w:cs="宋体"/>
          <w:b/>
          <w:bCs/>
          <w:color w:val="auto"/>
          <w:sz w:val="24"/>
          <w:szCs w:val="24"/>
          <w:highlight w:val="none"/>
          <w:lang w:val="en-US" w:eastAsia="zh-CN"/>
        </w:rPr>
        <w:t>专门面向中小企业采购。</w:t>
      </w:r>
    </w:p>
    <w:p w14:paraId="1D55784E">
      <w:pPr>
        <w:spacing w:line="500" w:lineRule="exact"/>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本项目落实自主创新产业发展、绿色发展、节能环保、保护环境、扶持不发达地区和少数民族地区、促进中小微企业、监狱企业及残疾人福利性单位发展等政府采购政策。</w:t>
      </w:r>
    </w:p>
    <w:p w14:paraId="3DB3F346">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3.本项目的特定资格要求：</w:t>
      </w:r>
    </w:p>
    <w:p w14:paraId="2F632F01">
      <w:pPr>
        <w:pStyle w:val="7"/>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eastAsia="宋体" w:cs="宋体"/>
          <w:b w:val="0"/>
          <w:bCs/>
          <w:sz w:val="24"/>
          <w:szCs w:val="24"/>
          <w:highlight w:val="none"/>
          <w:lang w:val="en-US" w:eastAsia="zh-CN"/>
        </w:rPr>
      </w:pPr>
      <w:bookmarkStart w:id="32" w:name="_Toc32073"/>
      <w:bookmarkStart w:id="33" w:name="_Toc7836"/>
      <w:bookmarkStart w:id="34" w:name="_Toc7135"/>
      <w:r>
        <w:rPr>
          <w:rFonts w:hint="eastAsia" w:eastAsia="宋体" w:cs="宋体"/>
          <w:b w:val="0"/>
          <w:bCs/>
          <w:sz w:val="24"/>
          <w:szCs w:val="24"/>
          <w:highlight w:val="none"/>
          <w:lang w:val="en-US" w:eastAsia="zh-CN"/>
        </w:rPr>
        <w:t>3.1资质要求：供应商须具有国家建设行政主管部门核发的城乡规划编制甲级资质和工程设计综合甲级资质；拟派本项目负责人须同时具有注册城乡规划师执业资格证书和相关专业高级及以上职称，提供劳动合同和自2024年1月1日以来任意连续3个月在本单位缴纳社会保险证明。</w:t>
      </w:r>
    </w:p>
    <w:p w14:paraId="5BDDD42D">
      <w:pPr>
        <w:pStyle w:val="7"/>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eastAsia="宋体" w:cs="宋体"/>
          <w:bCs/>
          <w:sz w:val="24"/>
          <w:szCs w:val="24"/>
          <w:highlight w:val="none"/>
        </w:rPr>
      </w:pPr>
      <w:r>
        <w:rPr>
          <w:rFonts w:hint="eastAsia" w:eastAsia="宋体" w:cs="宋体"/>
          <w:b w:val="0"/>
          <w:bCs/>
          <w:sz w:val="24"/>
          <w:szCs w:val="24"/>
          <w:highlight w:val="none"/>
          <w:lang w:val="en-US" w:eastAsia="zh-CN"/>
        </w:rPr>
        <w:t>3.2</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32"/>
      <w:bookmarkEnd w:id="33"/>
      <w:bookmarkEnd w:id="34"/>
    </w:p>
    <w:p w14:paraId="679A915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3.3</w:t>
      </w:r>
      <w:r>
        <w:rPr>
          <w:rFonts w:hint="eastAsia" w:ascii="宋体" w:hAnsi="宋体" w:eastAsia="宋体" w:cs="宋体"/>
          <w:b w:val="0"/>
          <w:bCs w:val="0"/>
          <w:sz w:val="24"/>
          <w:szCs w:val="28"/>
          <w:highlight w:val="none"/>
        </w:rPr>
        <w:t>本项目适用信用承诺（详见下述要求）</w:t>
      </w:r>
    </w:p>
    <w:p w14:paraId="646AE606">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343C36D6">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r>
        <w:rPr>
          <w:rFonts w:hint="eastAsia" w:ascii="宋体" w:hAnsi="宋体" w:cs="宋体"/>
          <w:sz w:val="24"/>
          <w:szCs w:val="24"/>
          <w:highlight w:val="none"/>
        </w:rPr>
        <w:t>）；</w:t>
      </w:r>
    </w:p>
    <w:p w14:paraId="4E0F5839">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rPr>
        <w:t>依法免税供应商，应提供相应文件证明</w:t>
      </w:r>
      <w:r>
        <w:rPr>
          <w:rFonts w:hint="eastAsia" w:ascii="宋体" w:hAnsi="宋体" w:cs="宋体"/>
          <w:sz w:val="24"/>
          <w:szCs w:val="24"/>
          <w:highlight w:val="none"/>
        </w:rPr>
        <w:t>）；</w:t>
      </w:r>
    </w:p>
    <w:p w14:paraId="3D4BE75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rPr>
        <w:t>依法不需要缴纳社会保障资金的供应商，应提供相应文件证明</w:t>
      </w:r>
      <w:r>
        <w:rPr>
          <w:rFonts w:hint="eastAsia" w:ascii="宋体" w:hAnsi="宋体" w:cs="宋体"/>
          <w:sz w:val="24"/>
          <w:szCs w:val="24"/>
          <w:highlight w:val="none"/>
        </w:rPr>
        <w:t>）；</w:t>
      </w:r>
    </w:p>
    <w:p w14:paraId="28F4491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7EB0546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w:t>
      </w:r>
      <w:r>
        <w:rPr>
          <w:rFonts w:hint="eastAsia" w:ascii="宋体" w:hAnsi="宋体" w:cs="宋体"/>
          <w:sz w:val="24"/>
          <w:szCs w:val="24"/>
        </w:rPr>
        <w:t>（默认书面声明）</w:t>
      </w:r>
      <w:r>
        <w:rPr>
          <w:rFonts w:hint="eastAsia" w:ascii="宋体" w:hAnsi="宋体" w:cs="宋体"/>
          <w:sz w:val="24"/>
          <w:szCs w:val="24"/>
          <w:highlight w:val="none"/>
        </w:rPr>
        <w:t>；</w:t>
      </w:r>
    </w:p>
    <w:p w14:paraId="264C3A03">
      <w:pPr>
        <w:spacing w:line="500" w:lineRule="exact"/>
        <w:ind w:firstLine="480"/>
        <w:jc w:val="left"/>
        <w:rPr>
          <w:rFonts w:hint="eastAsia" w:ascii="宋体" w:hAnsi="宋体" w:eastAsia="宋体" w:cs="宋体"/>
          <w:b w:val="0"/>
          <w:bCs w:val="0"/>
          <w:sz w:val="24"/>
          <w:szCs w:val="24"/>
        </w:rPr>
      </w:pPr>
      <w:r>
        <w:rPr>
          <w:rFonts w:hint="eastAsia" w:ascii="宋体" w:hAnsi="宋体" w:cs="宋体"/>
          <w:sz w:val="24"/>
          <w:szCs w:val="24"/>
          <w:highlight w:val="none"/>
        </w:rPr>
        <w:t>⑥未被列入失信被执行人、重大税收违法案件当事人名单政府采购严重违法失信行为记录名单的证明材料。（默认</w:t>
      </w:r>
      <w:r>
        <w:rPr>
          <w:rFonts w:hint="eastAsia" w:ascii="宋体" w:hAnsi="宋体" w:cs="宋体"/>
          <w:sz w:val="24"/>
          <w:szCs w:val="24"/>
        </w:rPr>
        <w:t>网页截图</w:t>
      </w:r>
      <w:r>
        <w:rPr>
          <w:rFonts w:hint="eastAsia" w:ascii="宋体" w:hAnsi="宋体" w:cs="宋体"/>
          <w:sz w:val="24"/>
          <w:szCs w:val="24"/>
          <w:highlight w:val="none"/>
        </w:rPr>
        <w:t>）</w:t>
      </w:r>
    </w:p>
    <w:p w14:paraId="5BD0BF31">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59970D78">
      <w:pPr>
        <w:pStyle w:val="7"/>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35" w:name="_Toc8327"/>
      <w:bookmarkStart w:id="36" w:name="_Toc13112"/>
      <w:bookmarkStart w:id="37" w:name="_Toc22088"/>
      <w:bookmarkStart w:id="38" w:name="_Toc14044"/>
      <w:bookmarkStart w:id="39" w:name="_Toc27024"/>
      <w:bookmarkStart w:id="40" w:name="_Toc23704"/>
      <w:bookmarkStart w:id="41" w:name="_Toc28876"/>
      <w:bookmarkStart w:id="42" w:name="_Toc17803"/>
      <w:r>
        <w:rPr>
          <w:rFonts w:hint="eastAsia" w:ascii="宋体" w:hAnsi="宋体" w:eastAsia="宋体" w:cs="宋体"/>
          <w:b w:val="0"/>
          <w:sz w:val="24"/>
          <w:szCs w:val="24"/>
        </w:rPr>
        <w:t>三、获取采购文件</w:t>
      </w:r>
      <w:bookmarkEnd w:id="35"/>
      <w:bookmarkEnd w:id="36"/>
      <w:bookmarkEnd w:id="37"/>
      <w:bookmarkEnd w:id="38"/>
      <w:bookmarkEnd w:id="39"/>
      <w:bookmarkEnd w:id="40"/>
      <w:bookmarkEnd w:id="41"/>
      <w:bookmarkEnd w:id="42"/>
    </w:p>
    <w:p w14:paraId="7C86BE10">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 xml:space="preserve"> 2025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28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00时00分</w:t>
      </w:r>
      <w:r>
        <w:rPr>
          <w:rFonts w:hint="eastAsia" w:ascii="宋体" w:hAnsi="宋体" w:eastAsia="宋体" w:cs="宋体"/>
          <w:kern w:val="0"/>
          <w:sz w:val="24"/>
          <w:szCs w:val="24"/>
          <w:highlight w:val="none"/>
        </w:rPr>
        <w:t>至</w:t>
      </w:r>
      <w:r>
        <w:rPr>
          <w:rFonts w:hint="eastAsia" w:ascii="宋体" w:hAnsi="宋体" w:eastAsia="宋体" w:cs="宋体"/>
          <w:sz w:val="24"/>
          <w:szCs w:val="24"/>
          <w:highlight w:val="none"/>
          <w:u w:val="single"/>
          <w:lang w:val="en-US" w:eastAsia="zh-CN"/>
        </w:rPr>
        <w:t xml:space="preserve"> 2025</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3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06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422E1D28">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2.</w:t>
      </w:r>
      <w:r>
        <w:rPr>
          <w:rFonts w:hint="eastAsia" w:ascii="宋体" w:hAnsi="宋体" w:eastAsia="宋体" w:cs="宋体"/>
          <w:sz w:val="24"/>
          <w:szCs w:val="24"/>
        </w:rPr>
        <w:t>地点：全国公共资源交易平台（河南省·息县）官方网站</w:t>
      </w:r>
    </w:p>
    <w:p w14:paraId="4CA67479">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方式：</w:t>
      </w:r>
    </w:p>
    <w:p w14:paraId="4D0FEC5F">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3.1凡有意参加本项目的</w:t>
      </w:r>
      <w:r>
        <w:rPr>
          <w:rFonts w:hint="eastAsia" w:ascii="宋体" w:hAnsi="宋体" w:eastAsia="宋体" w:cs="宋体"/>
          <w:sz w:val="24"/>
          <w:szCs w:val="24"/>
          <w:lang w:eastAsia="zh-CN"/>
        </w:rPr>
        <w:t>投标供应商</w:t>
      </w:r>
      <w:r>
        <w:rPr>
          <w:rFonts w:hint="eastAsia" w:ascii="宋体" w:hAnsi="宋体" w:eastAsia="宋体" w:cs="宋体"/>
          <w:sz w:val="24"/>
          <w:szCs w:val="24"/>
        </w:rPr>
        <w:t>，请</w:t>
      </w:r>
      <w:r>
        <w:rPr>
          <w:rFonts w:hint="eastAsia" w:ascii="宋体" w:hAnsi="宋体" w:eastAsia="宋体" w:cs="宋体"/>
          <w:sz w:val="24"/>
          <w:szCs w:val="24"/>
          <w:lang w:eastAsia="zh-CN"/>
        </w:rPr>
        <w:t>登录</w:t>
      </w:r>
      <w:r>
        <w:rPr>
          <w:rFonts w:hint="eastAsia" w:ascii="宋体" w:hAnsi="宋体" w:eastAsia="宋体" w:cs="宋体"/>
          <w:sz w:val="24"/>
          <w:szCs w:val="24"/>
        </w:rPr>
        <w:t>“信阳市公共资源交易中心（</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）”网站进行交易主体自主注册，按网站公告通知有关要求填报企业信息并上传有关原件扫描件，不需携带原件到信阳市公共资源交易中心进行审核。</w:t>
      </w:r>
    </w:p>
    <w:p w14:paraId="1D3B54DB">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3.2完成企业诚信库注册后，必须办理CA数字证书方可在网上办理招投标相关业务。</w:t>
      </w:r>
      <w:r>
        <w:rPr>
          <w:rFonts w:hint="eastAsia" w:ascii="宋体" w:hAnsi="宋体" w:eastAsia="宋体" w:cs="宋体"/>
          <w:sz w:val="24"/>
          <w:szCs w:val="24"/>
          <w:lang w:eastAsia="zh-CN"/>
        </w:rPr>
        <w:t>投标供应商</w:t>
      </w:r>
      <w:r>
        <w:rPr>
          <w:rFonts w:hint="eastAsia" w:ascii="宋体" w:hAnsi="宋体" w:eastAsia="宋体" w:cs="宋体"/>
          <w:sz w:val="24"/>
          <w:szCs w:val="24"/>
        </w:rPr>
        <w:t>根据息县公共资源交易网下载中心有关办理CA数字证书的要求，准备好CA办理所需资料，到信阳市公共资源交易中心CA窗口现场办理CA数字证书。</w:t>
      </w:r>
    </w:p>
    <w:p w14:paraId="302FB22C">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eastAsia="zh-CN"/>
        </w:rPr>
        <w:t>投标供应商</w:t>
      </w:r>
      <w:r>
        <w:rPr>
          <w:rFonts w:hint="eastAsia" w:ascii="宋体" w:hAnsi="宋体" w:eastAsia="宋体" w:cs="宋体"/>
          <w:sz w:val="24"/>
          <w:szCs w:val="24"/>
        </w:rPr>
        <w:t>凭CA数字证书</w:t>
      </w:r>
      <w:r>
        <w:rPr>
          <w:rFonts w:hint="eastAsia" w:ascii="宋体" w:hAnsi="宋体" w:eastAsia="宋体" w:cs="宋体"/>
          <w:sz w:val="24"/>
          <w:szCs w:val="24"/>
          <w:lang w:eastAsia="zh-CN"/>
        </w:rPr>
        <w:t>登录</w:t>
      </w:r>
      <w:r>
        <w:rPr>
          <w:rFonts w:hint="eastAsia" w:ascii="宋体" w:hAnsi="宋体" w:eastAsia="宋体" w:cs="宋体"/>
          <w:sz w:val="24"/>
          <w:szCs w:val="24"/>
        </w:rPr>
        <w:t>会员系统后，即可按网上提示下载招标文件及资料（操作程序详见信阳市公共资源交易中心网站下载中心栏目里</w:t>
      </w:r>
      <w:r>
        <w:rPr>
          <w:rFonts w:hint="eastAsia" w:ascii="宋体" w:hAnsi="宋体" w:eastAsia="宋体" w:cs="宋体"/>
          <w:sz w:val="24"/>
          <w:szCs w:val="24"/>
          <w:lang w:eastAsia="zh-CN"/>
        </w:rPr>
        <w:t>投标供应商</w:t>
      </w:r>
      <w:r>
        <w:rPr>
          <w:rFonts w:hint="eastAsia" w:ascii="宋体" w:hAnsi="宋体" w:eastAsia="宋体" w:cs="宋体"/>
          <w:sz w:val="24"/>
          <w:szCs w:val="24"/>
        </w:rPr>
        <w:t>操作手册）。招标文件(*.XYZF格式)下载后需使用“信阳市投标文件制作工具软件”打开（该工具软件可在“信阳市公共资源交易网</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”网站下载中心栏目内下载或招标文件领取页面下载）。</w:t>
      </w:r>
    </w:p>
    <w:p w14:paraId="06E8BB74">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4.售价：0元/份。</w:t>
      </w:r>
    </w:p>
    <w:p w14:paraId="6D57D663">
      <w:pPr>
        <w:pStyle w:val="7"/>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highlight w:val="none"/>
        </w:rPr>
      </w:pPr>
      <w:bookmarkStart w:id="43" w:name="_Toc25172"/>
      <w:bookmarkStart w:id="44" w:name="_Toc35393801"/>
      <w:bookmarkStart w:id="45" w:name="_Toc15454"/>
      <w:bookmarkStart w:id="46" w:name="_Toc4347"/>
      <w:bookmarkStart w:id="47" w:name="_Toc296"/>
      <w:bookmarkStart w:id="48" w:name="_Toc13005"/>
      <w:bookmarkStart w:id="49" w:name="_Toc12880"/>
      <w:bookmarkStart w:id="50" w:name="_Toc28359015"/>
      <w:bookmarkStart w:id="51" w:name="_Toc21396"/>
      <w:bookmarkStart w:id="52" w:name="_Toc17930"/>
      <w:bookmarkStart w:id="53" w:name="_Toc28359092"/>
      <w:bookmarkStart w:id="54" w:name="_Toc35393632"/>
      <w:bookmarkStart w:id="55" w:name="_Toc7673"/>
      <w:r>
        <w:rPr>
          <w:rFonts w:hint="eastAsia" w:ascii="宋体" w:hAnsi="宋体" w:eastAsia="宋体" w:cs="宋体"/>
          <w:b w:val="0"/>
          <w:sz w:val="24"/>
          <w:szCs w:val="24"/>
          <w:highlight w:val="none"/>
        </w:rPr>
        <w:t>四、响应文件提交</w:t>
      </w:r>
      <w:bookmarkEnd w:id="43"/>
      <w:bookmarkEnd w:id="44"/>
      <w:bookmarkEnd w:id="45"/>
      <w:bookmarkEnd w:id="46"/>
      <w:bookmarkEnd w:id="47"/>
      <w:bookmarkEnd w:id="48"/>
      <w:bookmarkEnd w:id="49"/>
      <w:bookmarkEnd w:id="50"/>
      <w:bookmarkEnd w:id="51"/>
      <w:bookmarkEnd w:id="52"/>
      <w:bookmarkEnd w:id="53"/>
      <w:bookmarkEnd w:id="54"/>
      <w:bookmarkEnd w:id="55"/>
    </w:p>
    <w:p w14:paraId="3EAFEB77">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none"/>
        </w:rPr>
      </w:pPr>
      <w:bookmarkStart w:id="56" w:name="_Toc28020"/>
      <w:bookmarkStart w:id="57" w:name="_Toc13915"/>
      <w:bookmarkStart w:id="58" w:name="_Toc31312"/>
      <w:bookmarkStart w:id="59" w:name="_Toc35393802"/>
      <w:bookmarkStart w:id="60" w:name="_Toc28359093"/>
      <w:bookmarkStart w:id="61" w:name="_Toc12139"/>
      <w:bookmarkStart w:id="62" w:name="_Toc26030"/>
      <w:bookmarkStart w:id="63" w:name="_Toc32160"/>
      <w:bookmarkStart w:id="64" w:name="_Toc28359016"/>
      <w:bookmarkStart w:id="65" w:name="_Toc35393633"/>
      <w:bookmarkStart w:id="66" w:name="_Toc9779"/>
      <w:bookmarkStart w:id="67" w:name="_Toc14105"/>
      <w:r>
        <w:rPr>
          <w:rFonts w:hint="eastAsia" w:ascii="宋体" w:hAnsi="宋体" w:eastAsia="宋体" w:cs="宋体"/>
          <w:sz w:val="24"/>
          <w:szCs w:val="28"/>
          <w:highlight w:val="none"/>
        </w:rPr>
        <w:t>1.时间：</w:t>
      </w:r>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3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11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14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bookmarkEnd w:id="56"/>
      <w:bookmarkEnd w:id="57"/>
      <w:bookmarkEnd w:id="58"/>
    </w:p>
    <w:p w14:paraId="1C2F477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none"/>
        </w:rPr>
      </w:pPr>
      <w:bookmarkStart w:id="68" w:name="_Toc20841"/>
      <w:bookmarkStart w:id="69" w:name="_Toc19561"/>
      <w:bookmarkStart w:id="70" w:name="_Toc18177"/>
      <w:r>
        <w:rPr>
          <w:rFonts w:hint="eastAsia" w:ascii="宋体" w:hAnsi="宋体" w:eastAsia="宋体" w:cs="宋体"/>
          <w:sz w:val="24"/>
          <w:szCs w:val="28"/>
          <w:highlight w:val="none"/>
        </w:rPr>
        <w:t>2.地点：</w:t>
      </w:r>
      <w:bookmarkEnd w:id="68"/>
      <w:r>
        <w:rPr>
          <w:rFonts w:hint="eastAsia" w:ascii="宋体" w:hAnsi="宋体" w:eastAsia="宋体" w:cs="宋体"/>
          <w:sz w:val="24"/>
          <w:szCs w:val="28"/>
          <w:highlight w:val="none"/>
        </w:rPr>
        <w:t>全国公共资源交易平台（河南省·息县）不见面开标大厅</w:t>
      </w:r>
      <w:bookmarkEnd w:id="69"/>
      <w:bookmarkEnd w:id="70"/>
    </w:p>
    <w:p w14:paraId="5D9221DF">
      <w:pPr>
        <w:pStyle w:val="7"/>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highlight w:val="none"/>
        </w:rPr>
      </w:pPr>
      <w:bookmarkStart w:id="71" w:name="_Toc11467"/>
      <w:bookmarkStart w:id="72" w:name="_Toc25454"/>
      <w:r>
        <w:rPr>
          <w:rFonts w:hint="eastAsia" w:ascii="宋体" w:hAnsi="宋体" w:eastAsia="宋体" w:cs="宋体"/>
          <w:b w:val="0"/>
          <w:sz w:val="24"/>
          <w:szCs w:val="24"/>
          <w:highlight w:val="none"/>
        </w:rPr>
        <w:t>五、开启</w:t>
      </w:r>
      <w:bookmarkEnd w:id="59"/>
      <w:bookmarkEnd w:id="60"/>
      <w:bookmarkEnd w:id="61"/>
      <w:bookmarkEnd w:id="62"/>
      <w:bookmarkEnd w:id="63"/>
      <w:bookmarkEnd w:id="64"/>
      <w:bookmarkEnd w:id="65"/>
      <w:bookmarkEnd w:id="66"/>
      <w:bookmarkEnd w:id="67"/>
      <w:bookmarkEnd w:id="71"/>
      <w:bookmarkEnd w:id="72"/>
    </w:p>
    <w:p w14:paraId="74F6A07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none"/>
        </w:rPr>
      </w:pPr>
      <w:bookmarkStart w:id="73" w:name="_Toc35393803"/>
      <w:bookmarkStart w:id="74" w:name="_Toc35393634"/>
      <w:bookmarkStart w:id="75" w:name="_Toc16565"/>
      <w:bookmarkStart w:id="76" w:name="_Toc16984"/>
      <w:bookmarkStart w:id="77" w:name="_Toc15559"/>
      <w:bookmarkStart w:id="78" w:name="_Toc28359017"/>
      <w:bookmarkStart w:id="79" w:name="_Toc28359094"/>
      <w:bookmarkStart w:id="80" w:name="_Toc1477"/>
      <w:bookmarkStart w:id="81" w:name="_Toc4683"/>
      <w:bookmarkStart w:id="82" w:name="_Toc30046"/>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截止时间：</w:t>
      </w:r>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3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11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14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p>
    <w:p w14:paraId="3671858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yellow"/>
          <w:u w:val="singl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8"/>
        </w:rPr>
        <w:t>全国公共资源交易平台（河南省·息县）不见面开标大厅</w:t>
      </w:r>
    </w:p>
    <w:p w14:paraId="132FFDA3">
      <w:pPr>
        <w:pStyle w:val="7"/>
        <w:keepNext w:val="0"/>
        <w:keepLines/>
        <w:pageBreakBefore w:val="0"/>
        <w:widowControl w:val="0"/>
        <w:tabs>
          <w:tab w:val="left" w:pos="525"/>
        </w:tabs>
        <w:kinsoku/>
        <w:wordWrap/>
        <w:overflowPunct/>
        <w:topLinePunct w:val="0"/>
        <w:autoSpaceDE/>
        <w:autoSpaceDN/>
        <w:bidi w:val="0"/>
        <w:adjustRightInd/>
        <w:snapToGrid/>
        <w:spacing w:before="0" w:after="0" w:afterLines="0" w:line="500" w:lineRule="exact"/>
        <w:ind w:left="0" w:leftChars="0" w:firstLine="0" w:firstLineChars="0"/>
        <w:textAlignment w:val="auto"/>
        <w:rPr>
          <w:rFonts w:hint="eastAsia" w:ascii="宋体" w:hAnsi="宋体" w:eastAsia="宋体" w:cs="宋体"/>
          <w:b w:val="0"/>
          <w:sz w:val="24"/>
          <w:szCs w:val="24"/>
        </w:rPr>
      </w:pPr>
      <w:bookmarkStart w:id="83" w:name="_Toc670"/>
      <w:bookmarkStart w:id="84" w:name="_Toc28248"/>
      <w:r>
        <w:rPr>
          <w:rFonts w:hint="eastAsia" w:ascii="宋体" w:hAnsi="宋体" w:eastAsia="宋体" w:cs="宋体"/>
          <w:b w:val="0"/>
          <w:sz w:val="24"/>
          <w:szCs w:val="24"/>
        </w:rPr>
        <w:t>六、</w:t>
      </w:r>
      <w:bookmarkEnd w:id="73"/>
      <w:bookmarkEnd w:id="74"/>
      <w:bookmarkEnd w:id="75"/>
      <w:bookmarkEnd w:id="76"/>
      <w:bookmarkEnd w:id="77"/>
      <w:bookmarkEnd w:id="78"/>
      <w:bookmarkEnd w:id="79"/>
      <w:bookmarkEnd w:id="80"/>
      <w:bookmarkEnd w:id="81"/>
      <w:bookmarkEnd w:id="82"/>
      <w:r>
        <w:rPr>
          <w:rFonts w:hint="eastAsia" w:ascii="宋体" w:hAnsi="宋体" w:eastAsia="宋体" w:cs="宋体"/>
          <w:b w:val="0"/>
          <w:sz w:val="24"/>
          <w:szCs w:val="24"/>
        </w:rPr>
        <w:t>发布公告的媒介及公告期限</w:t>
      </w:r>
      <w:bookmarkEnd w:id="83"/>
      <w:bookmarkEnd w:id="84"/>
    </w:p>
    <w:p w14:paraId="38814136">
      <w:pPr>
        <w:keepNext w:val="0"/>
        <w:keepLines/>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 xml:space="preserve">本次公告在《河南省政府采购网》、《中国招标投标公共服务平台》及《全国公共资源交易平台（河南省•息县）》上发布。 </w:t>
      </w:r>
    </w:p>
    <w:p w14:paraId="5B5BBF0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14:paraId="19645659">
      <w:pPr>
        <w:pStyle w:val="7"/>
        <w:keepNext w:val="0"/>
        <w:keepLines/>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bCs/>
          <w:kern w:val="2"/>
          <w:sz w:val="24"/>
          <w:szCs w:val="24"/>
          <w:highlight w:val="none"/>
          <w:lang w:val="en-US" w:eastAsia="zh-CN" w:bidi="ar-SA"/>
        </w:rPr>
      </w:pPr>
      <w:bookmarkStart w:id="85" w:name="_Toc26494"/>
      <w:bookmarkStart w:id="86" w:name="_Toc7373"/>
      <w:bookmarkStart w:id="87" w:name="_Toc35393635"/>
      <w:bookmarkStart w:id="88" w:name="_Toc27625"/>
      <w:bookmarkStart w:id="89" w:name="_Toc9859"/>
      <w:bookmarkStart w:id="90" w:name="_Toc30345"/>
      <w:bookmarkStart w:id="91" w:name="_Toc18292"/>
      <w:bookmarkStart w:id="92" w:name="_Toc22572"/>
      <w:bookmarkStart w:id="93" w:name="_Toc23087"/>
      <w:bookmarkStart w:id="94" w:name="_Toc35393804"/>
      <w:bookmarkStart w:id="95" w:name="_Toc30608"/>
      <w:r>
        <w:rPr>
          <w:rFonts w:hint="eastAsia" w:ascii="宋体" w:hAnsi="宋体" w:eastAsia="宋体" w:cs="宋体"/>
          <w:b w:val="0"/>
          <w:sz w:val="24"/>
          <w:szCs w:val="24"/>
        </w:rPr>
        <w:t>七、其他补充事宜</w:t>
      </w:r>
      <w:bookmarkEnd w:id="85"/>
      <w:bookmarkEnd w:id="86"/>
      <w:bookmarkEnd w:id="87"/>
      <w:bookmarkEnd w:id="88"/>
      <w:bookmarkEnd w:id="89"/>
      <w:bookmarkEnd w:id="90"/>
      <w:bookmarkEnd w:id="91"/>
      <w:bookmarkEnd w:id="92"/>
      <w:bookmarkEnd w:id="93"/>
      <w:bookmarkEnd w:id="94"/>
      <w:bookmarkEnd w:id="95"/>
      <w:bookmarkStart w:id="96" w:name="_Toc35393636"/>
      <w:bookmarkStart w:id="97" w:name="_Toc28359018"/>
      <w:bookmarkStart w:id="98" w:name="_Toc28359095"/>
      <w:bookmarkStart w:id="99" w:name="_Toc30418"/>
      <w:bookmarkStart w:id="100" w:name="_Toc35393805"/>
    </w:p>
    <w:p w14:paraId="744C8BA8">
      <w:pPr>
        <w:pStyle w:val="3"/>
        <w:pageBreakBefore w:val="0"/>
        <w:widowControl w:val="0"/>
        <w:kinsoku/>
        <w:wordWrap/>
        <w:overflowPunct/>
        <w:topLinePunct w:val="0"/>
        <w:autoSpaceDE/>
        <w:autoSpaceDN/>
        <w:bidi w:val="0"/>
        <w:adjustRightInd/>
        <w:snapToGrid/>
        <w:spacing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101" w:name="_Toc25440"/>
      <w:r>
        <w:rPr>
          <w:rFonts w:hint="eastAsia" w:ascii="宋体" w:hAnsi="宋体" w:eastAsia="宋体" w:cs="宋体"/>
          <w:b w:val="0"/>
          <w:sz w:val="24"/>
          <w:szCs w:val="24"/>
          <w:lang w:val="en-US" w:eastAsia="zh-CN"/>
        </w:rPr>
        <w:t>1.本项目采用“不见面开标”交易方式，不见面开标大厅网址为 https://ggzyjy.xinyang.gov.cn/，投标供应商无需寄送和递交非加密的电子投标文件，无需到现场参加开标会议，无需到达现场提交原件资料。</w:t>
      </w:r>
      <w:bookmarkEnd w:id="101"/>
      <w:r>
        <w:rPr>
          <w:rFonts w:hint="eastAsia" w:ascii="宋体" w:hAnsi="宋体" w:eastAsia="宋体" w:cs="宋体"/>
          <w:b w:val="0"/>
          <w:sz w:val="24"/>
          <w:szCs w:val="24"/>
          <w:lang w:val="en-US" w:eastAsia="zh-CN"/>
        </w:rPr>
        <w:t xml:space="preserve">   </w:t>
      </w:r>
    </w:p>
    <w:p w14:paraId="5C90DDEF">
      <w:pPr>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2.投标供应商应当在投标截止时间前，使用投标供应商CA数字证书登录不见面开标大厅，在线签到并准时参加开标活动，并在规定时间内完成投标文件解密、答疑澄清等。</w:t>
      </w:r>
    </w:p>
    <w:p w14:paraId="32D1FDFF">
      <w:pPr>
        <w:pStyle w:val="7"/>
        <w:pageBreakBefore w:val="0"/>
        <w:widowControl w:val="0"/>
        <w:numPr>
          <w:ilvl w:val="0"/>
          <w:numId w:val="0"/>
        </w:numPr>
        <w:kinsoku/>
        <w:wordWrap/>
        <w:overflowPunct/>
        <w:topLinePunct w:val="0"/>
        <w:autoSpaceDE/>
        <w:autoSpaceDN/>
        <w:bidi w:val="0"/>
        <w:adjustRightInd/>
        <w:snapToGrid/>
        <w:spacing w:before="0"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102" w:name="_Toc14405"/>
      <w:bookmarkStart w:id="103" w:name="_Toc1355"/>
      <w:bookmarkStart w:id="104" w:name="_Toc21883"/>
      <w:bookmarkStart w:id="105" w:name="_Toc828"/>
      <w:bookmarkStart w:id="106" w:name="_Toc365"/>
      <w:r>
        <w:rPr>
          <w:rFonts w:hint="eastAsia" w:ascii="宋体" w:hAnsi="宋体" w:eastAsia="宋体" w:cs="宋体"/>
          <w:b w:val="0"/>
          <w:sz w:val="24"/>
          <w:szCs w:val="24"/>
          <w:lang w:val="en-US" w:eastAsia="zh-CN"/>
        </w:rPr>
        <w:t>3.逾期解密或者没有准时在线参加开标活动导致的一切后果投标供应商自行承担。</w:t>
      </w:r>
      <w:bookmarkEnd w:id="102"/>
      <w:bookmarkEnd w:id="103"/>
      <w:bookmarkEnd w:id="104"/>
      <w:bookmarkEnd w:id="105"/>
      <w:bookmarkEnd w:id="106"/>
    </w:p>
    <w:p w14:paraId="023310B6">
      <w:pPr>
        <w:pStyle w:val="7"/>
        <w:pageBreakBefore w:val="0"/>
        <w:widowControl w:val="0"/>
        <w:numPr>
          <w:ilvl w:val="0"/>
          <w:numId w:val="0"/>
        </w:numPr>
        <w:kinsoku/>
        <w:wordWrap/>
        <w:overflowPunct/>
        <w:topLinePunct w:val="0"/>
        <w:autoSpaceDE/>
        <w:autoSpaceDN/>
        <w:bidi w:val="0"/>
        <w:adjustRightInd/>
        <w:snapToGrid/>
        <w:spacing w:before="0"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107" w:name="_Toc19622"/>
      <w:bookmarkStart w:id="108" w:name="_Toc3310"/>
      <w:bookmarkStart w:id="109" w:name="_Toc25971"/>
      <w:bookmarkStart w:id="110" w:name="_Toc9417"/>
      <w:bookmarkStart w:id="111" w:name="_Toc29309"/>
      <w:r>
        <w:rPr>
          <w:rFonts w:hint="eastAsia" w:ascii="宋体" w:hAnsi="宋体" w:eastAsia="宋体" w:cs="宋体"/>
          <w:b w:val="0"/>
          <w:sz w:val="24"/>
          <w:szCs w:val="24"/>
          <w:lang w:val="en-US" w:eastAsia="zh-CN"/>
        </w:rPr>
        <w:t>4.不见面开标服务的具体事宜，请查阅信阳市公共资源交易中心网站首页—下载中心—信阳市不见面开标大厅系统操作手册。</w:t>
      </w:r>
      <w:bookmarkEnd w:id="107"/>
      <w:bookmarkEnd w:id="108"/>
      <w:bookmarkEnd w:id="109"/>
      <w:bookmarkEnd w:id="110"/>
      <w:bookmarkEnd w:id="111"/>
    </w:p>
    <w:p w14:paraId="38AF99BB">
      <w:pPr>
        <w:pStyle w:val="7"/>
        <w:pageBreakBefore w:val="0"/>
        <w:widowControl w:val="0"/>
        <w:numPr>
          <w:ilvl w:val="0"/>
          <w:numId w:val="0"/>
        </w:numPr>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b/>
          <w:bCs/>
          <w:sz w:val="24"/>
          <w:szCs w:val="24"/>
          <w:lang w:val="en-US" w:eastAsia="zh-CN"/>
        </w:rPr>
      </w:pPr>
      <w:bookmarkStart w:id="112" w:name="_Toc13587"/>
      <w:bookmarkStart w:id="113" w:name="_Toc11887"/>
      <w:bookmarkStart w:id="114" w:name="_Toc3440"/>
      <w:bookmarkStart w:id="115" w:name="_Toc27520"/>
      <w:bookmarkStart w:id="116" w:name="_Toc21828"/>
      <w:r>
        <w:rPr>
          <w:rFonts w:hint="eastAsia" w:ascii="宋体" w:hAnsi="宋体" w:eastAsia="宋体" w:cs="宋体"/>
          <w:b/>
          <w:bCs/>
          <w:sz w:val="24"/>
          <w:szCs w:val="24"/>
          <w:lang w:val="en-US" w:eastAsia="zh-CN"/>
        </w:rPr>
        <w:t>特别提示：投标供应商在线签到时，应如实准确的填写授权委托人的联系电话，开标当天请务必保证电话保持畅通。</w:t>
      </w:r>
      <w:bookmarkEnd w:id="112"/>
      <w:bookmarkEnd w:id="113"/>
      <w:bookmarkEnd w:id="114"/>
      <w:bookmarkEnd w:id="115"/>
      <w:bookmarkEnd w:id="116"/>
    </w:p>
    <w:p w14:paraId="127C7E3B">
      <w:pPr>
        <w:pStyle w:val="7"/>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117" w:name="_Toc3504"/>
      <w:bookmarkStart w:id="118" w:name="_Toc1319"/>
      <w:bookmarkStart w:id="119" w:name="_Toc6682"/>
      <w:bookmarkStart w:id="120" w:name="_Toc14014"/>
      <w:bookmarkStart w:id="121" w:name="_Toc20033"/>
      <w:bookmarkStart w:id="122" w:name="_Toc17324"/>
      <w:bookmarkStart w:id="123" w:name="_Toc7923"/>
      <w:bookmarkStart w:id="124" w:name="_Toc4486"/>
      <w:r>
        <w:rPr>
          <w:rFonts w:hint="eastAsia" w:ascii="宋体" w:hAnsi="宋体" w:eastAsia="宋体" w:cs="宋体"/>
          <w:b w:val="0"/>
          <w:sz w:val="24"/>
          <w:szCs w:val="24"/>
        </w:rPr>
        <w:t>八、凡对本次采购提出询问，请按以下方式联系。</w:t>
      </w:r>
      <w:bookmarkEnd w:id="96"/>
      <w:bookmarkEnd w:id="97"/>
      <w:bookmarkEnd w:id="98"/>
      <w:bookmarkEnd w:id="99"/>
      <w:bookmarkEnd w:id="100"/>
      <w:bookmarkEnd w:id="117"/>
      <w:bookmarkEnd w:id="118"/>
      <w:bookmarkEnd w:id="119"/>
      <w:bookmarkEnd w:id="120"/>
      <w:bookmarkEnd w:id="121"/>
      <w:bookmarkEnd w:id="122"/>
      <w:bookmarkEnd w:id="123"/>
      <w:bookmarkEnd w:id="124"/>
    </w:p>
    <w:p w14:paraId="0EF2BB7F">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C895CA7">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bookmarkStart w:id="125" w:name="_Toc28359086"/>
      <w:bookmarkStart w:id="126" w:name="_Toc28359009"/>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息县发展和改革委员会</w:t>
      </w:r>
      <w:r>
        <w:rPr>
          <w:rFonts w:hint="eastAsia" w:ascii="宋体" w:hAnsi="宋体" w:eastAsia="宋体" w:cs="宋体"/>
          <w:b w:val="0"/>
          <w:bCs w:val="0"/>
          <w:sz w:val="24"/>
          <w:highlight w:val="none"/>
          <w:u w:val="single"/>
        </w:rPr>
        <w:t>　　</w:t>
      </w:r>
    </w:p>
    <w:p w14:paraId="58E6ED82">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 xml:space="preserve">　息县境内          </w:t>
      </w:r>
      <w:r>
        <w:rPr>
          <w:rFonts w:hint="eastAsia" w:ascii="宋体" w:hAnsi="宋体" w:eastAsia="宋体" w:cs="宋体"/>
          <w:b w:val="0"/>
          <w:bCs w:val="0"/>
          <w:sz w:val="24"/>
          <w:highlight w:val="none"/>
          <w:u w:val="none"/>
        </w:rPr>
        <w:t xml:space="preserve"> 　　</w:t>
      </w:r>
    </w:p>
    <w:p w14:paraId="635A249B">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王俊杰</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rPr>
        <w:t xml:space="preserve">  　</w:t>
      </w:r>
    </w:p>
    <w:p w14:paraId="4F5DCED6">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u w:val="none"/>
          <w:lang w:val="en-US" w:eastAsia="zh-CN"/>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u w:val="single"/>
          <w:lang w:val="en-US" w:eastAsia="zh-CN"/>
        </w:rPr>
        <w:t xml:space="preserve"> 13782901609</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none"/>
          <w:lang w:val="en-US" w:eastAsia="zh-CN"/>
        </w:rPr>
        <w:t xml:space="preserve"> </w:t>
      </w:r>
    </w:p>
    <w:p w14:paraId="311BBEC0">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25"/>
      <w:bookmarkEnd w:id="126"/>
    </w:p>
    <w:p w14:paraId="653E4581">
      <w:pPr>
        <w:spacing w:line="500" w:lineRule="exact"/>
        <w:ind w:firstLine="720" w:firstLineChars="300"/>
        <w:rPr>
          <w:rFonts w:ascii="宋体" w:hAnsi="宋体" w:eastAsia="宋体" w:cs="宋体"/>
          <w:sz w:val="24"/>
          <w:szCs w:val="24"/>
        </w:rPr>
      </w:pPr>
      <w:bookmarkStart w:id="127" w:name="_Toc24689"/>
      <w:bookmarkStart w:id="128" w:name="_Toc14410"/>
      <w:bookmarkStart w:id="129" w:name="_Toc20807"/>
      <w:bookmarkStart w:id="130" w:name="_Toc17288"/>
      <w:bookmarkStart w:id="131" w:name="_Toc9592"/>
      <w:bookmarkStart w:id="132" w:name="_Toc4278"/>
      <w:bookmarkStart w:id="133" w:name="_Toc19772"/>
      <w:bookmarkStart w:id="134" w:name="_Toc27644"/>
      <w:bookmarkStart w:id="135" w:name="_Toc29818"/>
      <w:bookmarkStart w:id="136" w:name="_Toc28359021"/>
      <w:bookmarkStart w:id="137" w:name="_Toc35393639"/>
      <w:bookmarkStart w:id="138" w:name="_Toc35393808"/>
      <w:bookmarkStart w:id="139" w:name="_Toc28359098"/>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河南省亿达工程管理咨询有限公司</w:t>
      </w:r>
      <w:r>
        <w:rPr>
          <w:rFonts w:hint="eastAsia" w:ascii="宋体" w:hAnsi="宋体" w:eastAsia="宋体" w:cs="宋体"/>
          <w:sz w:val="24"/>
          <w:szCs w:val="24"/>
          <w:u w:val="single"/>
        </w:rPr>
        <w:t>　　</w:t>
      </w:r>
    </w:p>
    <w:p w14:paraId="6160E8D9">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郑州市青年路玉凤路交叉口升龙环球大厦C座2605室</w:t>
      </w:r>
      <w:r>
        <w:rPr>
          <w:rFonts w:hint="eastAsia" w:ascii="宋体" w:hAnsi="宋体" w:eastAsia="宋体" w:cs="宋体"/>
          <w:sz w:val="24"/>
          <w:szCs w:val="24"/>
        </w:rPr>
        <w:t xml:space="preserve">　    </w:t>
      </w:r>
    </w:p>
    <w:p w14:paraId="4C96324D">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张俊峰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0945289">
      <w:pPr>
        <w:pStyle w:val="7"/>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720" w:firstLineChars="3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b w:val="0"/>
          <w:bCs/>
          <w:sz w:val="24"/>
          <w:szCs w:val="24"/>
          <w:highlight w:val="none"/>
        </w:rPr>
        <w:t>联系电话：</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13663972028</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1BFBFD85">
      <w:pPr>
        <w:pStyle w:val="7"/>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240" w:firstLineChars="1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w:t>
      </w:r>
      <w:r>
        <w:rPr>
          <w:rFonts w:hint="eastAsia" w:ascii="宋体" w:hAnsi="宋体" w:eastAsia="宋体" w:cs="宋体"/>
          <w:b w:val="0"/>
          <w:sz w:val="24"/>
          <w:szCs w:val="24"/>
          <w:lang w:eastAsia="zh-CN"/>
        </w:rPr>
        <w:t>监督单位</w:t>
      </w:r>
      <w:r>
        <w:rPr>
          <w:rFonts w:hint="eastAsia" w:ascii="宋体" w:hAnsi="宋体" w:eastAsia="宋体" w:cs="宋体"/>
          <w:b w:val="0"/>
          <w:sz w:val="24"/>
          <w:szCs w:val="24"/>
        </w:rPr>
        <w:t>信息</w:t>
      </w:r>
      <w:bookmarkEnd w:id="127"/>
      <w:bookmarkEnd w:id="128"/>
      <w:bookmarkEnd w:id="129"/>
      <w:bookmarkEnd w:id="130"/>
      <w:bookmarkEnd w:id="131"/>
      <w:bookmarkEnd w:id="132"/>
      <w:bookmarkEnd w:id="133"/>
      <w:bookmarkEnd w:id="134"/>
      <w:bookmarkEnd w:id="135"/>
    </w:p>
    <w:p w14:paraId="3DFE66E8">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息县财政局政府采购股</w:t>
      </w:r>
      <w:r>
        <w:rPr>
          <w:rFonts w:hint="eastAsia" w:ascii="宋体" w:hAnsi="宋体" w:eastAsia="宋体" w:cs="宋体"/>
          <w:sz w:val="24"/>
          <w:szCs w:val="24"/>
          <w:u w:val="none"/>
        </w:rPr>
        <w:t>　　</w:t>
      </w:r>
    </w:p>
    <w:p w14:paraId="1B776DAB">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息县谯楼街488号　　　</w:t>
      </w:r>
      <w:r>
        <w:rPr>
          <w:rFonts w:hint="eastAsia" w:ascii="宋体" w:hAnsi="宋体" w:eastAsia="宋体" w:cs="宋体"/>
          <w:sz w:val="24"/>
          <w:szCs w:val="24"/>
          <w:u w:val="none"/>
        </w:rPr>
        <w:t>　　</w:t>
      </w:r>
    </w:p>
    <w:p w14:paraId="323F01BA">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lang w:eastAsia="zh-CN"/>
        </w:rPr>
        <w:t>张娟</w:t>
      </w:r>
      <w:r>
        <w:rPr>
          <w:rFonts w:hint="eastAsia" w:ascii="宋体" w:hAnsi="宋体" w:eastAsia="宋体" w:cs="宋体"/>
          <w:sz w:val="24"/>
          <w:szCs w:val="24"/>
          <w:u w:val="single"/>
          <w:lang w:val="en-US" w:eastAsia="zh-CN"/>
        </w:rPr>
        <w:t xml:space="preserve">                  </w:t>
      </w:r>
    </w:p>
    <w:p w14:paraId="3AC0B062">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0376-5935027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14:paraId="670B93BD">
      <w:pPr>
        <w:pStyle w:val="7"/>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200"/>
        <w:textAlignment w:val="auto"/>
        <w:rPr>
          <w:rFonts w:hint="eastAsia" w:ascii="宋体" w:hAnsi="宋体" w:eastAsia="宋体" w:cs="宋体"/>
          <w:b w:val="0"/>
          <w:sz w:val="24"/>
          <w:szCs w:val="24"/>
        </w:rPr>
      </w:pPr>
      <w:bookmarkStart w:id="140" w:name="_Toc30951"/>
      <w:bookmarkStart w:id="141" w:name="_Toc451"/>
      <w:bookmarkStart w:id="142" w:name="_Toc23602"/>
      <w:bookmarkStart w:id="143" w:name="_Toc5187"/>
      <w:bookmarkStart w:id="144" w:name="_Toc31910"/>
      <w:bookmarkStart w:id="145" w:name="_Toc18104"/>
      <w:bookmarkStart w:id="146" w:name="_Toc3048"/>
      <w:bookmarkStart w:id="147" w:name="_Toc23715"/>
      <w:bookmarkStart w:id="148" w:name="_Toc16275"/>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.项目联系方式</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0DA220BD">
      <w:pPr>
        <w:pStyle w:val="13"/>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highlight w:val="none"/>
          <w:u w:val="single"/>
        </w:rPr>
        <w:t>张俊峰</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11DE73DE">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13663972028 </w:t>
      </w:r>
      <w:r>
        <w:rPr>
          <w:rFonts w:hint="eastAsia" w:ascii="宋体" w:hAnsi="宋体" w:eastAsia="宋体" w:cs="宋体"/>
          <w:sz w:val="24"/>
          <w:szCs w:val="24"/>
          <w:u w:val="single"/>
        </w:rPr>
        <w:t>　　</w:t>
      </w:r>
    </w:p>
    <w:p w14:paraId="19E46035">
      <w:pPr>
        <w:pStyle w:val="6"/>
        <w:numPr>
          <w:ilvl w:val="0"/>
          <w:numId w:val="0"/>
        </w:numPr>
        <w:spacing w:after="0" w:line="360" w:lineRule="auto"/>
        <w:ind w:firstLine="2891" w:firstLineChars="900"/>
        <w:jc w:val="both"/>
        <w:rPr>
          <w:rFonts w:hint="eastAsia" w:ascii="宋体" w:hAnsi="宋体" w:cs="宋体"/>
          <w:sz w:val="32"/>
          <w:szCs w:val="32"/>
          <w:lang w:eastAsia="zh-CN"/>
        </w:rPr>
      </w:pPr>
    </w:p>
    <w:p w14:paraId="290D4B1C">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702E5FC">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67BF5134">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000EB44C">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60BEFB4D">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18830D01">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C972E92">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0468F81A">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5751F7E0">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6759739F">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9ADC146">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2565A8B5">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959122D">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B3FC1C9">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194AA77C">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5C57195">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7AE2110B">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5991740F">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1DA186A8">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E2B199E">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3EBDD56C">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14:paraId="05E7B676">
      <w:pPr>
        <w:pStyle w:val="21"/>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bookmarkEnd w:id="2"/>
    <w:p w14:paraId="7F126F44">
      <w:pPr>
        <w:widowControl/>
        <w:spacing w:line="360" w:lineRule="auto"/>
        <w:ind w:firstLine="3296" w:firstLineChars="1026"/>
        <w:jc w:val="both"/>
        <w:outlineLvl w:val="0"/>
        <w:rPr>
          <w:rFonts w:hint="eastAsia" w:ascii="宋体" w:hAnsi="宋体" w:cs="宋体"/>
          <w:b/>
          <w:bCs w:val="0"/>
          <w:color w:val="auto"/>
          <w:sz w:val="32"/>
        </w:rPr>
      </w:pPr>
      <w:bookmarkStart w:id="149" w:name="_Toc13762"/>
      <w:bookmarkStart w:id="150" w:name="_Toc8890"/>
      <w:r>
        <w:rPr>
          <w:rFonts w:hint="eastAsia" w:ascii="宋体" w:hAnsi="宋体" w:cs="宋体"/>
          <w:b/>
          <w:bCs w:val="0"/>
          <w:color w:val="auto"/>
          <w:sz w:val="32"/>
        </w:rPr>
        <w:t>第二章 供应商须知</w:t>
      </w:r>
      <w:bookmarkEnd w:id="3"/>
      <w:bookmarkEnd w:id="4"/>
      <w:bookmarkEnd w:id="5"/>
      <w:bookmarkEnd w:id="149"/>
      <w:bookmarkEnd w:id="150"/>
    </w:p>
    <w:p w14:paraId="34F2896B">
      <w:pPr>
        <w:pStyle w:val="31"/>
        <w:ind w:firstLine="3935" w:firstLineChars="1400"/>
        <w:jc w:val="left"/>
        <w:rPr>
          <w:rFonts w:hint="eastAsia" w:ascii="宋体" w:hAnsi="宋体" w:eastAsia="宋体"/>
          <w:b/>
          <w:bCs/>
          <w:color w:val="auto"/>
        </w:rPr>
      </w:pPr>
      <w:bookmarkStart w:id="151" w:name="_Toc144974496"/>
      <w:bookmarkStart w:id="152" w:name="_Toc471"/>
      <w:bookmarkStart w:id="153" w:name="_Toc152042304"/>
      <w:bookmarkStart w:id="154" w:name="_Toc152045528"/>
      <w:bookmarkStart w:id="155" w:name="_Toc455080107"/>
      <w:bookmarkStart w:id="156" w:name="_Toc12234"/>
      <w:bookmarkStart w:id="157" w:name="_Toc466298090"/>
      <w:bookmarkStart w:id="158" w:name="_Toc27072"/>
      <w:r>
        <w:rPr>
          <w:rFonts w:hint="eastAsia" w:ascii="宋体" w:hAnsi="宋体" w:eastAsia="宋体"/>
          <w:b/>
          <w:bCs/>
          <w:color w:val="auto"/>
        </w:rPr>
        <w:t>供应商须知前附表</w:t>
      </w:r>
      <w:bookmarkEnd w:id="151"/>
      <w:bookmarkEnd w:id="152"/>
      <w:bookmarkEnd w:id="153"/>
      <w:bookmarkEnd w:id="154"/>
      <w:bookmarkEnd w:id="155"/>
      <w:bookmarkEnd w:id="156"/>
      <w:bookmarkEnd w:id="157"/>
      <w:bookmarkEnd w:id="158"/>
    </w:p>
    <w:tbl>
      <w:tblPr>
        <w:tblStyle w:val="23"/>
        <w:tblW w:w="10362" w:type="dxa"/>
        <w:tblInd w:w="-173" w:type="dxa"/>
        <w:tblLayout w:type="fixed"/>
        <w:tblCellMar>
          <w:top w:w="0" w:type="dxa"/>
          <w:left w:w="108" w:type="dxa"/>
          <w:bottom w:w="0" w:type="dxa"/>
          <w:right w:w="108" w:type="dxa"/>
        </w:tblCellMar>
      </w:tblPr>
      <w:tblGrid>
        <w:gridCol w:w="1366"/>
        <w:gridCol w:w="1935"/>
        <w:gridCol w:w="79"/>
        <w:gridCol w:w="6982"/>
      </w:tblGrid>
      <w:tr w14:paraId="7E67F330">
        <w:tblPrEx>
          <w:tblCellMar>
            <w:top w:w="0" w:type="dxa"/>
            <w:left w:w="108" w:type="dxa"/>
            <w:bottom w:w="0" w:type="dxa"/>
            <w:right w:w="108" w:type="dxa"/>
          </w:tblCellMar>
        </w:tblPrEx>
        <w:trPr>
          <w:trHeight w:val="3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85D037C">
            <w:pPr>
              <w:adjustRightInd w:val="0"/>
              <w:spacing w:line="360" w:lineRule="auto"/>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5061B0F">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6D4ABFE">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14:paraId="178B6480">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6DF69C8A">
            <w:pPr>
              <w:rPr>
                <w:rFonts w:hint="eastAsia" w:ascii="宋体" w:hAnsi="宋体" w:eastAsia="宋体" w:cs="宋体"/>
                <w:sz w:val="24"/>
                <w:szCs w:val="28"/>
              </w:rPr>
            </w:pPr>
            <w:r>
              <w:rPr>
                <w:rFonts w:hint="eastAsia" w:ascii="宋体" w:hAnsi="宋体" w:eastAsia="宋体" w:cs="宋体"/>
                <w:sz w:val="24"/>
                <w:szCs w:val="28"/>
              </w:rPr>
              <w:t>1.2.1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1B301C1">
            <w:pPr>
              <w:keepNext w:val="0"/>
              <w:keepLines w:val="0"/>
              <w:pageBreakBefore w:val="0"/>
              <w:widowControl w:val="0"/>
              <w:kinsoku/>
              <w:wordWrap/>
              <w:overflowPunct/>
              <w:topLinePunct w:val="0"/>
              <w:bidi w:val="0"/>
              <w:adjustRightInd w:val="0"/>
              <w:snapToGrid/>
              <w:spacing w:line="500" w:lineRule="exact"/>
              <w:ind w:firstLine="720" w:firstLineChars="3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DBE78C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息县发展和改革委员会</w:t>
            </w:r>
          </w:p>
          <w:p w14:paraId="31165AA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6A884C7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b w:val="0"/>
                <w:bCs w:val="0"/>
                <w:sz w:val="24"/>
                <w:highlight w:val="none"/>
                <w:u w:val="none"/>
                <w:lang w:eastAsia="zh-CN"/>
              </w:rPr>
              <w:t>王俊杰</w:t>
            </w:r>
          </w:p>
          <w:p w14:paraId="69E3CAF7">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u w:val="none"/>
              </w:rPr>
              <w:t>联系</w:t>
            </w:r>
            <w:r>
              <w:rPr>
                <w:rFonts w:hint="eastAsia" w:ascii="宋体" w:hAnsi="宋体" w:eastAsia="宋体" w:cs="宋体"/>
                <w:kern w:val="0"/>
                <w:sz w:val="24"/>
                <w:szCs w:val="24"/>
                <w:highlight w:val="none"/>
                <w:u w:val="none"/>
                <w:lang w:eastAsia="zh-CN"/>
              </w:rPr>
              <w:t>方式</w:t>
            </w:r>
            <w:r>
              <w:rPr>
                <w:rFonts w:hint="eastAsia" w:ascii="宋体" w:hAnsi="宋体" w:eastAsia="宋体" w:cs="宋体"/>
                <w:kern w:val="0"/>
                <w:sz w:val="24"/>
                <w:szCs w:val="24"/>
                <w:highlight w:val="none"/>
                <w:u w:val="none"/>
              </w:rPr>
              <w:t>：13782901609</w:t>
            </w:r>
          </w:p>
        </w:tc>
      </w:tr>
      <w:tr w14:paraId="42A7150F">
        <w:tblPrEx>
          <w:tblCellMar>
            <w:top w:w="0" w:type="dxa"/>
            <w:left w:w="108" w:type="dxa"/>
            <w:bottom w:w="0" w:type="dxa"/>
            <w:right w:w="108" w:type="dxa"/>
          </w:tblCellMar>
        </w:tblPrEx>
        <w:trPr>
          <w:trHeight w:val="176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EE0E8BA">
            <w:pPr>
              <w:rPr>
                <w:rFonts w:hint="eastAsia" w:ascii="宋体" w:hAnsi="宋体" w:eastAsia="宋体" w:cs="宋体"/>
                <w:sz w:val="24"/>
                <w:szCs w:val="28"/>
              </w:rPr>
            </w:pPr>
            <w:r>
              <w:rPr>
                <w:rFonts w:hint="eastAsia" w:ascii="宋体" w:hAnsi="宋体" w:eastAsia="宋体" w:cs="宋体"/>
                <w:sz w:val="24"/>
                <w:szCs w:val="28"/>
              </w:rPr>
              <w:t>1.2.2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FB776B2">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81D34AA">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采购代理机构：河南省亿达工程管理咨询有限公司　</w:t>
            </w:r>
          </w:p>
          <w:p w14:paraId="151AA26D">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地址：郑州市青年路玉凤路交叉口升龙环球大厦C座2605室</w:t>
            </w:r>
          </w:p>
          <w:p w14:paraId="72D21123">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联系人：张俊峰</w:t>
            </w:r>
          </w:p>
          <w:p w14:paraId="33AA0804">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cs="宋体"/>
                <w:sz w:val="24"/>
                <w:highlight w:val="none"/>
              </w:rPr>
              <w:t>联系</w:t>
            </w:r>
            <w:r>
              <w:rPr>
                <w:rFonts w:hint="eastAsia" w:ascii="宋体" w:hAnsi="宋体" w:cs="宋体"/>
                <w:sz w:val="24"/>
                <w:highlight w:val="none"/>
                <w:lang w:eastAsia="zh-CN"/>
              </w:rPr>
              <w:t>方式</w:t>
            </w:r>
            <w:r>
              <w:rPr>
                <w:rFonts w:hint="eastAsia" w:ascii="宋体" w:hAnsi="宋体" w:cs="宋体"/>
                <w:sz w:val="24"/>
                <w:highlight w:val="none"/>
              </w:rPr>
              <w:t>： 13663972028</w:t>
            </w:r>
            <w:bookmarkStart w:id="1464" w:name="_GoBack"/>
            <w:bookmarkEnd w:id="1464"/>
          </w:p>
        </w:tc>
      </w:tr>
      <w:tr w14:paraId="7195DBBC">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C199068">
            <w:pPr>
              <w:rPr>
                <w:rFonts w:hint="eastAsia" w:ascii="宋体" w:hAnsi="宋体" w:eastAsia="宋体" w:cs="宋体"/>
                <w:sz w:val="24"/>
                <w:szCs w:val="28"/>
              </w:rPr>
            </w:pPr>
            <w:r>
              <w:rPr>
                <w:rFonts w:hint="eastAsia" w:ascii="宋体" w:hAnsi="宋体" w:eastAsia="宋体" w:cs="宋体"/>
                <w:sz w:val="24"/>
                <w:szCs w:val="28"/>
              </w:rPr>
              <w:t>1.2.3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52A7AB3">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1E8C9D94">
            <w:pPr>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000000"/>
                <w:sz w:val="24"/>
                <w:lang w:eastAsia="zh-CN"/>
              </w:rPr>
              <w:t>息县发展和改革委员会南信合高铁息县站站区规划费用项目</w:t>
            </w:r>
          </w:p>
        </w:tc>
      </w:tr>
      <w:tr w14:paraId="5BA56720">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63E8458">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1.2.4</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B356050">
            <w:pPr>
              <w:keepNext w:val="0"/>
              <w:keepLines w:val="0"/>
              <w:pageBreakBefore w:val="0"/>
              <w:widowControl w:val="0"/>
              <w:kinsoku/>
              <w:wordWrap/>
              <w:overflowPunct/>
              <w:topLinePunct w:val="0"/>
              <w:autoSpaceDE w:val="0"/>
              <w:autoSpaceDN w:val="0"/>
              <w:bidi w:val="0"/>
              <w:adjustRightInd w:val="0"/>
              <w:snapToGrid/>
              <w:spacing w:line="500" w:lineRule="exact"/>
              <w:ind w:right="35" w:rightChars="0"/>
              <w:jc w:val="left"/>
              <w:rPr>
                <w:rFonts w:hint="eastAsia"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4CAD94A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val="en-US" w:eastAsia="zh-CN" w:bidi="ar-SA"/>
              </w:rPr>
              <w:t>竞争性磋商</w:t>
            </w:r>
          </w:p>
        </w:tc>
      </w:tr>
      <w:tr w14:paraId="23FD2EFD">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132FB09">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1.2.5</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B5E0E46">
            <w:pPr>
              <w:keepNext w:val="0"/>
              <w:keepLines w:val="0"/>
              <w:pageBreakBefore w:val="0"/>
              <w:widowControl w:val="0"/>
              <w:kinsoku/>
              <w:wordWrap/>
              <w:overflowPunct/>
              <w:topLinePunct w:val="0"/>
              <w:autoSpaceDE w:val="0"/>
              <w:autoSpaceDN w:val="0"/>
              <w:bidi w:val="0"/>
              <w:adjustRightInd w:val="0"/>
              <w:snapToGrid/>
              <w:spacing w:line="500" w:lineRule="exact"/>
              <w:jc w:val="lef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eastAsia="zh-CN"/>
              </w:rPr>
              <w:t>采购预算价</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46119349">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采购预算价：</w:t>
            </w:r>
            <w:r>
              <w:rPr>
                <w:rFonts w:hint="eastAsia" w:ascii="宋体" w:hAnsi="宋体" w:eastAsia="宋体" w:cs="宋体"/>
                <w:color w:val="000000"/>
                <w:kern w:val="0"/>
                <w:sz w:val="24"/>
                <w:szCs w:val="24"/>
                <w:highlight w:val="none"/>
                <w:lang w:val="en-US" w:eastAsia="zh-CN"/>
              </w:rPr>
              <w:t>1786000.00</w:t>
            </w:r>
            <w:r>
              <w:rPr>
                <w:rFonts w:hint="eastAsia" w:ascii="宋体" w:hAnsi="宋体" w:eastAsia="宋体" w:cs="宋体"/>
                <w:color w:val="000000"/>
                <w:kern w:val="0"/>
                <w:sz w:val="24"/>
                <w:szCs w:val="24"/>
                <w:highlight w:val="none"/>
              </w:rPr>
              <w:t>元</w:t>
            </w:r>
          </w:p>
          <w:p w14:paraId="4253FA67">
            <w:pPr>
              <w:pStyle w:val="32"/>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bCs/>
                <w:color w:val="000000"/>
                <w:kern w:val="0"/>
                <w:sz w:val="24"/>
                <w:highlight w:val="none"/>
                <w:lang w:eastAsia="zh-CN"/>
              </w:rPr>
              <w:t>注：各供应商</w:t>
            </w:r>
            <w:r>
              <w:rPr>
                <w:rFonts w:hint="eastAsia" w:ascii="宋体" w:hAnsi="宋体" w:eastAsia="宋体" w:cs="宋体"/>
                <w:b/>
                <w:bCs/>
                <w:color w:val="000000"/>
                <w:kern w:val="0"/>
                <w:sz w:val="24"/>
                <w:highlight w:val="none"/>
              </w:rPr>
              <w:t>投标报价超过采购预算价，按无效投标处理</w:t>
            </w:r>
          </w:p>
        </w:tc>
      </w:tr>
      <w:tr w14:paraId="05D0CB84">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A0A4127">
            <w:pPr>
              <w:rPr>
                <w:rFonts w:hint="eastAsia" w:ascii="宋体" w:hAnsi="宋体" w:eastAsia="宋体" w:cs="宋体"/>
                <w:sz w:val="24"/>
                <w:szCs w:val="28"/>
              </w:rPr>
            </w:pPr>
            <w:r>
              <w:rPr>
                <w:rFonts w:hint="eastAsia" w:ascii="宋体" w:hAnsi="宋体" w:eastAsia="宋体" w:cs="宋体"/>
                <w:sz w:val="24"/>
                <w:szCs w:val="28"/>
              </w:rPr>
              <w:t>1.4.1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F6C85F">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磋商内容</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49AFA6F6">
            <w:pPr>
              <w:pStyle w:val="12"/>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cs="宋体"/>
                <w:sz w:val="24"/>
                <w:highlight w:val="none"/>
                <w:lang w:eastAsia="zh-CN"/>
              </w:rPr>
              <w:t>息县发展和改革委员会南信合高铁息县站站区规划</w:t>
            </w:r>
          </w:p>
        </w:tc>
      </w:tr>
      <w:tr w14:paraId="58BF63D7">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7D6C8DB1">
            <w:pPr>
              <w:rPr>
                <w:rFonts w:hint="eastAsia" w:ascii="宋体" w:hAnsi="宋体" w:eastAsia="宋体" w:cs="宋体"/>
                <w:sz w:val="24"/>
                <w:szCs w:val="28"/>
              </w:rPr>
            </w:pPr>
            <w:r>
              <w:rPr>
                <w:rFonts w:hint="eastAsia" w:ascii="宋体" w:hAnsi="宋体" w:eastAsia="宋体" w:cs="宋体"/>
                <w:sz w:val="24"/>
                <w:szCs w:val="28"/>
              </w:rPr>
              <w:t>1.4.2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39A0F5F">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35C0910C">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达到国家相关行业质量合格标准，满足采购人要求</w:t>
            </w:r>
          </w:p>
        </w:tc>
      </w:tr>
      <w:tr w14:paraId="537E2E69">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783A353">
            <w:pP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1.4.3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EC5A1A9">
            <w:pPr>
              <w:keepNext w:val="0"/>
              <w:keepLines w:val="0"/>
              <w:pageBreakBefore w:val="0"/>
              <w:widowControl w:val="0"/>
              <w:kinsoku/>
              <w:wordWrap/>
              <w:overflowPunct/>
              <w:topLinePunct w:val="0"/>
              <w:bidi w:val="0"/>
              <w:snapToGrid/>
              <w:spacing w:line="500" w:lineRule="exact"/>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C084E7B">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sz w:val="24"/>
                <w:highlight w:val="none"/>
                <w:lang w:val="en-US" w:eastAsia="zh-CN"/>
              </w:rPr>
              <w:t>自合同签订后180日内</w:t>
            </w:r>
          </w:p>
        </w:tc>
      </w:tr>
      <w:tr w14:paraId="458EE4F1">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FACDE12">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1.4.4</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7BB8C45">
            <w:pPr>
              <w:keepNext w:val="0"/>
              <w:keepLines w:val="0"/>
              <w:pageBreakBefore w:val="0"/>
              <w:widowControl w:val="0"/>
              <w:kinsoku/>
              <w:wordWrap/>
              <w:overflowPunct/>
              <w:topLinePunct w:val="0"/>
              <w:bidi w:val="0"/>
              <w:snapToGrid/>
              <w:spacing w:line="50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付款方式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6BA08EF8">
            <w:pPr>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由甲乙双方协商决定</w:t>
            </w:r>
          </w:p>
        </w:tc>
      </w:tr>
      <w:tr w14:paraId="3180970B">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04BF439">
            <w:pPr>
              <w:rPr>
                <w:rFonts w:hint="eastAsia" w:ascii="宋体" w:hAnsi="宋体" w:eastAsia="宋体" w:cs="宋体"/>
                <w:sz w:val="24"/>
                <w:szCs w:val="28"/>
                <w:lang w:val="en-US" w:eastAsia="zh-CN"/>
              </w:rPr>
            </w:pPr>
            <w:r>
              <w:rPr>
                <w:rFonts w:hint="eastAsia" w:ascii="宋体" w:hAnsi="宋体" w:eastAsia="宋体" w:cs="宋体"/>
                <w:sz w:val="24"/>
                <w:szCs w:val="28"/>
              </w:rPr>
              <w:t>1.4.</w:t>
            </w:r>
            <w:r>
              <w:rPr>
                <w:rFonts w:hint="eastAsia" w:ascii="宋体" w:hAnsi="宋体" w:eastAsia="宋体" w:cs="宋体"/>
                <w:sz w:val="24"/>
                <w:szCs w:val="28"/>
                <w:lang w:val="en-US" w:eastAsia="zh-CN"/>
              </w:rPr>
              <w:t>5</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F824A1">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rPr>
              <w:t>资格审查方式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2EA7DDA8">
            <w:pPr>
              <w:pStyle w:val="33"/>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color w:val="auto"/>
                <w:sz w:val="24"/>
                <w:szCs w:val="24"/>
              </w:rPr>
            </w:pPr>
            <w:r>
              <w:rPr>
                <w:rFonts w:hint="eastAsia" w:ascii="宋体" w:hAnsi="宋体" w:eastAsia="宋体" w:cs="宋体"/>
                <w:sz w:val="24"/>
                <w:szCs w:val="24"/>
                <w:lang w:val="en-US" w:eastAsia="zh-CN"/>
              </w:rPr>
              <w:t>资格后审</w:t>
            </w:r>
          </w:p>
        </w:tc>
      </w:tr>
      <w:tr w14:paraId="7F69D4AF">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539D0CB6">
            <w:pPr>
              <w:rPr>
                <w:rFonts w:hint="eastAsia" w:ascii="宋体" w:hAnsi="宋体" w:eastAsia="宋体" w:cs="宋体"/>
                <w:sz w:val="24"/>
                <w:szCs w:val="28"/>
              </w:rPr>
            </w:pPr>
            <w:r>
              <w:rPr>
                <w:rFonts w:hint="eastAsia" w:ascii="宋体" w:hAnsi="宋体" w:eastAsia="宋体" w:cs="宋体"/>
                <w:sz w:val="24"/>
                <w:szCs w:val="28"/>
              </w:rPr>
              <w:t>1.5.1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6F8A2D6">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供应商资质条件及能力要求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5B3C747">
            <w:pPr>
              <w:pStyle w:val="11"/>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sz w:val="24"/>
                <w:szCs w:val="24"/>
              </w:rPr>
              <w:t>详见</w:t>
            </w:r>
            <w:r>
              <w:rPr>
                <w:rFonts w:hint="eastAsia" w:ascii="宋体" w:hAnsi="宋体" w:eastAsia="宋体" w:cs="宋体"/>
                <w:sz w:val="24"/>
                <w:szCs w:val="24"/>
                <w:lang w:eastAsia="zh-CN"/>
              </w:rPr>
              <w:t>磋商</w:t>
            </w:r>
            <w:r>
              <w:rPr>
                <w:rFonts w:hint="eastAsia" w:ascii="宋体" w:hAnsi="宋体" w:eastAsia="宋体" w:cs="宋体"/>
                <w:sz w:val="24"/>
                <w:szCs w:val="24"/>
              </w:rPr>
              <w:t>公告</w:t>
            </w:r>
          </w:p>
        </w:tc>
      </w:tr>
      <w:tr w14:paraId="1173C52A">
        <w:tblPrEx>
          <w:tblCellMar>
            <w:top w:w="0" w:type="dxa"/>
            <w:left w:w="108" w:type="dxa"/>
            <w:bottom w:w="0" w:type="dxa"/>
            <w:right w:w="108" w:type="dxa"/>
          </w:tblCellMar>
        </w:tblPrEx>
        <w:trPr>
          <w:trHeight w:val="3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F627CB4">
            <w:pPr>
              <w:rPr>
                <w:rFonts w:hint="eastAsia" w:ascii="宋体" w:hAnsi="宋体" w:eastAsia="宋体" w:cs="宋体"/>
                <w:sz w:val="24"/>
                <w:szCs w:val="28"/>
              </w:rPr>
            </w:pPr>
            <w:r>
              <w:rPr>
                <w:rFonts w:hint="eastAsia" w:ascii="宋体" w:hAnsi="宋体" w:eastAsia="宋体" w:cs="宋体"/>
                <w:sz w:val="24"/>
                <w:szCs w:val="28"/>
              </w:rPr>
              <w:t>1.5.2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B84335A">
            <w:pPr>
              <w:keepNext w:val="0"/>
              <w:keepLines w:val="0"/>
              <w:pageBreakBefore w:val="0"/>
              <w:widowControl w:val="0"/>
              <w:kinsoku/>
              <w:wordWrap/>
              <w:overflowPunct/>
              <w:topLinePunct w:val="0"/>
              <w:bidi w:val="0"/>
              <w:snapToGrid/>
              <w:spacing w:line="500" w:lineRule="exact"/>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70BA132">
            <w:pPr>
              <w:pStyle w:val="11"/>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不接受</w:t>
            </w:r>
          </w:p>
        </w:tc>
      </w:tr>
      <w:tr w14:paraId="51035BA5">
        <w:tblPrEx>
          <w:tblCellMar>
            <w:top w:w="0" w:type="dxa"/>
            <w:left w:w="108" w:type="dxa"/>
            <w:bottom w:w="0" w:type="dxa"/>
            <w:right w:w="108" w:type="dxa"/>
          </w:tblCellMar>
        </w:tblPrEx>
        <w:trPr>
          <w:trHeight w:val="56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E42B176">
            <w:pPr>
              <w:rPr>
                <w:rFonts w:hint="eastAsia" w:ascii="宋体" w:hAnsi="宋体" w:eastAsia="宋体" w:cs="宋体"/>
                <w:sz w:val="24"/>
                <w:szCs w:val="28"/>
              </w:rPr>
            </w:pPr>
            <w:r>
              <w:rPr>
                <w:rFonts w:hint="eastAsia" w:ascii="宋体" w:hAnsi="宋体" w:eastAsia="宋体" w:cs="宋体"/>
                <w:sz w:val="24"/>
                <w:szCs w:val="28"/>
              </w:rPr>
              <w:t>1.10</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E3DAFEF">
            <w:pPr>
              <w:keepNext w:val="0"/>
              <w:keepLines w:val="0"/>
              <w:pageBreakBefore w:val="0"/>
              <w:widowControl w:val="0"/>
              <w:kinsoku/>
              <w:wordWrap/>
              <w:overflowPunct/>
              <w:topLinePunct w:val="0"/>
              <w:bidi w:val="0"/>
              <w:adjustRightInd w:val="0"/>
              <w:snapToGrid/>
              <w:spacing w:line="50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现场踏勘</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C282E70">
            <w:pPr>
              <w:pStyle w:val="11"/>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自行踏勘</w:t>
            </w:r>
          </w:p>
        </w:tc>
      </w:tr>
      <w:tr w14:paraId="05A81943">
        <w:tblPrEx>
          <w:tblCellMar>
            <w:top w:w="0" w:type="dxa"/>
            <w:left w:w="108" w:type="dxa"/>
            <w:bottom w:w="0" w:type="dxa"/>
            <w:right w:w="108" w:type="dxa"/>
          </w:tblCellMar>
        </w:tblPrEx>
        <w:trPr>
          <w:trHeight w:val="564"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21CEA1A9">
            <w:pPr>
              <w:rPr>
                <w:rFonts w:hint="eastAsia" w:ascii="宋体" w:hAnsi="宋体" w:eastAsia="宋体" w:cs="宋体"/>
                <w:sz w:val="24"/>
                <w:szCs w:val="28"/>
              </w:rPr>
            </w:pPr>
            <w:r>
              <w:rPr>
                <w:rFonts w:hint="eastAsia" w:ascii="宋体" w:hAnsi="宋体" w:eastAsia="宋体" w:cs="宋体"/>
                <w:sz w:val="24"/>
                <w:szCs w:val="28"/>
              </w:rPr>
              <w:t>1.11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5005116">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分包</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2778F6FB">
            <w:pPr>
              <w:pStyle w:val="11"/>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14:paraId="412904C3">
        <w:tblPrEx>
          <w:tblCellMar>
            <w:top w:w="0" w:type="dxa"/>
            <w:left w:w="108" w:type="dxa"/>
            <w:bottom w:w="0" w:type="dxa"/>
            <w:right w:w="108" w:type="dxa"/>
          </w:tblCellMar>
        </w:tblPrEx>
        <w:trPr>
          <w:trHeight w:val="469"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61C5C">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9869BE">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06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D5CFB6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2119A0F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4FFBC5E3">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4C2A3AEC">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6B5DE997">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★服务期限</w:t>
            </w:r>
          </w:p>
          <w:p w14:paraId="643D1F46">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73F111E1">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1394E928">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114F67FC">
        <w:tblPrEx>
          <w:tblCellMar>
            <w:top w:w="0" w:type="dxa"/>
            <w:left w:w="108" w:type="dxa"/>
            <w:bottom w:w="0" w:type="dxa"/>
            <w:right w:w="108" w:type="dxa"/>
          </w:tblCellMar>
        </w:tblPrEx>
        <w:trPr>
          <w:trHeight w:val="469"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2BDEACD6">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33BB26B">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构成磋商文件</w:t>
            </w:r>
          </w:p>
          <w:p w14:paraId="11B74814">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63FB8B6">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除磋商文件外，采购人在磋商期间发出的澄清、修改、补充、补遗和其它有效正式函件等内容均是磋商文件的组成部分</w:t>
            </w:r>
          </w:p>
        </w:tc>
      </w:tr>
      <w:tr w14:paraId="7908D821">
        <w:tblPrEx>
          <w:tblCellMar>
            <w:top w:w="0" w:type="dxa"/>
            <w:left w:w="108" w:type="dxa"/>
            <w:bottom w:w="0" w:type="dxa"/>
            <w:right w:w="108" w:type="dxa"/>
          </w:tblCellMar>
        </w:tblPrEx>
        <w:trPr>
          <w:trHeight w:val="9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3ADA038">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5AAA323">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提出问题的</w:t>
            </w:r>
            <w:r>
              <w:rPr>
                <w:rFonts w:hint="eastAsia" w:ascii="宋体" w:hAnsi="宋体" w:eastAsia="宋体" w:cs="宋体"/>
                <w:color w:val="auto"/>
                <w:sz w:val="24"/>
                <w:szCs w:val="24"/>
              </w:rPr>
              <w:t>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FC0B416">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公告发布之日起</w:t>
            </w:r>
            <w:r>
              <w:rPr>
                <w:rFonts w:hint="eastAsia" w:ascii="宋体" w:hAnsi="宋体" w:eastAsia="宋体" w:cs="宋体"/>
                <w:color w:val="auto"/>
                <w:sz w:val="24"/>
                <w:szCs w:val="24"/>
                <w:lang w:val="en-US" w:eastAsia="zh-CN"/>
              </w:rPr>
              <w:t>7个工作日内</w:t>
            </w:r>
          </w:p>
        </w:tc>
      </w:tr>
      <w:tr w14:paraId="7217A831">
        <w:tblPrEx>
          <w:tblCellMar>
            <w:top w:w="0" w:type="dxa"/>
            <w:left w:w="108" w:type="dxa"/>
            <w:bottom w:w="0" w:type="dxa"/>
            <w:right w:w="108" w:type="dxa"/>
          </w:tblCellMar>
        </w:tblPrEx>
        <w:trPr>
          <w:trHeight w:val="9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55D7163">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AAA1BD3">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采购人澄清磋商文件的截止时间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1913FE63">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递交响应文件截止之日5天前</w:t>
            </w:r>
          </w:p>
        </w:tc>
      </w:tr>
      <w:tr w14:paraId="2DBA42C3">
        <w:tblPrEx>
          <w:tblCellMar>
            <w:top w:w="0" w:type="dxa"/>
            <w:left w:w="108" w:type="dxa"/>
            <w:bottom w:w="0" w:type="dxa"/>
            <w:right w:w="108" w:type="dxa"/>
          </w:tblCellMar>
        </w:tblPrEx>
        <w:trPr>
          <w:trHeight w:val="114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9DA46C3">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078369A">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供应商确认收到磋商文件澄清的时间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730A3FA">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在收到相应澄清文件后 24 小时内</w:t>
            </w:r>
          </w:p>
        </w:tc>
      </w:tr>
      <w:tr w14:paraId="5F453D6C">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56D1ECF4">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2.3.2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F3595EF">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供应商确认收到磋商文件修改的时间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3AEB88A2">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在收到相应修改文件后 24 小时内</w:t>
            </w:r>
          </w:p>
        </w:tc>
      </w:tr>
      <w:tr w14:paraId="5B9FE895">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3FC5C1A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DA4C309">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构成响应文件</w:t>
            </w:r>
          </w:p>
          <w:p w14:paraId="23E43B81">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BA3C9C0">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供应商认为需要提交的其他证明材料</w:t>
            </w:r>
          </w:p>
        </w:tc>
      </w:tr>
      <w:tr w14:paraId="430ABCFE">
        <w:tblPrEx>
          <w:tblCellMar>
            <w:top w:w="0" w:type="dxa"/>
            <w:left w:w="108" w:type="dxa"/>
            <w:bottom w:w="0" w:type="dxa"/>
            <w:right w:w="108" w:type="dxa"/>
          </w:tblCellMar>
        </w:tblPrEx>
        <w:trPr>
          <w:trHeight w:val="70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7B7DD839">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3.3.1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4BA34CB">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8436C54">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60日历天（响应文件截止之日起）</w:t>
            </w:r>
          </w:p>
        </w:tc>
      </w:tr>
      <w:tr w14:paraId="21AC3F5D">
        <w:tblPrEx>
          <w:tblCellMar>
            <w:top w:w="0" w:type="dxa"/>
            <w:left w:w="108" w:type="dxa"/>
            <w:bottom w:w="0" w:type="dxa"/>
            <w:right w:w="108" w:type="dxa"/>
          </w:tblCellMar>
        </w:tblPrEx>
        <w:trPr>
          <w:trHeight w:val="55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E60A979">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lang w:val="en-US" w:eastAsia="zh-CN"/>
              </w:rPr>
            </w:pPr>
            <w:r>
              <w:rPr>
                <w:rFonts w:hint="eastAsia" w:ascii="宋体" w:hAnsi="宋体" w:eastAsia="宋体" w:cs="宋体"/>
                <w:sz w:val="24"/>
                <w:szCs w:val="28"/>
              </w:rPr>
              <w:t>3.2.3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133AB90">
            <w:pPr>
              <w:keepNext w:val="0"/>
              <w:keepLines w:val="0"/>
              <w:pageBreakBefore w:val="0"/>
              <w:widowControl w:val="0"/>
              <w:kinsoku/>
              <w:wordWrap/>
              <w:overflowPunct/>
              <w:topLinePunct w:val="0"/>
              <w:bidi w:val="0"/>
              <w:snapToGrid/>
              <w:spacing w:line="500" w:lineRule="exact"/>
              <w:ind w:left="0" w:leftChars="0" w:firstLine="0" w:firstLineChars="0"/>
              <w:jc w:val="center"/>
              <w:textAlignment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28"/>
              </w:rPr>
              <w:t>报价方式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9A4519E">
            <w:pPr>
              <w:keepNext w:val="0"/>
              <w:keepLines w:val="0"/>
              <w:pageBreakBefore w:val="0"/>
              <w:widowControl w:val="0"/>
              <w:kinsoku/>
              <w:wordWrap/>
              <w:overflowPunct/>
              <w:topLinePunct w:val="0"/>
              <w:bidi w:val="0"/>
              <w:snapToGrid/>
              <w:spacing w:line="500" w:lineRule="exact"/>
              <w:ind w:left="0" w:leftChars="0" w:firstLine="0" w:firstLineChars="0"/>
              <w:jc w:val="left"/>
              <w:textAlignment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28"/>
              </w:rPr>
              <w:t>自主报价</w:t>
            </w:r>
          </w:p>
        </w:tc>
      </w:tr>
      <w:tr w14:paraId="78EAF89B">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14:paraId="24F81C31">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3.6</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36124D4">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是否允许递交备选磋商方案</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F247E65">
            <w:pPr>
              <w:pStyle w:val="11"/>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14:paraId="3A50B981">
        <w:tblPrEx>
          <w:tblCellMar>
            <w:top w:w="0" w:type="dxa"/>
            <w:left w:w="108" w:type="dxa"/>
            <w:bottom w:w="0" w:type="dxa"/>
            <w:right w:w="108" w:type="dxa"/>
          </w:tblCellMar>
        </w:tblPrEx>
        <w:trPr>
          <w:trHeight w:val="544"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9B0CB34">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3.7.3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6A4143B">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电子响应文件</w:t>
            </w:r>
          </w:p>
          <w:p w14:paraId="38586F72">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签字盖章要求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51879B8">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（1）所有要求供应商加盖公章的地方都须加盖供应商的 CA 印章。</w:t>
            </w:r>
          </w:p>
          <w:p w14:paraId="014AAE75">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（2）所有要求法定代表人或其委托代理人签字的地方都须法定代表人或其委托代理人加盖CA印章或签字。</w:t>
            </w:r>
          </w:p>
        </w:tc>
      </w:tr>
      <w:tr w14:paraId="49A5CE33">
        <w:tblPrEx>
          <w:tblCellMar>
            <w:top w:w="0" w:type="dxa"/>
            <w:left w:w="108" w:type="dxa"/>
            <w:bottom w:w="0" w:type="dxa"/>
            <w:right w:w="108" w:type="dxa"/>
          </w:tblCellMar>
        </w:tblPrEx>
        <w:trPr>
          <w:trHeight w:val="78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9445A7A">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3.7.4</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5DF0A4D">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响应文件份数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237BC90B">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加密的电子响应文件壹份（*.XYTF 格式，在会员系统指定位置上传）</w:t>
            </w:r>
          </w:p>
        </w:tc>
      </w:tr>
      <w:tr w14:paraId="1A451D7B">
        <w:tblPrEx>
          <w:tblCellMar>
            <w:top w:w="0" w:type="dxa"/>
            <w:left w:w="108" w:type="dxa"/>
            <w:bottom w:w="0" w:type="dxa"/>
            <w:right w:w="108" w:type="dxa"/>
          </w:tblCellMar>
        </w:tblPrEx>
        <w:trPr>
          <w:trHeight w:val="61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75FBE11">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4.2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07EE332">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响应文件的递交</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372D8EE1">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1、电子响应文件的递交</w:t>
            </w:r>
          </w:p>
          <w:p w14:paraId="73FB63EF">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16C5420F">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2、本项目采用“不见面开标”交易方式，不见面开标大厅网址为 </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https://ggzyjy.xinyang.gov.cn/，供应商无需寄送和递交非加密的电子响应文件，无需到现场参加开标会议，无需到达现场提交原件资料。</w:t>
            </w:r>
            <w:r>
              <w:rPr>
                <w:rFonts w:hint="eastAsia" w:ascii="宋体" w:hAnsi="宋体" w:eastAsia="宋体" w:cs="宋体"/>
                <w:color w:val="auto"/>
                <w:sz w:val="24"/>
                <w:szCs w:val="24"/>
                <w:lang w:val="en-US" w:eastAsia="zh-CN"/>
              </w:rPr>
              <w:fldChar w:fldCharType="end"/>
            </w:r>
          </w:p>
        </w:tc>
      </w:tr>
      <w:tr w14:paraId="393D75D5">
        <w:tblPrEx>
          <w:tblCellMar>
            <w:top w:w="0" w:type="dxa"/>
            <w:left w:w="108" w:type="dxa"/>
            <w:bottom w:w="0" w:type="dxa"/>
            <w:right w:w="108" w:type="dxa"/>
          </w:tblCellMar>
        </w:tblPrEx>
        <w:trPr>
          <w:trHeight w:val="911"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36016F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5.1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943E3D8">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提交响应文件</w:t>
            </w:r>
          </w:p>
          <w:p w14:paraId="1ED2A0C5">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07AC193">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3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11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14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w:t>
            </w:r>
            <w:r>
              <w:rPr>
                <w:rFonts w:hint="eastAsia" w:ascii="宋体" w:hAnsi="宋体" w:eastAsia="宋体" w:cs="宋体"/>
                <w:i w:val="0"/>
                <w:iCs w:val="0"/>
                <w:color w:val="000000"/>
                <w:spacing w:val="-6"/>
                <w:kern w:val="0"/>
                <w:sz w:val="24"/>
                <w:szCs w:val="24"/>
                <w:highlight w:val="none"/>
              </w:rPr>
              <w:t>（北京时间）</w:t>
            </w:r>
          </w:p>
        </w:tc>
      </w:tr>
      <w:tr w14:paraId="5CB04D78">
        <w:tblPrEx>
          <w:tblCellMar>
            <w:top w:w="0" w:type="dxa"/>
            <w:left w:w="108" w:type="dxa"/>
            <w:bottom w:w="0" w:type="dxa"/>
            <w:right w:w="108" w:type="dxa"/>
          </w:tblCellMar>
        </w:tblPrEx>
        <w:trPr>
          <w:trHeight w:val="68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171D5CA9">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5.1.1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9562935">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68DF65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磋商</w:t>
            </w:r>
            <w:r>
              <w:rPr>
                <w:rFonts w:hint="eastAsia" w:ascii="宋体" w:hAnsi="宋体" w:eastAsia="宋体" w:cs="宋体"/>
                <w:color w:val="auto"/>
                <w:kern w:val="0"/>
                <w:sz w:val="24"/>
                <w:szCs w:val="24"/>
              </w:rPr>
              <w:t>时间：同</w:t>
            </w:r>
            <w:r>
              <w:rPr>
                <w:rFonts w:hint="eastAsia" w:ascii="宋体" w:hAnsi="宋体" w:eastAsia="宋体" w:cs="宋体"/>
                <w:color w:val="auto"/>
                <w:sz w:val="24"/>
                <w:szCs w:val="24"/>
              </w:rPr>
              <w:t>响应文件提交</w:t>
            </w:r>
            <w:r>
              <w:rPr>
                <w:rFonts w:hint="eastAsia" w:ascii="宋体" w:hAnsi="宋体" w:eastAsia="宋体" w:cs="宋体"/>
                <w:color w:val="auto"/>
                <w:kern w:val="0"/>
                <w:sz w:val="24"/>
                <w:szCs w:val="24"/>
              </w:rPr>
              <w:t>截止时间</w:t>
            </w:r>
          </w:p>
          <w:p w14:paraId="4EAAE375">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w:t>
            </w:r>
            <w:r>
              <w:rPr>
                <w:rFonts w:hint="eastAsia" w:ascii="宋体" w:hAnsi="宋体" w:eastAsia="宋体" w:cs="宋体"/>
                <w:color w:val="auto"/>
                <w:kern w:val="0"/>
                <w:sz w:val="24"/>
                <w:szCs w:val="24"/>
              </w:rPr>
              <w:t>地点：</w:t>
            </w:r>
            <w:r>
              <w:rPr>
                <w:rFonts w:hint="eastAsia" w:ascii="宋体" w:hAnsi="宋体" w:eastAsia="宋体" w:cs="宋体"/>
                <w:sz w:val="24"/>
                <w:szCs w:val="24"/>
              </w:rPr>
              <w:t>全国公共资源交易平台（河南省·息县）不见面开标大厅</w:t>
            </w:r>
          </w:p>
        </w:tc>
      </w:tr>
      <w:tr w14:paraId="7D31B130">
        <w:tblPrEx>
          <w:tblCellMar>
            <w:top w:w="0" w:type="dxa"/>
            <w:left w:w="108" w:type="dxa"/>
            <w:bottom w:w="0" w:type="dxa"/>
            <w:right w:w="108" w:type="dxa"/>
          </w:tblCellMar>
        </w:tblPrEx>
        <w:trPr>
          <w:trHeight w:val="544"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287D66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6.1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8A36F46">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7FD7B8C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磋商小组构成：</w:t>
            </w:r>
            <w:r>
              <w:rPr>
                <w:rFonts w:hint="eastAsia" w:ascii="宋体" w:hAnsi="宋体" w:eastAsia="宋体" w:cs="宋体"/>
                <w:color w:val="auto"/>
                <w:sz w:val="24"/>
                <w:szCs w:val="24"/>
                <w:u w:val="single"/>
                <w:lang w:val="en-US" w:eastAsia="zh-CN"/>
              </w:rPr>
              <w:t xml:space="preserve"> 3 </w:t>
            </w:r>
            <w:r>
              <w:rPr>
                <w:rFonts w:hint="eastAsia" w:ascii="宋体" w:hAnsi="宋体" w:eastAsia="宋体" w:cs="宋体"/>
                <w:color w:val="auto"/>
                <w:sz w:val="24"/>
                <w:szCs w:val="24"/>
              </w:rPr>
              <w:t>人，其中业主评委</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rPr>
              <w:t>人，技术、经济类专家</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rPr>
              <w:t>人；</w:t>
            </w:r>
          </w:p>
          <w:p w14:paraId="3F33666A">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专家确定方式：磋商前从政府采购专家库中随机抽取。</w:t>
            </w:r>
          </w:p>
        </w:tc>
      </w:tr>
      <w:tr w14:paraId="2511F8A8">
        <w:tblPrEx>
          <w:tblCellMar>
            <w:top w:w="0" w:type="dxa"/>
            <w:left w:w="108" w:type="dxa"/>
            <w:bottom w:w="0" w:type="dxa"/>
            <w:right w:w="108" w:type="dxa"/>
          </w:tblCellMar>
        </w:tblPrEx>
        <w:trPr>
          <w:trHeight w:val="73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44C08B0">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7.1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1B17D7A">
            <w:pPr>
              <w:keepNext w:val="0"/>
              <w:keepLines w:val="0"/>
              <w:pageBreakBefore w:val="0"/>
              <w:widowControl w:val="0"/>
              <w:kinsoku/>
              <w:wordWrap/>
              <w:overflowPunct/>
              <w:topLinePunct w:val="0"/>
              <w:bidi w:val="0"/>
              <w:adjustRightInd w:val="0"/>
              <w:snapToGrid/>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是否授权磋商小组确定成交人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073BC5D5">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否；推荐的成交候选人数：3名</w:t>
            </w:r>
          </w:p>
        </w:tc>
      </w:tr>
      <w:tr w14:paraId="37A9F50B">
        <w:tblPrEx>
          <w:tblCellMar>
            <w:top w:w="0" w:type="dxa"/>
            <w:left w:w="108" w:type="dxa"/>
            <w:bottom w:w="0" w:type="dxa"/>
            <w:right w:w="108" w:type="dxa"/>
          </w:tblCellMar>
        </w:tblPrEx>
        <w:trPr>
          <w:trHeight w:val="73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0CA7D4C7">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7.3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B329DF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履约</w:t>
            </w:r>
            <w:r>
              <w:rPr>
                <w:rFonts w:hint="eastAsia" w:ascii="宋体" w:hAnsi="宋体" w:eastAsia="宋体" w:cs="宋体"/>
                <w:color w:val="000000"/>
                <w:kern w:val="0"/>
                <w:sz w:val="24"/>
                <w:szCs w:val="24"/>
                <w:lang w:eastAsia="zh-CN"/>
              </w:rPr>
              <w:t>保证金</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14:paraId="58BE357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无</w:t>
            </w:r>
          </w:p>
        </w:tc>
      </w:tr>
      <w:tr w14:paraId="60888FA7">
        <w:tblPrEx>
          <w:tblCellMar>
            <w:top w:w="0" w:type="dxa"/>
            <w:left w:w="108" w:type="dxa"/>
            <w:bottom w:w="0" w:type="dxa"/>
            <w:right w:w="108" w:type="dxa"/>
          </w:tblCellMar>
        </w:tblPrEx>
        <w:trPr>
          <w:trHeight w:val="714" w:hRule="atLeast"/>
        </w:trPr>
        <w:tc>
          <w:tcPr>
            <w:tcW w:w="10362" w:type="dxa"/>
            <w:gridSpan w:val="4"/>
            <w:tcBorders>
              <w:top w:val="single" w:color="auto" w:sz="4" w:space="0"/>
              <w:left w:val="single" w:color="auto" w:sz="4" w:space="0"/>
              <w:bottom w:val="single" w:color="auto" w:sz="4" w:space="0"/>
              <w:right w:val="single" w:color="auto" w:sz="4" w:space="0"/>
            </w:tcBorders>
            <w:noWrap w:val="0"/>
            <w:vAlign w:val="center"/>
          </w:tcPr>
          <w:p w14:paraId="6E4E1C94">
            <w:pPr>
              <w:keepNext w:val="0"/>
              <w:keepLines w:val="0"/>
              <w:pageBreakBefore w:val="0"/>
              <w:widowControl w:val="0"/>
              <w:kinsoku/>
              <w:wordWrap/>
              <w:overflowPunct/>
              <w:topLinePunct w:val="0"/>
              <w:bidi w:val="0"/>
              <w:adjustRightInd w:val="0"/>
              <w:snapToGrid/>
              <w:spacing w:line="50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需要补充的其他内容</w:t>
            </w:r>
          </w:p>
        </w:tc>
      </w:tr>
      <w:tr w14:paraId="2CE0848F">
        <w:tblPrEx>
          <w:tblCellMar>
            <w:top w:w="0" w:type="dxa"/>
            <w:left w:w="108" w:type="dxa"/>
            <w:bottom w:w="0" w:type="dxa"/>
            <w:right w:w="108" w:type="dxa"/>
          </w:tblCellMar>
        </w:tblPrEx>
        <w:trPr>
          <w:trHeight w:val="56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4A5E6708">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10.1</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6E11CB3D">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217AEA6A">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构成本磋商文件的各个组成文件应互为解释，互为说明；如有不明确或不一致，按</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、供应商须知、评审办法、</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75EDB59">
        <w:tblPrEx>
          <w:tblCellMar>
            <w:top w:w="0" w:type="dxa"/>
            <w:left w:w="108" w:type="dxa"/>
            <w:bottom w:w="0" w:type="dxa"/>
            <w:right w:w="108" w:type="dxa"/>
          </w:tblCellMar>
        </w:tblPrEx>
        <w:trPr>
          <w:trHeight w:val="48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6ACF7E2">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192B5349">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采购代理服务费</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34C8D206">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代理服务费由中标人支付，参照《招标代理合同》约定及</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r w14:paraId="43CE05DF">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A0F828D">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b w:val="0"/>
                <w:bCs w:val="0"/>
                <w:color w:val="auto"/>
                <w:kern w:val="2"/>
                <w:sz w:val="24"/>
                <w:szCs w:val="24"/>
                <w:lang w:val="en-US" w:eastAsia="zh-CN" w:bidi="ar-SA"/>
              </w:rPr>
            </w:pPr>
            <w:bookmarkStart w:id="159" w:name="_Toc152045529"/>
            <w:bookmarkStart w:id="160" w:name="_Toc466298091"/>
            <w:bookmarkStart w:id="161" w:name="_Toc144974497"/>
            <w:bookmarkStart w:id="162" w:name="_Toc10694"/>
            <w:bookmarkStart w:id="163" w:name="_Toc455080108"/>
            <w:bookmarkStart w:id="164" w:name="_Toc152042305"/>
            <w:r>
              <w:rPr>
                <w:rFonts w:hint="eastAsia" w:ascii="宋体" w:hAnsi="宋体" w:eastAsia="宋体" w:cs="宋体"/>
                <w:b w:val="0"/>
                <w:bCs w:val="0"/>
                <w:color w:val="000000"/>
                <w:kern w:val="0"/>
                <w:sz w:val="24"/>
                <w:szCs w:val="24"/>
                <w:lang w:val="en-US" w:eastAsia="zh-CN"/>
              </w:rPr>
              <w:t>10.3</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1EAF2A02">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0"/>
                <w:sz w:val="24"/>
                <w:szCs w:val="24"/>
              </w:rPr>
              <w:t>标书雷同性分析</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44B68A7A">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文件制作机器码、文件创建标识码有相同的按废标处理。</w:t>
            </w:r>
          </w:p>
        </w:tc>
      </w:tr>
      <w:tr w14:paraId="456E73AD">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69DAA47B">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10.4</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7CF2AD16">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注意事项</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4609C038">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根据《信阳市财政局关于在政府采购项目中对上传诚信库信息的使用进行调整的通知》（信财购【2021】12号）相关规定，专家评审只需对投标文件进行评审，并以</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文件的响应为唯一评审依据，不再比对主体信用信息。</w:t>
            </w:r>
          </w:p>
        </w:tc>
      </w:tr>
      <w:tr w14:paraId="32C85761">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3F276A3F">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10.5</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19DB7D8D">
            <w:pPr>
              <w:keepNext w:val="0"/>
              <w:keepLines w:val="0"/>
              <w:pageBreakBefore w:val="0"/>
              <w:widowControl w:val="0"/>
              <w:kinsoku/>
              <w:wordWrap/>
              <w:overflowPunct/>
              <w:topLinePunct w:val="0"/>
              <w:bidi w:val="0"/>
              <w:snapToGrid/>
              <w:spacing w:line="500" w:lineRule="exact"/>
              <w:ind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质疑相关事项</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606A295C">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269E3A0A">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14:paraId="5383AF46">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10.6</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7ED1F208">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技术支持</w:t>
            </w:r>
          </w:p>
        </w:tc>
        <w:tc>
          <w:tcPr>
            <w:tcW w:w="6982" w:type="dxa"/>
            <w:tcBorders>
              <w:top w:val="single" w:color="auto" w:sz="4" w:space="0"/>
              <w:left w:val="single" w:color="auto" w:sz="4" w:space="0"/>
              <w:bottom w:val="single" w:color="auto" w:sz="4" w:space="0"/>
              <w:right w:val="single" w:color="auto" w:sz="4" w:space="0"/>
            </w:tcBorders>
            <w:noWrap w:val="0"/>
            <w:vAlign w:val="center"/>
          </w:tcPr>
          <w:p w14:paraId="6C6D6493">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息县公共资源交易中心</w:t>
            </w:r>
          </w:p>
          <w:p w14:paraId="54040E34">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地    址：河南省信阳市息县市民之家</w:t>
            </w:r>
          </w:p>
          <w:p w14:paraId="49779ACA">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 xml:space="preserve">电子交易系统技术支持电话：4009980000、0376-6369667  </w:t>
            </w:r>
          </w:p>
        </w:tc>
      </w:tr>
    </w:tbl>
    <w:p w14:paraId="0AF77CAF">
      <w:pPr>
        <w:pStyle w:val="31"/>
        <w:spacing w:before="0" w:beforeLines="0" w:line="360" w:lineRule="auto"/>
        <w:rPr>
          <w:rFonts w:hint="eastAsia" w:ascii="宋体" w:hAnsi="宋体" w:eastAsia="宋体"/>
          <w:b/>
          <w:bCs/>
          <w:color w:val="auto"/>
          <w:sz w:val="24"/>
          <w:szCs w:val="24"/>
        </w:rPr>
        <w:sectPr>
          <w:footerReference r:id="rId7" w:type="default"/>
          <w:pgSz w:w="11905" w:h="16838"/>
          <w:pgMar w:top="1213" w:right="1236" w:bottom="1270" w:left="1236" w:header="340" w:footer="850" w:gutter="0"/>
          <w:pgBorders>
            <w:top w:val="none" w:sz="0" w:space="0"/>
            <w:left w:val="none" w:sz="0" w:space="0"/>
            <w:bottom w:val="none" w:sz="0" w:space="0"/>
            <w:right w:val="none" w:sz="0" w:space="0"/>
          </w:pgBorders>
          <w:pgNumType w:fmt="decimal" w:start="1"/>
          <w:cols w:space="720" w:num="1"/>
          <w:rtlGutter w:val="0"/>
          <w:docGrid w:type="lines" w:linePitch="349" w:charSpace="0"/>
        </w:sectPr>
      </w:pPr>
    </w:p>
    <w:p w14:paraId="4BDE097C">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color w:val="auto"/>
          <w:sz w:val="24"/>
          <w:szCs w:val="24"/>
        </w:rPr>
      </w:pPr>
      <w:bookmarkStart w:id="165" w:name="_Toc26921"/>
      <w:r>
        <w:rPr>
          <w:rFonts w:hint="eastAsia" w:ascii="宋体" w:hAnsi="宋体" w:eastAsia="宋体" w:cs="宋体"/>
          <w:b/>
          <w:bCs/>
          <w:color w:val="auto"/>
          <w:sz w:val="24"/>
          <w:szCs w:val="24"/>
        </w:rPr>
        <w:t>1. 总则</w:t>
      </w:r>
      <w:bookmarkEnd w:id="159"/>
      <w:bookmarkEnd w:id="160"/>
      <w:bookmarkEnd w:id="161"/>
      <w:bookmarkEnd w:id="162"/>
      <w:bookmarkEnd w:id="163"/>
      <w:bookmarkEnd w:id="164"/>
      <w:bookmarkEnd w:id="165"/>
    </w:p>
    <w:p w14:paraId="2FDE4FA9">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66" w:name="_Toc490667828"/>
      <w:bookmarkStart w:id="167" w:name="_Toc10273"/>
      <w:bookmarkStart w:id="168" w:name="_Toc466298092"/>
      <w:bookmarkStart w:id="169" w:name="_Toc455080109"/>
      <w:bookmarkStart w:id="170" w:name="_Toc29023"/>
      <w:bookmarkStart w:id="171" w:name="_Toc281380952"/>
      <w:bookmarkStart w:id="172" w:name="_Toc16489"/>
      <w:bookmarkStart w:id="173" w:name="_Toc15709"/>
      <w:bookmarkStart w:id="174" w:name="_Toc318450675"/>
      <w:bookmarkStart w:id="175" w:name="_Toc20827"/>
      <w:bookmarkStart w:id="176" w:name="_Toc658"/>
      <w:bookmarkStart w:id="177" w:name="_Toc31404"/>
      <w:bookmarkStart w:id="178" w:name="_Toc6747"/>
      <w:bookmarkStart w:id="179" w:name="_Toc274409866"/>
      <w:bookmarkStart w:id="180" w:name="_Toc455867769"/>
      <w:bookmarkStart w:id="181" w:name="_Toc1172"/>
      <w:bookmarkStart w:id="182" w:name="_Toc21458"/>
      <w:bookmarkStart w:id="183" w:name="_Toc21266"/>
      <w:bookmarkStart w:id="184" w:name="_Toc15893"/>
      <w:bookmarkStart w:id="185" w:name="_Toc144974499"/>
      <w:bookmarkStart w:id="186" w:name="_Toc152042307"/>
      <w:bookmarkStart w:id="187" w:name="_Toc152045531"/>
      <w:r>
        <w:rPr>
          <w:rFonts w:hint="eastAsia" w:ascii="宋体" w:hAnsi="宋体" w:eastAsia="宋体" w:cs="宋体"/>
          <w:b/>
          <w:bCs/>
          <w:color w:val="auto"/>
          <w:sz w:val="24"/>
          <w:szCs w:val="24"/>
        </w:rPr>
        <w:t>1.1 适用范围</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21E735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1.1.1根据《中华人民共和国政府采购法》等有关法律、法规和规章的规定，编制本项目磋商文件。</w:t>
      </w:r>
    </w:p>
    <w:p w14:paraId="0F29E1E4">
      <w:pPr>
        <w:pStyle w:val="34"/>
        <w:pageBreakBefore w:val="0"/>
        <w:tabs>
          <w:tab w:val="left" w:pos="7410"/>
        </w:tabs>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88" w:name="_Toc281405468"/>
      <w:bookmarkStart w:id="189" w:name="_Toc466298093"/>
      <w:bookmarkStart w:id="190" w:name="_Toc274409867"/>
      <w:bookmarkStart w:id="191" w:name="_Toc318450676"/>
      <w:bookmarkStart w:id="192" w:name="_Toc10556"/>
      <w:bookmarkStart w:id="193" w:name="_Toc10269"/>
      <w:bookmarkStart w:id="194" w:name="_Toc30891"/>
      <w:bookmarkStart w:id="195" w:name="_Toc3336"/>
      <w:bookmarkStart w:id="196" w:name="_Toc490667829"/>
      <w:bookmarkStart w:id="197" w:name="_Toc25773"/>
      <w:bookmarkStart w:id="198" w:name="_Toc455080110"/>
      <w:bookmarkStart w:id="199" w:name="_Toc32619"/>
      <w:bookmarkStart w:id="200" w:name="_Toc7237"/>
      <w:bookmarkStart w:id="201" w:name="_Toc2929"/>
      <w:bookmarkStart w:id="202" w:name="_Toc710"/>
      <w:bookmarkStart w:id="203" w:name="_Toc455867770"/>
      <w:bookmarkStart w:id="204" w:name="_Toc24852"/>
      <w:bookmarkStart w:id="205" w:name="_Toc28038"/>
      <w:bookmarkStart w:id="206" w:name="_Toc5601"/>
      <w:r>
        <w:rPr>
          <w:rFonts w:hint="eastAsia" w:ascii="宋体" w:hAnsi="宋体" w:eastAsia="宋体" w:cs="宋体"/>
          <w:b/>
          <w:bCs/>
          <w:color w:val="auto"/>
          <w:sz w:val="24"/>
          <w:szCs w:val="24"/>
        </w:rPr>
        <w:t>1.2 招标项目说明</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F2320A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本项目采购人：见供应商须知前附表。</w:t>
      </w:r>
    </w:p>
    <w:p w14:paraId="095DBE1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本项目采购代理机构：见供应商须知前附表。</w:t>
      </w:r>
    </w:p>
    <w:p w14:paraId="31A20806">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本项目名称：见供应商须知前附表。</w:t>
      </w:r>
    </w:p>
    <w:p w14:paraId="3C4AF19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1.2.4 本项目采购方式</w:t>
      </w:r>
      <w:r>
        <w:rPr>
          <w:rFonts w:hint="eastAsia" w:ascii="宋体" w:hAnsi="宋体" w:eastAsia="宋体" w:cs="宋体"/>
          <w:color w:val="auto"/>
          <w:sz w:val="24"/>
          <w:szCs w:val="24"/>
        </w:rPr>
        <w:t>：见供应商须知前附表。</w:t>
      </w:r>
    </w:p>
    <w:p w14:paraId="06CACF24">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 本项目采购预算价</w:t>
      </w:r>
      <w:r>
        <w:rPr>
          <w:rFonts w:hint="eastAsia" w:ascii="宋体" w:hAnsi="宋体" w:eastAsia="宋体" w:cs="宋体"/>
          <w:color w:val="auto"/>
          <w:sz w:val="24"/>
          <w:szCs w:val="24"/>
        </w:rPr>
        <w:t>：见供应商须知前附表。</w:t>
      </w:r>
    </w:p>
    <w:p w14:paraId="7D2869E8">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07" w:name="_Toc30947"/>
      <w:bookmarkStart w:id="208" w:name="_Toc274409868"/>
      <w:bookmarkStart w:id="209" w:name="_Toc455867771"/>
      <w:bookmarkStart w:id="210" w:name="_Toc18960"/>
      <w:bookmarkStart w:id="211" w:name="_Toc466298094"/>
      <w:bookmarkStart w:id="212" w:name="_Toc15806"/>
      <w:bookmarkStart w:id="213" w:name="_Toc318450677"/>
      <w:bookmarkStart w:id="214" w:name="_Toc16931"/>
      <w:bookmarkStart w:id="215" w:name="_Toc4122"/>
      <w:bookmarkStart w:id="216" w:name="_Toc4563"/>
      <w:bookmarkStart w:id="217" w:name="_Toc490667830"/>
      <w:bookmarkStart w:id="218" w:name="_Toc455080111"/>
      <w:bookmarkStart w:id="219" w:name="_Toc17146"/>
      <w:bookmarkStart w:id="220" w:name="_Toc3477"/>
      <w:bookmarkStart w:id="221" w:name="_Toc17016"/>
      <w:bookmarkStart w:id="222" w:name="_Toc22979"/>
      <w:bookmarkStart w:id="223" w:name="_Toc4952"/>
      <w:bookmarkStart w:id="224" w:name="_Toc281405469"/>
      <w:bookmarkStart w:id="225" w:name="_Toc1373"/>
      <w:r>
        <w:rPr>
          <w:rFonts w:hint="eastAsia" w:ascii="宋体" w:hAnsi="宋体" w:eastAsia="宋体" w:cs="宋体"/>
          <w:b/>
          <w:bCs/>
          <w:color w:val="auto"/>
          <w:sz w:val="24"/>
          <w:szCs w:val="24"/>
        </w:rPr>
        <w:t>1.3 定义及解释</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257572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1.3.1采购人：依法进行政府采购的国家机关、事业单位、团体组织。</w:t>
      </w:r>
    </w:p>
    <w:p w14:paraId="7734F792">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1.3.2采购代理机构：取得政府采购招标代理资质，受采购人委托组织招标活动的社会中介组织。</w:t>
      </w:r>
    </w:p>
    <w:p w14:paraId="43EDFBD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1.3.3服务：系指根据本磋商文件规定供应商须承担的服务以及其他类似的义务等。</w:t>
      </w:r>
    </w:p>
    <w:p w14:paraId="130D95C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1.3.4供应商：供应商是响应磋商文件、参加磋商竞争的中华人民共和国境内的法人、其它组织。</w:t>
      </w:r>
    </w:p>
    <w:p w14:paraId="7F243DD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1.3.5响应文件：指供应商根据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提交的所有文件。</w:t>
      </w:r>
    </w:p>
    <w:p w14:paraId="54F7720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1.3.6磋商小组：依据</w:t>
      </w:r>
      <w:r>
        <w:rPr>
          <w:rFonts w:hint="eastAsia" w:ascii="宋体" w:hAnsi="宋体" w:eastAsia="宋体" w:cs="宋体"/>
          <w:color w:val="auto"/>
          <w:sz w:val="24"/>
          <w:szCs w:val="24"/>
          <w:lang w:bidi="en-US"/>
        </w:rPr>
        <w:t>《中华人民共和国政府采购法》及有关法律、法规的规定依法组建的专门负责本次评标工作的临时机构</w:t>
      </w:r>
      <w:r>
        <w:rPr>
          <w:rFonts w:hint="eastAsia" w:ascii="宋体" w:hAnsi="宋体" w:eastAsia="宋体" w:cs="宋体"/>
          <w:color w:val="auto"/>
          <w:sz w:val="24"/>
          <w:szCs w:val="24"/>
        </w:rPr>
        <w:t>。</w:t>
      </w:r>
    </w:p>
    <w:p w14:paraId="5B6C010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1.3.7偏离：响应文件的响应相对于</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要求的偏差，该偏差优于</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要求的为正偏离；劣于的，为负偏离。</w:t>
      </w:r>
    </w:p>
    <w:p w14:paraId="7AF6CB92">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1.3.8“日期”或“天”：指日历天。</w:t>
      </w:r>
    </w:p>
    <w:p w14:paraId="7BCFF192">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1.3.9合同：指依据本次服务采购招标结果签订的协议或合约文件。</w:t>
      </w:r>
    </w:p>
    <w:p w14:paraId="0290CB14">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1.3.10</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中的标题或题名仅起引导作用，而不应视为对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内容的理解和解释。</w:t>
      </w:r>
    </w:p>
    <w:bookmarkEnd w:id="185"/>
    <w:bookmarkEnd w:id="186"/>
    <w:bookmarkEnd w:id="187"/>
    <w:p w14:paraId="38F704E4">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26" w:name="_Toc12752"/>
      <w:bookmarkStart w:id="227" w:name="_Toc318450678"/>
      <w:bookmarkStart w:id="228" w:name="_Toc19363"/>
      <w:bookmarkStart w:id="229" w:name="_Toc144974500"/>
      <w:bookmarkStart w:id="230" w:name="_Toc14043"/>
      <w:bookmarkStart w:id="231" w:name="_Toc455080112"/>
      <w:bookmarkStart w:id="232" w:name="_Toc466298095"/>
      <w:bookmarkStart w:id="233" w:name="_Toc27407"/>
      <w:bookmarkStart w:id="234" w:name="_Toc152042308"/>
      <w:bookmarkStart w:id="235" w:name="_Toc21766"/>
      <w:bookmarkStart w:id="236" w:name="_Toc17908"/>
      <w:bookmarkStart w:id="237" w:name="_Toc455867772"/>
      <w:bookmarkStart w:id="238" w:name="_Toc17808"/>
      <w:bookmarkStart w:id="239" w:name="_Toc32236"/>
      <w:bookmarkStart w:id="240" w:name="_Toc16470"/>
      <w:bookmarkStart w:id="241" w:name="_Toc152045532"/>
      <w:bookmarkStart w:id="242" w:name="_Toc10894"/>
      <w:bookmarkStart w:id="243" w:name="_Toc490667831"/>
      <w:bookmarkStart w:id="244" w:name="_Toc24472"/>
      <w:bookmarkStart w:id="245" w:name="_Toc3614"/>
      <w:r>
        <w:rPr>
          <w:rFonts w:hint="eastAsia" w:ascii="宋体" w:hAnsi="宋体" w:eastAsia="宋体" w:cs="宋体"/>
          <w:b/>
          <w:bCs/>
          <w:color w:val="auto"/>
          <w:sz w:val="24"/>
          <w:szCs w:val="24"/>
        </w:rPr>
        <w:t xml:space="preserve">1.4 </w:t>
      </w:r>
      <w:r>
        <w:rPr>
          <w:rFonts w:hint="eastAsia" w:ascii="宋体" w:hAnsi="宋体" w:eastAsia="宋体" w:cs="宋体"/>
          <w:b/>
          <w:bCs/>
          <w:color w:val="auto"/>
          <w:sz w:val="24"/>
          <w:szCs w:val="24"/>
          <w:lang w:eastAsia="zh-CN"/>
        </w:rPr>
        <w:t>磋商内容、</w:t>
      </w:r>
      <w:r>
        <w:rPr>
          <w:rFonts w:hint="eastAsia" w:ascii="宋体" w:hAnsi="宋体" w:eastAsia="宋体" w:cs="宋体"/>
          <w:b/>
          <w:bCs/>
          <w:color w:val="auto"/>
          <w:sz w:val="24"/>
          <w:szCs w:val="24"/>
        </w:rPr>
        <w:t>质量要求</w:t>
      </w:r>
      <w:r>
        <w:rPr>
          <w:rFonts w:hint="eastAsia" w:ascii="宋体" w:hAnsi="宋体" w:eastAsia="宋体" w:cs="宋体"/>
          <w:b/>
          <w:bCs/>
          <w:color w:val="auto"/>
          <w:sz w:val="24"/>
          <w:szCs w:val="24"/>
          <w:lang w:eastAsia="zh-CN"/>
        </w:rPr>
        <w:t>、服务期限、付款方式</w:t>
      </w:r>
      <w:r>
        <w:rPr>
          <w:rFonts w:hint="eastAsia" w:ascii="宋体" w:hAnsi="宋体" w:eastAsia="宋体" w:cs="宋体"/>
          <w:b/>
          <w:bCs/>
          <w:color w:val="auto"/>
          <w:sz w:val="24"/>
          <w:szCs w:val="24"/>
        </w:rPr>
        <w:t>和</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b/>
          <w:bCs/>
          <w:color w:val="auto"/>
          <w:sz w:val="24"/>
          <w:szCs w:val="24"/>
          <w:lang w:eastAsia="zh-CN"/>
        </w:rPr>
        <w:t>资格审查方式</w:t>
      </w:r>
      <w:bookmarkEnd w:id="244"/>
      <w:bookmarkEnd w:id="245"/>
    </w:p>
    <w:p w14:paraId="778960C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本次</w:t>
      </w:r>
      <w:r>
        <w:rPr>
          <w:rFonts w:hint="eastAsia" w:ascii="宋体" w:hAnsi="宋体" w:eastAsia="宋体" w:cs="宋体"/>
          <w:color w:val="auto"/>
          <w:sz w:val="24"/>
          <w:szCs w:val="24"/>
          <w:lang w:eastAsia="zh-CN"/>
        </w:rPr>
        <w:t>磋商内容</w:t>
      </w:r>
      <w:r>
        <w:rPr>
          <w:rFonts w:hint="eastAsia" w:ascii="宋体" w:hAnsi="宋体" w:eastAsia="宋体" w:cs="宋体"/>
          <w:color w:val="auto"/>
          <w:sz w:val="24"/>
          <w:szCs w:val="24"/>
        </w:rPr>
        <w:t>：见供应商须知前附表。</w:t>
      </w:r>
    </w:p>
    <w:p w14:paraId="4D8C6A5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本项目的质量要求：见供应商须知前附表。</w:t>
      </w:r>
    </w:p>
    <w:p w14:paraId="614F164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1.4.3本项目的</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：见供应商须知前附表。</w:t>
      </w:r>
    </w:p>
    <w:p w14:paraId="3431B4B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本项目的</w:t>
      </w:r>
      <w:r>
        <w:rPr>
          <w:rFonts w:hint="eastAsia" w:ascii="宋体" w:hAnsi="宋体" w:eastAsia="宋体" w:cs="宋体"/>
          <w:color w:val="auto"/>
          <w:sz w:val="24"/>
          <w:szCs w:val="24"/>
          <w:lang w:val="en-US" w:eastAsia="zh-CN"/>
        </w:rPr>
        <w:t>付款方式</w:t>
      </w:r>
      <w:r>
        <w:rPr>
          <w:rFonts w:hint="eastAsia" w:ascii="宋体" w:hAnsi="宋体" w:eastAsia="宋体" w:cs="宋体"/>
          <w:color w:val="auto"/>
          <w:sz w:val="24"/>
          <w:szCs w:val="24"/>
        </w:rPr>
        <w:t>：见供应商须知前附表。</w:t>
      </w:r>
    </w:p>
    <w:p w14:paraId="08F311A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本项目的</w:t>
      </w:r>
      <w:r>
        <w:rPr>
          <w:rFonts w:hint="eastAsia" w:ascii="宋体" w:hAnsi="宋体" w:eastAsia="宋体" w:cs="宋体"/>
          <w:color w:val="auto"/>
          <w:sz w:val="24"/>
          <w:szCs w:val="24"/>
          <w:lang w:val="en-US" w:eastAsia="zh-CN"/>
        </w:rPr>
        <w:t>资格审查方式：</w:t>
      </w:r>
      <w:r>
        <w:rPr>
          <w:rFonts w:hint="eastAsia" w:ascii="宋体" w:hAnsi="宋体" w:eastAsia="宋体" w:cs="宋体"/>
          <w:color w:val="auto"/>
          <w:sz w:val="24"/>
          <w:szCs w:val="24"/>
        </w:rPr>
        <w:t>见供应商须知前附表。</w:t>
      </w:r>
    </w:p>
    <w:p w14:paraId="09E2A011">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46" w:name="_Toc152042310"/>
      <w:bookmarkStart w:id="247" w:name="_Toc144974502"/>
      <w:bookmarkStart w:id="248" w:name="_Toc318450679"/>
      <w:bookmarkStart w:id="249" w:name="_Toc152045534"/>
      <w:bookmarkStart w:id="250" w:name="_Toc18004"/>
      <w:bookmarkStart w:id="251" w:name="_Toc1602"/>
      <w:bookmarkStart w:id="252" w:name="_Toc30762"/>
      <w:bookmarkStart w:id="253" w:name="_Toc490667832"/>
      <w:bookmarkStart w:id="254" w:name="_Toc4711"/>
      <w:bookmarkStart w:id="255" w:name="_Toc455867773"/>
      <w:bookmarkStart w:id="256" w:name="_Toc4301"/>
      <w:bookmarkStart w:id="257" w:name="_Toc18689"/>
      <w:bookmarkStart w:id="258" w:name="_Toc22643"/>
      <w:bookmarkStart w:id="259" w:name="_Toc455080113"/>
      <w:bookmarkStart w:id="260" w:name="_Toc6698"/>
      <w:bookmarkStart w:id="261" w:name="_Toc7209"/>
      <w:bookmarkStart w:id="262" w:name="_Toc5019"/>
      <w:bookmarkStart w:id="263" w:name="_Toc466298096"/>
      <w:bookmarkStart w:id="264" w:name="_Toc32156"/>
      <w:bookmarkStart w:id="265" w:name="_Toc11063"/>
      <w:r>
        <w:rPr>
          <w:rFonts w:hint="eastAsia" w:ascii="宋体" w:hAnsi="宋体" w:eastAsia="宋体" w:cs="宋体"/>
          <w:b/>
          <w:bCs/>
          <w:color w:val="auto"/>
          <w:sz w:val="24"/>
          <w:szCs w:val="24"/>
        </w:rPr>
        <w:t xml:space="preserve">1.5 </w:t>
      </w:r>
      <w:bookmarkEnd w:id="246"/>
      <w:bookmarkEnd w:id="247"/>
      <w:bookmarkEnd w:id="248"/>
      <w:bookmarkEnd w:id="249"/>
      <w:r>
        <w:rPr>
          <w:rFonts w:hint="eastAsia" w:ascii="宋体" w:hAnsi="宋体" w:eastAsia="宋体" w:cs="宋体"/>
          <w:b/>
          <w:bCs/>
          <w:color w:val="auto"/>
          <w:sz w:val="24"/>
          <w:szCs w:val="24"/>
        </w:rPr>
        <w:t>供应商资质条件和能力</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AF7FAD2">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66" w:name="_Toc5316"/>
      <w:bookmarkStart w:id="267" w:name="_Toc11905"/>
      <w:bookmarkStart w:id="268" w:name="_Toc28135"/>
      <w:bookmarkStart w:id="269" w:name="_Toc455080114"/>
      <w:bookmarkStart w:id="270" w:name="_Toc12403"/>
      <w:bookmarkStart w:id="271" w:name="_Toc32189"/>
      <w:bookmarkStart w:id="272" w:name="_Toc466298097"/>
      <w:bookmarkStart w:id="273" w:name="_Toc455867774"/>
      <w:bookmarkStart w:id="274" w:name="_Toc32446"/>
      <w:bookmarkStart w:id="275" w:name="_Toc981"/>
      <w:bookmarkStart w:id="276" w:name="_Toc490667833"/>
      <w:bookmarkStart w:id="277" w:name="_Toc318450680"/>
      <w:bookmarkStart w:id="278" w:name="_Toc31854"/>
      <w:bookmarkStart w:id="279" w:name="_Toc651"/>
      <w:bookmarkStart w:id="280" w:name="_Toc16889"/>
      <w:bookmarkStart w:id="281" w:name="_Toc152045535"/>
      <w:bookmarkStart w:id="282" w:name="_Toc9505"/>
      <w:bookmarkStart w:id="283" w:name="_Toc144974503"/>
      <w:bookmarkStart w:id="284" w:name="_Toc5162"/>
      <w:bookmarkStart w:id="285" w:name="_Toc152042311"/>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.1投标供应商资格要求：</w:t>
      </w:r>
      <w:bookmarkEnd w:id="266"/>
    </w:p>
    <w:p w14:paraId="09C8EA87">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6" w:name="_Toc10744"/>
      <w:r>
        <w:rPr>
          <w:rFonts w:hint="eastAsia" w:ascii="宋体" w:hAnsi="宋体" w:eastAsia="宋体" w:cs="宋体"/>
          <w:color w:val="auto"/>
          <w:sz w:val="24"/>
          <w:szCs w:val="24"/>
        </w:rPr>
        <w:t>投标供应商须满足《中华人民共和国政府采购法》第二十二条规定的条件。投标供应商须在投标文件中提供相关承诺，格式自拟，否则投标将被否决。其他具体要求见投标供应商须知前附表。</w:t>
      </w:r>
      <w:bookmarkEnd w:id="286"/>
    </w:p>
    <w:p w14:paraId="7AC222DB">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7" w:name="_Toc3968"/>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合格的投标供应商不应有违法行为，在近三年内无不良经营行为。投标供应商如果在本次招标投标活动中，被有关管理部门认定有违法行为，采购人有权拒绝其投标、取消其中标资格。投标供应商须在投标文件中提供相关承诺，格式自拟，否则投标将被否决。</w:t>
      </w:r>
      <w:bookmarkEnd w:id="287"/>
    </w:p>
    <w:p w14:paraId="024E1744">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8" w:name="_Toc31980"/>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投标供应商不得存在下列情形：</w:t>
      </w:r>
      <w:bookmarkEnd w:id="288"/>
      <w:r>
        <w:rPr>
          <w:rFonts w:hint="eastAsia" w:ascii="宋体" w:hAnsi="宋体" w:eastAsia="宋体" w:cs="宋体"/>
          <w:color w:val="auto"/>
          <w:sz w:val="24"/>
          <w:szCs w:val="24"/>
        </w:rPr>
        <w:t>　</w:t>
      </w:r>
    </w:p>
    <w:p w14:paraId="15EBB06D">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89" w:name="_Toc29265"/>
      <w:r>
        <w:rPr>
          <w:rFonts w:hint="eastAsia" w:ascii="宋体" w:hAnsi="宋体" w:eastAsia="宋体" w:cs="宋体"/>
          <w:color w:val="auto"/>
          <w:sz w:val="24"/>
          <w:szCs w:val="24"/>
        </w:rPr>
        <w:t>（1）与采购人存在利害关系且可能影响采购公正性；</w:t>
      </w:r>
      <w:bookmarkEnd w:id="289"/>
    </w:p>
    <w:p w14:paraId="3D6999EE">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0" w:name="_Toc21013"/>
      <w:r>
        <w:rPr>
          <w:rFonts w:hint="eastAsia" w:ascii="宋体" w:hAnsi="宋体" w:eastAsia="宋体" w:cs="宋体"/>
          <w:color w:val="auto"/>
          <w:sz w:val="24"/>
          <w:szCs w:val="24"/>
        </w:rPr>
        <w:t>（2）与本采购项目的其他投标供应商为同一个单位负责人；</w:t>
      </w:r>
      <w:bookmarkEnd w:id="290"/>
    </w:p>
    <w:p w14:paraId="4BC31DE3">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1" w:name="_Toc18464"/>
      <w:r>
        <w:rPr>
          <w:rFonts w:hint="eastAsia" w:ascii="宋体" w:hAnsi="宋体" w:eastAsia="宋体" w:cs="宋体"/>
          <w:color w:val="auto"/>
          <w:sz w:val="24"/>
          <w:szCs w:val="24"/>
        </w:rPr>
        <w:t>（3）与本采购项目的其他投标供应商存在直接控股、管理关系；</w:t>
      </w:r>
      <w:bookmarkEnd w:id="291"/>
    </w:p>
    <w:p w14:paraId="67554B04">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2" w:name="_Toc26221"/>
      <w:r>
        <w:rPr>
          <w:rFonts w:hint="eastAsia" w:ascii="宋体" w:hAnsi="宋体" w:eastAsia="宋体" w:cs="宋体"/>
          <w:color w:val="auto"/>
          <w:sz w:val="24"/>
          <w:szCs w:val="24"/>
        </w:rPr>
        <w:t>（4）为本采购项目提供整体设计、规范编制或者项目管理、监理、检测等服务；</w:t>
      </w:r>
      <w:bookmarkEnd w:id="292"/>
    </w:p>
    <w:p w14:paraId="59667E24">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3" w:name="_Toc2278"/>
      <w:r>
        <w:rPr>
          <w:rFonts w:hint="eastAsia" w:ascii="宋体" w:hAnsi="宋体" w:eastAsia="宋体" w:cs="宋体"/>
          <w:color w:val="auto"/>
          <w:sz w:val="24"/>
          <w:szCs w:val="24"/>
        </w:rPr>
        <w:t>（5）为本采购项目的采购代理机构或与采购代理机构同为一个法定代表人；</w:t>
      </w:r>
      <w:bookmarkEnd w:id="293"/>
    </w:p>
    <w:p w14:paraId="7CE3A676">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4" w:name="_Toc27978"/>
      <w:r>
        <w:rPr>
          <w:rFonts w:hint="eastAsia" w:ascii="宋体" w:hAnsi="宋体" w:eastAsia="宋体" w:cs="宋体"/>
          <w:color w:val="auto"/>
          <w:sz w:val="24"/>
          <w:szCs w:val="24"/>
        </w:rPr>
        <w:t>（6）因违法经营受到刑事处罚或者责令停产停业、吊销许可证或者执照、较大数额罚款等行政处罚；</w:t>
      </w:r>
      <w:bookmarkEnd w:id="294"/>
    </w:p>
    <w:p w14:paraId="219DC85B">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5" w:name="_Toc20705"/>
      <w:r>
        <w:rPr>
          <w:rFonts w:hint="eastAsia" w:ascii="宋体" w:hAnsi="宋体" w:eastAsia="宋体" w:cs="宋体"/>
          <w:color w:val="auto"/>
          <w:sz w:val="24"/>
          <w:szCs w:val="24"/>
        </w:rPr>
        <w:t>（7）进入清算程序，或被宣告破产，或其他丧失履约能力的情形；</w:t>
      </w:r>
      <w:bookmarkEnd w:id="295"/>
    </w:p>
    <w:p w14:paraId="1292C9DC">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6" w:name="_Toc22342"/>
      <w:r>
        <w:rPr>
          <w:rFonts w:hint="eastAsia" w:ascii="宋体" w:hAnsi="宋体" w:eastAsia="宋体" w:cs="宋体"/>
          <w:color w:val="auto"/>
          <w:sz w:val="24"/>
          <w:szCs w:val="24"/>
        </w:rPr>
        <w:t>（8）被“信用中国”网站（www.creditchina.gov.cn）列入失信被执行人、重大税收违法案件当事人名单；</w:t>
      </w:r>
      <w:bookmarkEnd w:id="296"/>
    </w:p>
    <w:p w14:paraId="078394D2">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7" w:name="_Toc17995"/>
      <w:r>
        <w:rPr>
          <w:rFonts w:hint="eastAsia" w:ascii="宋体" w:hAnsi="宋体" w:eastAsia="宋体" w:cs="宋体"/>
          <w:color w:val="auto"/>
          <w:sz w:val="24"/>
          <w:szCs w:val="24"/>
        </w:rPr>
        <w:t>（9）被国家税务总局网站（www.chinatax.gov.cn/）列入——重大案件查询栏目“重大税收违法案件当事人名单”的投标供应商；（须在投标文件中附查询截图,查询截图应清晰并显示该网页网址，查询时间为开标前3日内，未按要求提供的投标文件无效）；</w:t>
      </w:r>
      <w:bookmarkEnd w:id="297"/>
    </w:p>
    <w:p w14:paraId="58F336FF">
      <w:pPr>
        <w:pStyle w:val="27"/>
        <w:bidi w:val="0"/>
        <w:rPr>
          <w:rFonts w:hint="eastAsia"/>
        </w:rPr>
      </w:pPr>
      <w:r>
        <w:rPr>
          <w:rFonts w:hint="eastAsia"/>
          <w:sz w:val="24"/>
          <w:szCs w:val="36"/>
        </w:rPr>
        <w:t>（10）近三年内投标供应商、法定代表人、授权委托人有行贿犯罪行为的（须提供无行贿犯罪行为承诺书加盖企业电子章及法定代表人、授权委托人签字</w:t>
      </w:r>
      <w:r>
        <w:rPr>
          <w:rFonts w:hint="eastAsia"/>
          <w:sz w:val="24"/>
          <w:szCs w:val="36"/>
          <w:lang w:eastAsia="zh-CN"/>
        </w:rPr>
        <w:t>或盖章</w:t>
      </w:r>
      <w:r>
        <w:rPr>
          <w:rFonts w:hint="eastAsia"/>
          <w:sz w:val="24"/>
          <w:szCs w:val="36"/>
        </w:rPr>
        <w:t xml:space="preserve">），未按要求提供的投标文件无效； </w:t>
      </w:r>
      <w:r>
        <w:rPr>
          <w:rFonts w:hint="eastAsia"/>
        </w:rPr>
        <w:t xml:space="preserve"> </w:t>
      </w:r>
    </w:p>
    <w:p w14:paraId="752721B1">
      <w:pPr>
        <w:pStyle w:val="34"/>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98" w:name="_Toc29074"/>
      <w:r>
        <w:rPr>
          <w:rFonts w:hint="eastAsia" w:ascii="宋体" w:hAnsi="宋体" w:eastAsia="宋体" w:cs="宋体"/>
          <w:color w:val="auto"/>
          <w:sz w:val="24"/>
          <w:szCs w:val="24"/>
        </w:rPr>
        <w:t>（11）法律法规或投标供应商须知前附表规定的其他情形。</w:t>
      </w:r>
      <w:bookmarkEnd w:id="298"/>
    </w:p>
    <w:p w14:paraId="3271A8B0">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99" w:name="_Toc18919"/>
      <w:r>
        <w:rPr>
          <w:rFonts w:hint="eastAsia" w:ascii="宋体" w:hAnsi="宋体" w:eastAsia="宋体" w:cs="宋体"/>
          <w:b/>
          <w:bCs/>
          <w:color w:val="auto"/>
          <w:sz w:val="24"/>
          <w:szCs w:val="24"/>
        </w:rPr>
        <w:t>1.6 费用承担</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99"/>
    </w:p>
    <w:p w14:paraId="02219C2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供应商准备和参加磋商活动发生的费用自理，不论磋商的结果如何，采购人和采购代理机构在任何情况下均无义务和责任承担这些费用。</w:t>
      </w:r>
    </w:p>
    <w:p w14:paraId="5DC1FBAA">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00" w:name="_Toc490667834"/>
      <w:bookmarkStart w:id="301" w:name="_Toc1879"/>
      <w:bookmarkStart w:id="302" w:name="_Toc152045536"/>
      <w:bookmarkStart w:id="303" w:name="_Toc24601"/>
      <w:bookmarkStart w:id="304" w:name="_Toc2622"/>
      <w:bookmarkStart w:id="305" w:name="_Toc22800"/>
      <w:bookmarkStart w:id="306" w:name="_Toc15120"/>
      <w:bookmarkStart w:id="307" w:name="_Toc152042312"/>
      <w:bookmarkStart w:id="308" w:name="_Toc144974504"/>
      <w:bookmarkStart w:id="309" w:name="_Toc22136"/>
      <w:bookmarkStart w:id="310" w:name="_Toc455080115"/>
      <w:bookmarkStart w:id="311" w:name="_Toc10457"/>
      <w:bookmarkStart w:id="312" w:name="_Toc455867775"/>
      <w:bookmarkStart w:id="313" w:name="_Toc5402"/>
      <w:bookmarkStart w:id="314" w:name="_Toc6014"/>
      <w:bookmarkStart w:id="315" w:name="_Toc32053"/>
      <w:bookmarkStart w:id="316" w:name="_Toc466298098"/>
      <w:bookmarkStart w:id="317" w:name="_Toc8055"/>
      <w:bookmarkStart w:id="318" w:name="_Toc318450681"/>
      <w:bookmarkStart w:id="319" w:name="_Toc20145"/>
      <w:r>
        <w:rPr>
          <w:rFonts w:hint="eastAsia" w:ascii="宋体" w:hAnsi="宋体" w:eastAsia="宋体" w:cs="宋体"/>
          <w:b/>
          <w:bCs/>
          <w:color w:val="auto"/>
          <w:sz w:val="24"/>
          <w:szCs w:val="24"/>
        </w:rPr>
        <w:t>1.7 保密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20B9FE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参与磋商活动的各方应对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 xml:space="preserve">和响应文件中的商业和技术等秘密保密，违者应对由此造成的后果承担法律责任。 </w:t>
      </w:r>
    </w:p>
    <w:p w14:paraId="3B3DB6A2">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20" w:name="_Toc144974505"/>
      <w:bookmarkStart w:id="321" w:name="_Toc12517"/>
      <w:bookmarkStart w:id="322" w:name="_Toc3421"/>
      <w:bookmarkStart w:id="323" w:name="_Toc13976"/>
      <w:bookmarkStart w:id="324" w:name="_Toc6615"/>
      <w:bookmarkStart w:id="325" w:name="_Toc490667835"/>
      <w:bookmarkStart w:id="326" w:name="_Toc455080116"/>
      <w:bookmarkStart w:id="327" w:name="_Toc30747"/>
      <w:bookmarkStart w:id="328" w:name="_Toc318450682"/>
      <w:bookmarkStart w:id="329" w:name="_Toc15673"/>
      <w:bookmarkStart w:id="330" w:name="_Toc25517"/>
      <w:bookmarkStart w:id="331" w:name="_Toc14775"/>
      <w:bookmarkStart w:id="332" w:name="_Toc152045537"/>
      <w:bookmarkStart w:id="333" w:name="_Toc21089"/>
      <w:bookmarkStart w:id="334" w:name="_Toc30583"/>
      <w:bookmarkStart w:id="335" w:name="_Toc152042313"/>
      <w:bookmarkStart w:id="336" w:name="_Toc3628"/>
      <w:bookmarkStart w:id="337" w:name="_Toc466298099"/>
      <w:bookmarkStart w:id="338" w:name="_Toc455867776"/>
      <w:bookmarkStart w:id="339" w:name="_Toc7031"/>
      <w:r>
        <w:rPr>
          <w:rFonts w:hint="eastAsia" w:ascii="宋体" w:hAnsi="宋体" w:eastAsia="宋体" w:cs="宋体"/>
          <w:b/>
          <w:bCs/>
          <w:color w:val="auto"/>
          <w:sz w:val="24"/>
          <w:szCs w:val="24"/>
        </w:rPr>
        <w:t>1.8 语言</w:t>
      </w:r>
      <w:bookmarkEnd w:id="320"/>
      <w:r>
        <w:rPr>
          <w:rFonts w:hint="eastAsia" w:ascii="宋体" w:hAnsi="宋体" w:eastAsia="宋体" w:cs="宋体"/>
          <w:b/>
          <w:bCs/>
          <w:color w:val="auto"/>
          <w:sz w:val="24"/>
          <w:szCs w:val="24"/>
        </w:rPr>
        <w:t>文字</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3E3BCB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除专用术语外，与磋商有关的语言均使用中文。必要时专用术语应附有中文注释，</w:t>
      </w:r>
      <w:r>
        <w:rPr>
          <w:rFonts w:hint="eastAsia" w:ascii="宋体" w:hAnsi="宋体" w:eastAsia="宋体" w:cs="宋体"/>
          <w:color w:val="auto"/>
          <w:sz w:val="24"/>
          <w:szCs w:val="24"/>
          <w:lang w:bidi="en-US"/>
        </w:rPr>
        <w:t>对不同文字文本响应文件的解释发生异议的，以中文文本为准。</w:t>
      </w:r>
    </w:p>
    <w:p w14:paraId="1AE88436">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40" w:name="_Toc32507"/>
      <w:bookmarkStart w:id="341" w:name="_Toc152042314"/>
      <w:bookmarkStart w:id="342" w:name="_Toc28755"/>
      <w:bookmarkStart w:id="343" w:name="_Toc466298100"/>
      <w:bookmarkStart w:id="344" w:name="_Toc4237"/>
      <w:bookmarkStart w:id="345" w:name="_Toc318450683"/>
      <w:bookmarkStart w:id="346" w:name="_Toc18357"/>
      <w:bookmarkStart w:id="347" w:name="_Toc9446"/>
      <w:bookmarkStart w:id="348" w:name="_Toc24337"/>
      <w:bookmarkStart w:id="349" w:name="_Toc21516"/>
      <w:bookmarkStart w:id="350" w:name="_Toc14934"/>
      <w:bookmarkStart w:id="351" w:name="_Toc4501"/>
      <w:bookmarkStart w:id="352" w:name="_Toc144974506"/>
      <w:bookmarkStart w:id="353" w:name="_Toc22415"/>
      <w:bookmarkStart w:id="354" w:name="_Toc490667836"/>
      <w:bookmarkStart w:id="355" w:name="_Toc455080117"/>
      <w:bookmarkStart w:id="356" w:name="_Toc455867777"/>
      <w:bookmarkStart w:id="357" w:name="_Toc2702"/>
      <w:bookmarkStart w:id="358" w:name="_Toc22378"/>
      <w:bookmarkStart w:id="359" w:name="_Toc152045538"/>
      <w:r>
        <w:rPr>
          <w:rFonts w:hint="eastAsia" w:ascii="宋体" w:hAnsi="宋体" w:eastAsia="宋体" w:cs="宋体"/>
          <w:b/>
          <w:bCs/>
          <w:color w:val="auto"/>
          <w:sz w:val="24"/>
          <w:szCs w:val="24"/>
        </w:rPr>
        <w:t>1.9 计量单位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0D87C7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7D46FDA8">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360" w:name="_Toc29845"/>
      <w:bookmarkStart w:id="361" w:name="_Toc284"/>
      <w:bookmarkStart w:id="362" w:name="_Toc13675"/>
      <w:bookmarkStart w:id="363" w:name="_Toc466298101"/>
      <w:bookmarkStart w:id="364" w:name="_Toc490667837"/>
      <w:bookmarkStart w:id="365" w:name="_Toc19685"/>
      <w:bookmarkStart w:id="366" w:name="_Toc31195"/>
      <w:bookmarkStart w:id="367" w:name="_Toc152042316"/>
      <w:bookmarkStart w:id="368" w:name="_Toc338"/>
      <w:bookmarkStart w:id="369" w:name="_Toc318450684"/>
      <w:bookmarkStart w:id="370" w:name="_Toc2508"/>
      <w:bookmarkStart w:id="371" w:name="_Toc18589"/>
      <w:bookmarkStart w:id="372" w:name="_Toc455867778"/>
      <w:bookmarkStart w:id="373" w:name="_Toc12027"/>
      <w:bookmarkStart w:id="374" w:name="_Toc144974508"/>
      <w:bookmarkStart w:id="375" w:name="_Toc455080118"/>
      <w:bookmarkStart w:id="376" w:name="_Toc27570"/>
      <w:bookmarkStart w:id="377" w:name="_Toc152045540"/>
      <w:bookmarkStart w:id="378" w:name="_Toc4044"/>
      <w:bookmarkStart w:id="379" w:name="_Toc31462"/>
      <w:r>
        <w:rPr>
          <w:rFonts w:hint="eastAsia" w:ascii="宋体" w:hAnsi="宋体" w:eastAsia="宋体" w:cs="宋体"/>
          <w:b/>
          <w:bCs/>
          <w:color w:val="auto"/>
          <w:sz w:val="24"/>
          <w:szCs w:val="24"/>
        </w:rPr>
        <w:t xml:space="preserve">1.10 </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ascii="宋体" w:hAnsi="宋体" w:eastAsia="宋体" w:cs="宋体"/>
          <w:b/>
          <w:bCs/>
          <w:color w:val="auto"/>
          <w:sz w:val="24"/>
          <w:szCs w:val="24"/>
          <w:lang w:eastAsia="zh-CN"/>
        </w:rPr>
        <w:t>现场踏勘：</w:t>
      </w:r>
      <w:r>
        <w:rPr>
          <w:rFonts w:hint="eastAsia" w:ascii="宋体" w:hAnsi="宋体" w:eastAsia="宋体" w:cs="宋体"/>
          <w:b w:val="0"/>
          <w:bCs w:val="0"/>
          <w:color w:val="auto"/>
          <w:sz w:val="24"/>
          <w:szCs w:val="24"/>
          <w:lang w:eastAsia="zh-CN"/>
        </w:rPr>
        <w:t>自行踏勘，与之相关的费用，供应商自行承担。</w:t>
      </w:r>
      <w:bookmarkEnd w:id="378"/>
      <w:bookmarkEnd w:id="379"/>
    </w:p>
    <w:p w14:paraId="0CDB74F0">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80" w:name="_Toc3853"/>
      <w:bookmarkStart w:id="381" w:name="_Toc152042317"/>
      <w:bookmarkStart w:id="382" w:name="_Toc466298102"/>
      <w:bookmarkStart w:id="383" w:name="_Toc12562"/>
      <w:bookmarkStart w:id="384" w:name="_Toc5765"/>
      <w:bookmarkStart w:id="385" w:name="_Toc152045541"/>
      <w:bookmarkStart w:id="386" w:name="_Toc24262"/>
      <w:bookmarkStart w:id="387" w:name="_Toc23678"/>
      <w:bookmarkStart w:id="388" w:name="_Toc9182"/>
      <w:bookmarkStart w:id="389" w:name="_Toc25208"/>
      <w:bookmarkStart w:id="390" w:name="_Toc318450685"/>
      <w:bookmarkStart w:id="391" w:name="_Toc455867779"/>
      <w:bookmarkStart w:id="392" w:name="_Toc32757"/>
      <w:bookmarkStart w:id="393" w:name="_Toc144974509"/>
      <w:bookmarkStart w:id="394" w:name="_Toc490667838"/>
      <w:bookmarkStart w:id="395" w:name="_Toc23635"/>
      <w:bookmarkStart w:id="396" w:name="_Toc455080119"/>
      <w:bookmarkStart w:id="397" w:name="_Toc31725"/>
      <w:bookmarkStart w:id="398" w:name="_Toc20185"/>
      <w:bookmarkStart w:id="399" w:name="_Toc11744"/>
      <w:r>
        <w:rPr>
          <w:rFonts w:hint="eastAsia" w:ascii="宋体" w:hAnsi="宋体" w:eastAsia="宋体" w:cs="宋体"/>
          <w:b/>
          <w:bCs/>
          <w:color w:val="auto"/>
          <w:sz w:val="24"/>
          <w:szCs w:val="24"/>
        </w:rPr>
        <w:t>1.11分包</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2DC17A6">
      <w:pPr>
        <w:pageBreakBefore w:val="0"/>
        <w:kinsoku/>
        <w:wordWrap/>
        <w:overflowPunct/>
        <w:topLinePunct w:val="0"/>
        <w:bidi w:val="0"/>
        <w:snapToGrid/>
        <w:spacing w:line="500" w:lineRule="exact"/>
        <w:ind w:firstLine="648" w:firstLineChars="27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是否允许分包：见供应商须知前附表。</w:t>
      </w:r>
      <w:bookmarkStart w:id="400" w:name="_Toc152042318"/>
      <w:bookmarkStart w:id="401" w:name="_Toc152045542"/>
      <w:bookmarkStart w:id="402" w:name="_Toc144974510"/>
      <w:bookmarkStart w:id="403" w:name="_Toc455080120"/>
    </w:p>
    <w:p w14:paraId="3B77346F">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p>
    <w:p w14:paraId="75183219">
      <w:pPr>
        <w:pStyle w:val="34"/>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1.12.1投标文件应当对招标文件的实质性要求和条件作出满足性或更有利于采购人的响应，否则，投标供应商的投标将被否决。实质性要求和条件见投标供应商须知前附表。</w:t>
      </w:r>
    </w:p>
    <w:p w14:paraId="081B9678">
      <w:pPr>
        <w:pStyle w:val="34"/>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投标文件对招标文件的全部偏离，均应在投标文件的商务和技术偏离表中列明，除列明的内容外，视为投标供应商响应招标文件的全部要求。</w:t>
      </w:r>
    </w:p>
    <w:bookmarkEnd w:id="400"/>
    <w:bookmarkEnd w:id="401"/>
    <w:bookmarkEnd w:id="402"/>
    <w:p w14:paraId="5D248181">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bCs/>
          <w:color w:val="auto"/>
          <w:sz w:val="24"/>
          <w:szCs w:val="24"/>
          <w:lang w:eastAsia="zh-CN"/>
        </w:rPr>
      </w:pPr>
      <w:bookmarkStart w:id="404" w:name="_Toc12453"/>
      <w:bookmarkStart w:id="405" w:name="_Toc19756"/>
      <w:r>
        <w:rPr>
          <w:rFonts w:hint="eastAsia" w:ascii="宋体" w:hAnsi="宋体" w:eastAsia="宋体" w:cs="宋体"/>
          <w:b/>
          <w:bCs/>
          <w:color w:val="auto"/>
          <w:sz w:val="24"/>
          <w:szCs w:val="24"/>
        </w:rPr>
        <w:t>2.</w:t>
      </w:r>
      <w:bookmarkEnd w:id="403"/>
      <w:bookmarkEnd w:id="404"/>
      <w:r>
        <w:rPr>
          <w:rFonts w:hint="eastAsia" w:ascii="宋体" w:hAnsi="宋体" w:eastAsia="宋体" w:cs="宋体"/>
          <w:b/>
          <w:bCs/>
          <w:color w:val="auto"/>
          <w:sz w:val="24"/>
          <w:szCs w:val="24"/>
          <w:lang w:eastAsia="zh-CN"/>
        </w:rPr>
        <w:t>竞争性磋商文件</w:t>
      </w:r>
      <w:bookmarkEnd w:id="405"/>
    </w:p>
    <w:p w14:paraId="03E8EC02">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06" w:name="_Toc3982"/>
      <w:bookmarkStart w:id="407" w:name="_Toc11567"/>
      <w:bookmarkStart w:id="408" w:name="_Toc455867781"/>
      <w:bookmarkStart w:id="409" w:name="_Toc10398"/>
      <w:bookmarkStart w:id="410" w:name="_Toc318450687"/>
      <w:bookmarkStart w:id="411" w:name="_Toc1008"/>
      <w:bookmarkStart w:id="412" w:name="_Toc23649"/>
      <w:bookmarkStart w:id="413" w:name="_Toc12640"/>
      <w:bookmarkStart w:id="414" w:name="_Toc490667840"/>
      <w:bookmarkStart w:id="415" w:name="_Toc455080121"/>
      <w:bookmarkStart w:id="416" w:name="_Toc32711"/>
      <w:bookmarkStart w:id="417" w:name="_Toc152042319"/>
      <w:bookmarkStart w:id="418" w:name="_Toc9780"/>
      <w:bookmarkStart w:id="419" w:name="_Toc144974511"/>
      <w:bookmarkStart w:id="420" w:name="_Toc12004"/>
      <w:bookmarkStart w:id="421" w:name="_Toc466298104"/>
      <w:bookmarkStart w:id="422" w:name="_Toc7999"/>
      <w:bookmarkStart w:id="423" w:name="_Toc152045543"/>
      <w:bookmarkStart w:id="424" w:name="_Toc16486"/>
      <w:bookmarkStart w:id="425" w:name="_Toc11599"/>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的组成</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760393FC">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本</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包括：</w:t>
      </w:r>
    </w:p>
    <w:p w14:paraId="41362C41">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p>
    <w:p w14:paraId="3354F5D7">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66C9605D">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（3）评审办法；</w:t>
      </w:r>
    </w:p>
    <w:p w14:paraId="400D08DF">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河南省政府采购合同（参考文本）</w:t>
      </w:r>
      <w:r>
        <w:rPr>
          <w:rFonts w:hint="eastAsia" w:ascii="宋体" w:hAnsi="宋体" w:eastAsia="宋体" w:cs="宋体"/>
          <w:color w:val="auto"/>
          <w:sz w:val="24"/>
          <w:szCs w:val="24"/>
        </w:rPr>
        <w:t>；</w:t>
      </w:r>
    </w:p>
    <w:p w14:paraId="7353CE76">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p>
    <w:p w14:paraId="593E744C">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w:t>
      </w:r>
    </w:p>
    <w:p w14:paraId="03BA060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根据本章第2.2款和第2.3款对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的组成部分。</w:t>
      </w:r>
    </w:p>
    <w:p w14:paraId="5DCF752D">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26" w:name="_Toc12414"/>
      <w:bookmarkStart w:id="427" w:name="_Toc1079"/>
      <w:bookmarkStart w:id="428" w:name="_Toc15658"/>
      <w:bookmarkStart w:id="429" w:name="_Toc144974514"/>
      <w:bookmarkStart w:id="430" w:name="_Toc152045546"/>
      <w:bookmarkStart w:id="431" w:name="_Toc152042322"/>
      <w:bookmarkStart w:id="432" w:name="_Toc455080124"/>
      <w:r>
        <w:rPr>
          <w:rFonts w:hint="eastAsia" w:ascii="宋体" w:hAnsi="宋体" w:eastAsia="宋体" w:cs="宋体"/>
          <w:b/>
          <w:bCs/>
          <w:color w:val="auto"/>
          <w:sz w:val="24"/>
          <w:szCs w:val="24"/>
        </w:rPr>
        <w:t xml:space="preserve">2.2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的澄清</w:t>
      </w:r>
      <w:bookmarkEnd w:id="426"/>
      <w:bookmarkEnd w:id="427"/>
      <w:bookmarkEnd w:id="428"/>
    </w:p>
    <w:p w14:paraId="5F8ECD0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全部内容。如发现缺页或附件不全，应及时向采购人提出，以便补齐。如有疑问，应在供应商须知前附表规定的时间前以书面形式（包括信函、电报、传真等可以有形表现所载内容的形式，下同），要求采购人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予以澄清。</w:t>
      </w:r>
    </w:p>
    <w:p w14:paraId="6945BCA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2.2.2 </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澄清将在供应商须知前附表规定的响应文件递交截止时间5天前在信阳市公共资源交易系统“变更公告”或“答疑文件”将澄清内容予以发布，但不指明澄清问题的来源。如果澄清的内容可能影响响应文件编制且发出的时间距响应文件递交截止时间不足5天，相应延长投标截止时间。</w:t>
      </w:r>
    </w:p>
    <w:p w14:paraId="08B8F80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2.2.3供应商应在响应文件递交截止时间前及时查看澄清内容，因供应商未及时查看而造成的后果自负。</w:t>
      </w:r>
    </w:p>
    <w:p w14:paraId="57DFC23A">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33" w:name="_Toc8263"/>
      <w:bookmarkStart w:id="434" w:name="_Toc5133"/>
      <w:bookmarkStart w:id="435" w:name="_Toc5355"/>
      <w:r>
        <w:rPr>
          <w:rFonts w:hint="eastAsia" w:ascii="宋体" w:hAnsi="宋体" w:eastAsia="宋体" w:cs="宋体"/>
          <w:b/>
          <w:bCs/>
          <w:color w:val="auto"/>
          <w:sz w:val="24"/>
          <w:szCs w:val="24"/>
        </w:rPr>
        <w:t xml:space="preserve">2.3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的修改</w:t>
      </w:r>
      <w:bookmarkEnd w:id="433"/>
      <w:bookmarkEnd w:id="434"/>
      <w:bookmarkEnd w:id="435"/>
    </w:p>
    <w:p w14:paraId="2F5ADD5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 在响应文件递交截止时间5天前，采购人可以修改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如有修改，应在信阳市公共资源交易系统“变更公告”或“答疑文件”将修改内容予以发布。如果修改的内容可能影响响应文件编制且发出的时间距响应文件递交截止时间不足5天，相应延长响应文件递交截止时间。</w:t>
      </w:r>
    </w:p>
    <w:p w14:paraId="7EF6F186">
      <w:pPr>
        <w:pageBreakBefore w:val="0"/>
        <w:kinsoku/>
        <w:wordWrap/>
        <w:overflowPunct/>
        <w:topLinePunct w:val="0"/>
        <w:bidi w:val="0"/>
        <w:snapToGrid/>
        <w:spacing w:line="5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2.3.2当</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的澄清、修改、补充等在同一内容的表述上不一致时，以最后在信阳市公共资源交易系统发出的文件为准。</w:t>
      </w:r>
    </w:p>
    <w:p w14:paraId="746D2E1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2.3.3供应商应在响应文件递交截止时间前及时查看修改内容，因供应商未及时查看而造成的后果自负。</w:t>
      </w:r>
    </w:p>
    <w:p w14:paraId="123FEB36">
      <w:pPr>
        <w:pStyle w:val="31"/>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436" w:name="_Toc4666"/>
    </w:p>
    <w:p w14:paraId="6BE37245">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437" w:name="_Toc30559"/>
      <w:r>
        <w:rPr>
          <w:rFonts w:hint="eastAsia" w:ascii="宋体" w:hAnsi="宋体" w:eastAsia="宋体" w:cs="宋体"/>
          <w:b/>
          <w:bCs/>
          <w:color w:val="auto"/>
          <w:sz w:val="24"/>
          <w:szCs w:val="24"/>
        </w:rPr>
        <w:t xml:space="preserve">3. </w:t>
      </w:r>
      <w:bookmarkEnd w:id="429"/>
      <w:bookmarkEnd w:id="430"/>
      <w:bookmarkEnd w:id="431"/>
      <w:r>
        <w:rPr>
          <w:rFonts w:hint="eastAsia" w:ascii="宋体" w:hAnsi="宋体" w:eastAsia="宋体" w:cs="宋体"/>
          <w:b/>
          <w:bCs/>
          <w:color w:val="auto"/>
          <w:sz w:val="24"/>
          <w:szCs w:val="24"/>
        </w:rPr>
        <w:t>响应文件</w:t>
      </w:r>
      <w:bookmarkEnd w:id="432"/>
      <w:bookmarkEnd w:id="436"/>
      <w:bookmarkEnd w:id="437"/>
    </w:p>
    <w:p w14:paraId="7105D50A">
      <w:pPr>
        <w:pStyle w:val="34"/>
        <w:pageBreakBefore w:val="0"/>
        <w:kinsoku/>
        <w:wordWrap/>
        <w:overflowPunct/>
        <w:topLinePunct w:val="0"/>
        <w:bidi w:val="0"/>
        <w:snapToGrid/>
        <w:spacing w:before="0" w:beforeLines="0" w:after="0" w:afterLines="0" w:line="500" w:lineRule="exact"/>
        <w:textAlignment w:val="auto"/>
        <w:outlineLvl w:val="9"/>
        <w:rPr>
          <w:rFonts w:hint="eastAsia" w:ascii="宋体" w:hAnsi="宋体" w:eastAsia="宋体" w:cs="宋体"/>
          <w:b/>
          <w:bCs/>
          <w:color w:val="auto"/>
          <w:sz w:val="24"/>
          <w:szCs w:val="24"/>
        </w:rPr>
      </w:pPr>
      <w:bookmarkStart w:id="438" w:name="_Toc152045547"/>
      <w:bookmarkStart w:id="439" w:name="_Toc10096"/>
      <w:bookmarkStart w:id="440" w:name="_Toc152042323"/>
      <w:bookmarkStart w:id="441" w:name="_Toc15810"/>
      <w:bookmarkStart w:id="442" w:name="_Toc635"/>
      <w:bookmarkStart w:id="443" w:name="_Toc490667844"/>
      <w:bookmarkStart w:id="444" w:name="_Toc318450691"/>
      <w:bookmarkStart w:id="445" w:name="_Toc144974515"/>
      <w:bookmarkStart w:id="446" w:name="_Toc16198"/>
      <w:bookmarkStart w:id="447" w:name="_Toc9273"/>
      <w:bookmarkStart w:id="448" w:name="_Toc24440"/>
      <w:bookmarkStart w:id="449" w:name="_Toc27373"/>
      <w:r>
        <w:rPr>
          <w:rFonts w:hint="eastAsia" w:ascii="宋体" w:hAnsi="宋体" w:eastAsia="宋体" w:cs="宋体"/>
          <w:b/>
          <w:bCs/>
          <w:color w:val="auto"/>
          <w:sz w:val="24"/>
          <w:szCs w:val="24"/>
        </w:rPr>
        <w:t>3.1 响应文件的组成</w:t>
      </w:r>
      <w:bookmarkEnd w:id="438"/>
      <w:bookmarkEnd w:id="439"/>
      <w:bookmarkEnd w:id="440"/>
      <w:bookmarkEnd w:id="441"/>
      <w:bookmarkEnd w:id="442"/>
      <w:bookmarkEnd w:id="443"/>
      <w:bookmarkEnd w:id="444"/>
      <w:bookmarkEnd w:id="445"/>
      <w:bookmarkEnd w:id="446"/>
      <w:bookmarkEnd w:id="447"/>
      <w:bookmarkEnd w:id="448"/>
      <w:bookmarkEnd w:id="449"/>
    </w:p>
    <w:p w14:paraId="571670CC">
      <w:pPr>
        <w:pageBreakBefore w:val="0"/>
        <w:widowControl/>
        <w:kinsoku/>
        <w:wordWrap/>
        <w:overflowPunct/>
        <w:topLinePunct w:val="0"/>
        <w:bidi w:val="0"/>
        <w:snapToGrid/>
        <w:spacing w:line="500" w:lineRule="exact"/>
        <w:ind w:left="0" w:leftChars="0" w:firstLine="480" w:firstLineChars="200"/>
        <w:jc w:val="left"/>
        <w:textAlignment w:val="auto"/>
        <w:rPr>
          <w:rFonts w:hint="eastAsia" w:ascii="宋体" w:hAnsi="宋体" w:eastAsia="宋体" w:cs="宋体"/>
          <w:color w:val="000000"/>
          <w:sz w:val="24"/>
          <w:szCs w:val="24"/>
        </w:rPr>
      </w:pPr>
      <w:bookmarkStart w:id="450" w:name="_Toc152045548"/>
      <w:bookmarkStart w:id="451" w:name="_Toc318450692"/>
      <w:bookmarkStart w:id="452" w:name="_Toc144974516"/>
      <w:bookmarkStart w:id="453" w:name="_Toc899"/>
      <w:bookmarkStart w:id="454" w:name="_Toc152042324"/>
      <w:bookmarkStart w:id="455" w:name="_Toc279156232"/>
      <w:bookmarkStart w:id="456" w:name="_Toc26291"/>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文件应包括下列内容</w:t>
      </w:r>
      <w:r>
        <w:rPr>
          <w:rFonts w:hint="eastAsia" w:ascii="宋体" w:hAnsi="宋体" w:eastAsia="宋体" w:cs="宋体"/>
          <w:b/>
          <w:bCs/>
          <w:color w:val="000000"/>
          <w:sz w:val="24"/>
          <w:szCs w:val="24"/>
        </w:rPr>
        <w:t>：详见第六章“竞争性磋商响应文件格式”</w:t>
      </w:r>
    </w:p>
    <w:p w14:paraId="21C8DE96">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磋商报价</w:t>
      </w:r>
      <w:bookmarkEnd w:id="450"/>
      <w:bookmarkEnd w:id="451"/>
      <w:bookmarkEnd w:id="452"/>
      <w:bookmarkEnd w:id="453"/>
      <w:bookmarkEnd w:id="454"/>
      <w:bookmarkEnd w:id="455"/>
      <w:bookmarkEnd w:id="456"/>
    </w:p>
    <w:p w14:paraId="55211334">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bookmarkStart w:id="457" w:name="_Toc12402"/>
      <w:bookmarkStart w:id="458" w:name="_Toc29133"/>
      <w:bookmarkStart w:id="459" w:name="_Toc3624"/>
      <w:bookmarkStart w:id="460" w:name="_Toc2425"/>
      <w:bookmarkStart w:id="461" w:name="_Toc21680"/>
      <w:bookmarkStart w:id="462" w:name="_Toc7910"/>
      <w:bookmarkStart w:id="463" w:name="_Toc455867786"/>
      <w:bookmarkStart w:id="464" w:name="_Toc318450693"/>
      <w:bookmarkStart w:id="465" w:name="_Toc7105"/>
      <w:bookmarkStart w:id="466" w:name="_Toc144974517"/>
      <w:bookmarkStart w:id="467" w:name="_Toc152045549"/>
      <w:bookmarkStart w:id="468" w:name="_Toc11968"/>
      <w:bookmarkStart w:id="469" w:name="_Toc25387"/>
      <w:bookmarkStart w:id="470" w:name="_Toc455080126"/>
      <w:bookmarkStart w:id="471" w:name="_Toc466298109"/>
      <w:bookmarkStart w:id="472" w:name="_Toc490667846"/>
      <w:bookmarkStart w:id="473" w:name="_Toc21600"/>
      <w:bookmarkStart w:id="474" w:name="_Toc152042325"/>
      <w:bookmarkStart w:id="475" w:name="_Toc6105"/>
      <w:r>
        <w:rPr>
          <w:rFonts w:hint="eastAsia" w:ascii="宋体" w:hAnsi="宋体" w:eastAsia="宋体" w:cs="宋体"/>
          <w:color w:val="auto"/>
          <w:sz w:val="24"/>
          <w:szCs w:val="24"/>
          <w:highlight w:val="none"/>
        </w:rPr>
        <w:t>3.2.1本项目的磋商报价应按照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、补充通知、答疑纪要、现场情况、</w:t>
      </w:r>
      <w:r>
        <w:rPr>
          <w:rFonts w:hint="eastAsia" w:ascii="宋体" w:hAnsi="宋体" w:eastAsia="宋体" w:cs="宋体"/>
          <w:sz w:val="24"/>
          <w:szCs w:val="24"/>
          <w:highlight w:val="none"/>
        </w:rPr>
        <w:t>服务</w:t>
      </w:r>
      <w:r>
        <w:rPr>
          <w:rFonts w:hint="eastAsia" w:ascii="宋体" w:hAnsi="宋体" w:eastAsia="宋体" w:cs="宋体"/>
          <w:color w:val="auto"/>
          <w:sz w:val="24"/>
          <w:szCs w:val="24"/>
          <w:highlight w:val="none"/>
        </w:rPr>
        <w:t>范围，并充分考虑</w:t>
      </w:r>
      <w:r>
        <w:rPr>
          <w:rFonts w:hint="eastAsia" w:ascii="宋体" w:hAnsi="宋体" w:eastAsia="宋体" w:cs="宋体"/>
          <w:sz w:val="24"/>
          <w:szCs w:val="24"/>
          <w:highlight w:val="none"/>
        </w:rPr>
        <w:t>服务</w:t>
      </w:r>
      <w:r>
        <w:rPr>
          <w:rFonts w:hint="eastAsia" w:ascii="宋体" w:hAnsi="宋体" w:eastAsia="宋体" w:cs="宋体"/>
          <w:color w:val="auto"/>
          <w:sz w:val="24"/>
          <w:szCs w:val="24"/>
          <w:highlight w:val="none"/>
        </w:rPr>
        <w:t>期间各类材料、人工市场风险和国家政策性调整等风险系数，由各响应人根据自身情况，在合理范围内，自主考虑、优惠报价，报告编制费、差旅费、监测费、税费、培训费等服务期间所发生的所有费用，但不得低于企业成本，分二次报价：第一次报价必须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的报价格式填报，第二次报价在磋商中填报，第二次报价（不得高于</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rPr>
        <w:t>一次报价）即为最终报价</w:t>
      </w:r>
      <w:bookmarkEnd w:id="457"/>
      <w:r>
        <w:rPr>
          <w:rFonts w:hint="eastAsia" w:ascii="宋体" w:hAnsi="宋体" w:eastAsia="宋体" w:cs="宋体"/>
          <w:color w:val="auto"/>
          <w:sz w:val="24"/>
          <w:szCs w:val="24"/>
          <w:highlight w:val="none"/>
        </w:rPr>
        <w:t>。</w:t>
      </w:r>
    </w:p>
    <w:p w14:paraId="43D4666E">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3.2.2供应商应充分了解该项目的总体情况以及影响磋商报价的其它要素，考虑</w:t>
      </w:r>
      <w:r>
        <w:rPr>
          <w:rFonts w:hint="eastAsia" w:ascii="宋体" w:hAnsi="宋体" w:eastAsia="宋体" w:cs="宋体"/>
          <w:color w:val="auto"/>
          <w:sz w:val="24"/>
          <w:szCs w:val="24"/>
          <w:highlight w:val="none"/>
          <w:lang w:eastAsia="zh-CN"/>
        </w:rPr>
        <w:t>服务期间</w:t>
      </w:r>
      <w:r>
        <w:rPr>
          <w:rFonts w:hint="eastAsia" w:ascii="宋体" w:hAnsi="宋体" w:eastAsia="宋体" w:cs="宋体"/>
          <w:color w:val="auto"/>
          <w:sz w:val="24"/>
          <w:szCs w:val="24"/>
          <w:highlight w:val="none"/>
        </w:rPr>
        <w:t>的价格风险因素，成交价在合同实施期内不得调整，同时也不因市场价格变动而调整。</w:t>
      </w:r>
    </w:p>
    <w:p w14:paraId="02EFE2A2">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响应报价表中的大写金额和小写金额不一致的，以大写金额为准。</w:t>
      </w:r>
    </w:p>
    <w:p w14:paraId="163D3392">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3.2.4供应商的报价明显低于其他通过符合性审查供应商的报价，有可能影响</w:t>
      </w:r>
      <w:r>
        <w:rPr>
          <w:rFonts w:hint="eastAsia" w:ascii="宋体" w:hAnsi="宋体" w:eastAsia="宋体" w:cs="宋体"/>
          <w:b w:val="0"/>
          <w:bCs w:val="0"/>
          <w:color w:val="auto"/>
          <w:sz w:val="24"/>
          <w:szCs w:val="24"/>
          <w:lang w:eastAsia="zh-CN"/>
        </w:rPr>
        <w:t>产品</w:t>
      </w:r>
      <w:r>
        <w:rPr>
          <w:rFonts w:hint="eastAsia" w:ascii="宋体" w:hAnsi="宋体" w:eastAsia="宋体" w:cs="宋体"/>
          <w:b w:val="0"/>
          <w:bCs w:val="0"/>
          <w:color w:val="auto"/>
          <w:sz w:val="24"/>
          <w:szCs w:val="24"/>
        </w:rPr>
        <w:t>质量或者不能诚信履约的，磋商委员会应当要求其在磋商现场</w:t>
      </w:r>
      <w:r>
        <w:rPr>
          <w:rFonts w:hint="eastAsia" w:ascii="宋体" w:hAnsi="宋体" w:eastAsia="宋体" w:cs="宋体"/>
          <w:b w:val="0"/>
          <w:bCs w:val="0"/>
          <w:color w:val="auto"/>
          <w:kern w:val="0"/>
          <w:sz w:val="24"/>
          <w:szCs w:val="24"/>
          <w:lang w:eastAsia="zh-CN"/>
        </w:rPr>
        <w:t>（或电子交易系统）</w:t>
      </w:r>
      <w:r>
        <w:rPr>
          <w:rFonts w:hint="eastAsia" w:ascii="宋体" w:hAnsi="宋体" w:eastAsia="宋体" w:cs="宋体"/>
          <w:b w:val="0"/>
          <w:bCs w:val="0"/>
          <w:color w:val="auto"/>
          <w:sz w:val="24"/>
          <w:szCs w:val="24"/>
        </w:rPr>
        <w:t>合理的时间内提供书面说明</w:t>
      </w:r>
      <w:r>
        <w:rPr>
          <w:rFonts w:hint="eastAsia" w:ascii="宋体" w:hAnsi="宋体" w:eastAsia="宋体" w:cs="宋体"/>
          <w:b w:val="0"/>
          <w:bCs w:val="0"/>
          <w:color w:val="auto"/>
          <w:kern w:val="0"/>
          <w:sz w:val="24"/>
          <w:szCs w:val="24"/>
          <w:lang w:eastAsia="zh-CN"/>
        </w:rPr>
        <w:t>（或电子澄清说明文件）</w:t>
      </w:r>
      <w:r>
        <w:rPr>
          <w:rFonts w:hint="eastAsia" w:ascii="宋体" w:hAnsi="宋体" w:eastAsia="宋体" w:cs="宋体"/>
          <w:b w:val="0"/>
          <w:bCs w:val="0"/>
          <w:color w:val="auto"/>
          <w:sz w:val="24"/>
          <w:szCs w:val="24"/>
        </w:rPr>
        <w:t xml:space="preserve">，必要时提交相关证明材料；供应商不能证明其报价合理性的，磋商委员会应当将其作为无效投标处理。 </w:t>
      </w:r>
      <w:r>
        <w:rPr>
          <w:rFonts w:hint="eastAsia" w:ascii="宋体" w:hAnsi="宋体" w:eastAsia="宋体" w:cs="宋体"/>
          <w:b/>
          <w:bCs/>
          <w:color w:val="auto"/>
          <w:sz w:val="24"/>
          <w:szCs w:val="24"/>
        </w:rPr>
        <w:t xml:space="preserve"> </w:t>
      </w:r>
    </w:p>
    <w:p w14:paraId="2FF51023">
      <w:pPr>
        <w:pageBreakBefore w:val="0"/>
        <w:kinsoku/>
        <w:wordWrap/>
        <w:overflowPunct/>
        <w:topLinePunct w:val="0"/>
        <w:bidi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3.2.5</w:t>
      </w:r>
      <w:r>
        <w:rPr>
          <w:rFonts w:hint="eastAsia" w:ascii="宋体" w:hAnsi="宋体" w:eastAsia="宋体" w:cs="宋体"/>
          <w:b/>
          <w:bCs/>
          <w:color w:val="auto"/>
          <w:sz w:val="24"/>
          <w:szCs w:val="24"/>
          <w:lang w:val="zh-CN"/>
        </w:rPr>
        <w:t>小型微型企业认定及评标价格评审（非专门面向中小企业适用）</w:t>
      </w:r>
    </w:p>
    <w:tbl>
      <w:tblPr>
        <w:tblStyle w:val="23"/>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2AC8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0231ABF9">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内容</w:t>
            </w:r>
          </w:p>
        </w:tc>
        <w:tc>
          <w:tcPr>
            <w:tcW w:w="1561" w:type="dxa"/>
            <w:noWrap w:val="0"/>
            <w:vAlign w:val="center"/>
          </w:tcPr>
          <w:p w14:paraId="2E52D0DA">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大型企业</w:t>
            </w:r>
          </w:p>
        </w:tc>
        <w:tc>
          <w:tcPr>
            <w:tcW w:w="1492" w:type="dxa"/>
            <w:noWrap w:val="0"/>
            <w:vAlign w:val="center"/>
          </w:tcPr>
          <w:p w14:paraId="54229C2D">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中型企业</w:t>
            </w:r>
          </w:p>
        </w:tc>
        <w:tc>
          <w:tcPr>
            <w:tcW w:w="2273" w:type="dxa"/>
            <w:noWrap w:val="0"/>
            <w:vAlign w:val="center"/>
          </w:tcPr>
          <w:p w14:paraId="7CEC9C2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小型企业</w:t>
            </w:r>
          </w:p>
        </w:tc>
        <w:tc>
          <w:tcPr>
            <w:tcW w:w="2094" w:type="dxa"/>
            <w:noWrap w:val="0"/>
            <w:vAlign w:val="center"/>
          </w:tcPr>
          <w:p w14:paraId="5C551895">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微型企业</w:t>
            </w:r>
          </w:p>
        </w:tc>
      </w:tr>
      <w:tr w14:paraId="14A6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7401D682">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价格=</w:t>
            </w:r>
          </w:p>
        </w:tc>
        <w:tc>
          <w:tcPr>
            <w:tcW w:w="1561" w:type="dxa"/>
            <w:noWrap w:val="0"/>
            <w:vAlign w:val="center"/>
          </w:tcPr>
          <w:p w14:paraId="6FC47F4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w:t>
            </w:r>
          </w:p>
        </w:tc>
        <w:tc>
          <w:tcPr>
            <w:tcW w:w="1492" w:type="dxa"/>
            <w:noWrap w:val="0"/>
            <w:vAlign w:val="center"/>
          </w:tcPr>
          <w:p w14:paraId="1A0FF72B">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w:t>
            </w:r>
          </w:p>
        </w:tc>
        <w:tc>
          <w:tcPr>
            <w:tcW w:w="2273" w:type="dxa"/>
            <w:noWrap w:val="0"/>
            <w:vAlign w:val="center"/>
          </w:tcPr>
          <w:p w14:paraId="29E4579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w:t>
            </w:r>
          </w:p>
        </w:tc>
        <w:tc>
          <w:tcPr>
            <w:tcW w:w="2094" w:type="dxa"/>
            <w:noWrap w:val="0"/>
            <w:vAlign w:val="center"/>
          </w:tcPr>
          <w:p w14:paraId="5DD14A67">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w:t>
            </w:r>
          </w:p>
        </w:tc>
      </w:tr>
    </w:tbl>
    <w:p w14:paraId="79E18048">
      <w:pPr>
        <w:spacing w:line="500" w:lineRule="exact"/>
        <w:ind w:firstLine="480"/>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3.2.5.1</w:t>
      </w:r>
      <w:r>
        <w:rPr>
          <w:rFonts w:hint="eastAsia" w:ascii="宋体" w:hAnsi="宋体" w:eastAsia="宋体" w:cs="宋体"/>
          <w:color w:val="auto"/>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19号</w:t>
      </w:r>
      <w:r>
        <w:rPr>
          <w:rFonts w:hint="eastAsia" w:ascii="宋体" w:hAnsi="宋体" w:eastAsia="宋体" w:cs="宋体"/>
          <w:color w:val="auto"/>
          <w:sz w:val="24"/>
          <w:szCs w:val="24"/>
          <w:lang w:val="zh-CN"/>
        </w:rPr>
        <w:t>）、信阳市财政局关于进一步加大政府采购支持中小企业力度的通知（信财购【</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8号</w:t>
      </w:r>
      <w:r>
        <w:rPr>
          <w:rFonts w:hint="eastAsia" w:ascii="宋体" w:hAnsi="宋体" w:eastAsia="宋体" w:cs="宋体"/>
          <w:color w:val="auto"/>
          <w:sz w:val="24"/>
          <w:szCs w:val="24"/>
          <w:lang w:val="zh-CN"/>
        </w:rPr>
        <w:t>）及息县财政局关于进一步加大政府采购支持中小企业力度的通知（息财购【</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2号</w:t>
      </w:r>
      <w:r>
        <w:rPr>
          <w:rFonts w:hint="eastAsia" w:ascii="宋体" w:hAnsi="宋体" w:eastAsia="宋体" w:cs="宋体"/>
          <w:color w:val="auto"/>
          <w:sz w:val="24"/>
          <w:szCs w:val="24"/>
          <w:lang w:val="zh-CN"/>
        </w:rPr>
        <w:t>）</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0D41D41A">
      <w:pPr>
        <w:spacing w:line="50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2.5.2</w:t>
      </w:r>
      <w:r>
        <w:rPr>
          <w:rFonts w:hint="eastAsia" w:ascii="宋体" w:hAnsi="宋体" w:eastAsia="宋体" w:cs="宋体"/>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36A15FD7">
      <w:pPr>
        <w:spacing w:line="50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2.5.3</w:t>
      </w:r>
      <w:r>
        <w:rPr>
          <w:rFonts w:hint="eastAsia" w:ascii="宋体" w:hAnsi="宋体" w:eastAsia="宋体" w:cs="宋体"/>
          <w:sz w:val="24"/>
          <w:szCs w:val="24"/>
        </w:rPr>
        <w:t>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w:t>
      </w:r>
      <w:r>
        <w:rPr>
          <w:rFonts w:hint="eastAsia" w:ascii="宋体" w:hAnsi="宋体" w:eastAsia="宋体" w:cs="宋体"/>
          <w:sz w:val="24"/>
          <w:szCs w:val="24"/>
          <w:lang w:eastAsia="zh-CN"/>
        </w:rPr>
        <w:t>响应</w:t>
      </w:r>
      <w:r>
        <w:rPr>
          <w:rFonts w:hint="eastAsia" w:ascii="宋体" w:hAnsi="宋体" w:eastAsia="宋体" w:cs="宋体"/>
          <w:sz w:val="24"/>
          <w:szCs w:val="24"/>
        </w:rPr>
        <w:t>文件格式)，并对声明的真实性负责。</w:t>
      </w:r>
    </w:p>
    <w:p w14:paraId="25B45777">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76" w:name="_Toc9694"/>
      <w:bookmarkStart w:id="477" w:name="_Toc25823"/>
      <w:r>
        <w:rPr>
          <w:rFonts w:hint="eastAsia" w:ascii="宋体" w:hAnsi="宋体" w:eastAsia="宋体" w:cs="宋体"/>
          <w:b/>
          <w:bCs/>
          <w:color w:val="auto"/>
          <w:sz w:val="24"/>
          <w:szCs w:val="24"/>
        </w:rPr>
        <w:t>3.3 磋商有效期</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A0837E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在供应商须知前附表规定的磋商有效期内，供应商不得要求撤销或修改其响应文件。</w:t>
      </w:r>
    </w:p>
    <w:p w14:paraId="72E7149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70E1C1AB">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478" w:name="_Toc144974518"/>
      <w:bookmarkStart w:id="479" w:name="_Toc22634"/>
      <w:bookmarkStart w:id="480" w:name="_Toc7057"/>
      <w:bookmarkStart w:id="481" w:name="_Toc10370"/>
      <w:bookmarkStart w:id="482" w:name="_Toc30697"/>
      <w:bookmarkStart w:id="483" w:name="_Toc490667847"/>
      <w:bookmarkStart w:id="484" w:name="_Toc318450694"/>
      <w:bookmarkStart w:id="485" w:name="_Toc7973"/>
      <w:bookmarkStart w:id="486" w:name="_Toc8406"/>
      <w:bookmarkStart w:id="487" w:name="_Toc2505"/>
      <w:bookmarkStart w:id="488" w:name="_Toc455080127"/>
      <w:bookmarkStart w:id="489" w:name="_Toc4165"/>
      <w:bookmarkStart w:id="490" w:name="_Toc455867787"/>
      <w:bookmarkStart w:id="491" w:name="_Toc466298110"/>
      <w:bookmarkStart w:id="492" w:name="_Toc152042326"/>
      <w:bookmarkStart w:id="493" w:name="_Toc152045550"/>
      <w:bookmarkStart w:id="494" w:name="_Toc7618"/>
      <w:bookmarkStart w:id="495" w:name="_Toc9771"/>
      <w:bookmarkStart w:id="496" w:name="_Toc6451"/>
      <w:bookmarkStart w:id="497" w:name="_Toc13921"/>
      <w:r>
        <w:rPr>
          <w:rFonts w:hint="eastAsia" w:ascii="宋体" w:hAnsi="宋体" w:eastAsia="宋体" w:cs="宋体"/>
          <w:b/>
          <w:bCs/>
          <w:color w:val="auto"/>
          <w:sz w:val="24"/>
          <w:szCs w:val="24"/>
        </w:rPr>
        <w:t>3.4 磋商保证金</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Start w:id="498" w:name="_Toc318450695"/>
      <w:bookmarkStart w:id="499" w:name="_Toc152042328"/>
      <w:bookmarkStart w:id="500" w:name="_Toc152045552"/>
      <w:bookmarkStart w:id="501" w:name="_Toc144974520"/>
      <w:r>
        <w:rPr>
          <w:rFonts w:hint="eastAsia" w:ascii="宋体" w:hAnsi="宋体" w:eastAsia="宋体" w:cs="宋体"/>
          <w:b/>
          <w:bCs/>
          <w:color w:val="auto"/>
          <w:sz w:val="24"/>
          <w:szCs w:val="24"/>
          <w:lang w:eastAsia="zh-CN"/>
        </w:rPr>
        <w:t>：无。</w:t>
      </w:r>
      <w:bookmarkEnd w:id="495"/>
      <w:bookmarkEnd w:id="496"/>
      <w:bookmarkEnd w:id="497"/>
    </w:p>
    <w:p w14:paraId="489ECD52">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02" w:name="_Toc2794"/>
      <w:bookmarkStart w:id="503" w:name="_Toc15547"/>
      <w:bookmarkStart w:id="504" w:name="_Toc22527"/>
      <w:bookmarkStart w:id="505" w:name="_Toc16747"/>
      <w:bookmarkStart w:id="506" w:name="_Toc548"/>
      <w:bookmarkStart w:id="507" w:name="_Toc455867788"/>
      <w:bookmarkStart w:id="508" w:name="_Toc455080128"/>
      <w:bookmarkStart w:id="509" w:name="_Toc22384"/>
      <w:bookmarkStart w:id="510" w:name="_Toc20328"/>
      <w:bookmarkStart w:id="511" w:name="_Toc11077"/>
      <w:bookmarkStart w:id="512" w:name="_Toc13680"/>
      <w:bookmarkStart w:id="513" w:name="_Toc490667848"/>
      <w:bookmarkStart w:id="514" w:name="_Toc466298111"/>
      <w:bookmarkStart w:id="515" w:name="_Toc5200"/>
      <w:bookmarkStart w:id="516" w:name="_Toc27579"/>
      <w:bookmarkStart w:id="517" w:name="_Toc17153"/>
      <w:r>
        <w:rPr>
          <w:rFonts w:hint="eastAsia" w:ascii="宋体" w:hAnsi="宋体" w:eastAsia="宋体" w:cs="宋体"/>
          <w:b/>
          <w:bCs/>
          <w:color w:val="auto"/>
          <w:sz w:val="24"/>
          <w:szCs w:val="24"/>
        </w:rPr>
        <w:t>3.5资格审查资料</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50D1FB42">
      <w:pPr>
        <w:pStyle w:val="34"/>
        <w:pageBreakBefore w:val="0"/>
        <w:kinsoku/>
        <w:wordWrap/>
        <w:overflowPunct/>
        <w:topLinePunct w:val="0"/>
        <w:bidi w:val="0"/>
        <w:snapToGrid/>
        <w:spacing w:before="0" w:beforeLines="0" w:after="0" w:afterLines="0" w:line="500" w:lineRule="exact"/>
        <w:ind w:firstLine="360" w:firstLineChars="150"/>
        <w:textAlignment w:val="auto"/>
        <w:outlineLvl w:val="0"/>
        <w:rPr>
          <w:rFonts w:hint="eastAsia" w:ascii="宋体" w:hAnsi="宋体" w:eastAsia="宋体" w:cs="宋体"/>
          <w:color w:val="auto"/>
          <w:kern w:val="2"/>
          <w:sz w:val="24"/>
          <w:szCs w:val="24"/>
          <w:lang w:val="en-US" w:eastAsia="zh-CN"/>
        </w:rPr>
      </w:pPr>
      <w:bookmarkStart w:id="518" w:name="_Toc1398"/>
      <w:bookmarkStart w:id="519" w:name="_Toc4586"/>
      <w:bookmarkStart w:id="520" w:name="_Toc11313"/>
      <w:bookmarkStart w:id="521" w:name="_Toc318450696"/>
      <w:bookmarkStart w:id="522" w:name="_Toc144974521"/>
      <w:bookmarkStart w:id="523" w:name="_Toc455080129"/>
      <w:bookmarkStart w:id="524" w:name="_Toc30442"/>
      <w:bookmarkStart w:id="525" w:name="_Toc9015"/>
      <w:bookmarkStart w:id="526" w:name="_Toc466298112"/>
      <w:bookmarkStart w:id="527" w:name="_Toc1228"/>
      <w:bookmarkStart w:id="528" w:name="_Toc3286"/>
      <w:bookmarkStart w:id="529" w:name="_Toc455867789"/>
      <w:bookmarkStart w:id="530" w:name="_Toc26258"/>
      <w:bookmarkStart w:id="531" w:name="_Toc19724"/>
      <w:bookmarkStart w:id="532" w:name="_Toc490667849"/>
      <w:bookmarkStart w:id="533" w:name="_Toc18915"/>
      <w:bookmarkStart w:id="534" w:name="_Toc152045553"/>
      <w:bookmarkStart w:id="535" w:name="_Toc11694"/>
      <w:bookmarkStart w:id="536" w:name="_Toc5132"/>
      <w:bookmarkStart w:id="537" w:name="_Toc152042329"/>
      <w:r>
        <w:rPr>
          <w:rFonts w:hint="eastAsia" w:ascii="宋体" w:hAnsi="宋体" w:eastAsia="宋体" w:cs="宋体"/>
          <w:color w:val="auto"/>
          <w:kern w:val="2"/>
          <w:sz w:val="24"/>
          <w:szCs w:val="24"/>
          <w:lang w:val="en-US" w:eastAsia="zh-CN"/>
        </w:rPr>
        <w:t>按照第二章供应商须知表“供应商须知前附表”1.5.1要求，提供其他相关材料。</w:t>
      </w:r>
      <w:bookmarkEnd w:id="518"/>
      <w:bookmarkEnd w:id="519"/>
      <w:bookmarkEnd w:id="520"/>
    </w:p>
    <w:p w14:paraId="102682B8">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38" w:name="_Toc24859"/>
      <w:bookmarkStart w:id="539" w:name="_Toc18996"/>
      <w:bookmarkStart w:id="540" w:name="_Toc13912"/>
      <w:r>
        <w:rPr>
          <w:rFonts w:hint="eastAsia" w:ascii="宋体" w:hAnsi="宋体" w:eastAsia="宋体" w:cs="宋体"/>
          <w:b/>
          <w:bCs/>
          <w:color w:val="auto"/>
          <w:sz w:val="24"/>
          <w:szCs w:val="24"/>
        </w:rPr>
        <w:t>3.6 备选方案</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AA39384">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除供应商须知前附表另有规定外，供应商不得递交备选磋商方案。</w:t>
      </w:r>
    </w:p>
    <w:p w14:paraId="57122833">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41" w:name="_Toc466298113"/>
      <w:bookmarkStart w:id="542" w:name="_Toc7966"/>
      <w:bookmarkStart w:id="543" w:name="_Toc5516"/>
      <w:bookmarkStart w:id="544" w:name="_Toc144974522"/>
      <w:bookmarkStart w:id="545" w:name="_Toc17697"/>
      <w:bookmarkStart w:id="546" w:name="_Toc490667850"/>
      <w:bookmarkStart w:id="547" w:name="_Toc6109"/>
      <w:bookmarkStart w:id="548" w:name="_Toc318450697"/>
      <w:bookmarkStart w:id="549" w:name="_Toc152045554"/>
      <w:bookmarkStart w:id="550" w:name="_Toc455080130"/>
      <w:bookmarkStart w:id="551" w:name="_Toc7626"/>
      <w:bookmarkStart w:id="552" w:name="_Toc18912"/>
      <w:bookmarkStart w:id="553" w:name="_Toc6323"/>
      <w:bookmarkStart w:id="554" w:name="_Toc152042330"/>
      <w:bookmarkStart w:id="555" w:name="_Toc455867790"/>
      <w:bookmarkStart w:id="556" w:name="_Toc25620"/>
      <w:bookmarkStart w:id="557" w:name="_Toc12275"/>
      <w:bookmarkStart w:id="558" w:name="_Toc28656"/>
      <w:bookmarkStart w:id="559" w:name="_Toc12541"/>
      <w:bookmarkStart w:id="560" w:name="_Toc6700"/>
      <w:r>
        <w:rPr>
          <w:rFonts w:hint="eastAsia" w:ascii="宋体" w:hAnsi="宋体" w:eastAsia="宋体" w:cs="宋体"/>
          <w:b/>
          <w:bCs/>
          <w:color w:val="auto"/>
          <w:sz w:val="24"/>
          <w:szCs w:val="24"/>
        </w:rPr>
        <w:t>3.7 响应文件的编制</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31659AB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561" w:name="_Toc152042331"/>
      <w:bookmarkStart w:id="562" w:name="_Toc144974523"/>
      <w:bookmarkStart w:id="563" w:name="_Toc455080131"/>
      <w:bookmarkStart w:id="564" w:name="_Toc152045555"/>
      <w:r>
        <w:rPr>
          <w:rFonts w:hint="eastAsia" w:ascii="宋体" w:hAnsi="宋体" w:eastAsia="宋体" w:cs="宋体"/>
          <w:color w:val="auto"/>
          <w:sz w:val="24"/>
          <w:szCs w:val="24"/>
        </w:rPr>
        <w:t>3.7.1响应文件应按</w:t>
      </w:r>
      <w:r>
        <w:rPr>
          <w:rFonts w:hint="eastAsia" w:ascii="宋体" w:hAnsi="宋体" w:eastAsia="宋体" w:cs="宋体"/>
          <w:color w:val="auto"/>
          <w:sz w:val="24"/>
          <w:szCs w:val="24"/>
          <w:lang w:eastAsia="zh-CN"/>
        </w:rPr>
        <w:t>第六章</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”进行编写，如有必要，可以增加附页，作为响应文件的组成部分。其中，</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附录在满足</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实质性要求的基础上，可以提出比</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要求更有利于采购人的承诺。</w:t>
      </w:r>
    </w:p>
    <w:p w14:paraId="099A641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3.7.2 响应文件应当对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有关</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、磋商有效期、质量要求、</w:t>
      </w:r>
      <w:r>
        <w:rPr>
          <w:rFonts w:hint="eastAsia" w:ascii="宋体" w:hAnsi="宋体" w:eastAsia="宋体" w:cs="宋体"/>
          <w:color w:val="auto"/>
          <w:sz w:val="24"/>
          <w:szCs w:val="24"/>
          <w:lang w:eastAsia="zh-CN"/>
        </w:rPr>
        <w:t>磋商内容</w:t>
      </w:r>
      <w:r>
        <w:rPr>
          <w:rFonts w:hint="eastAsia" w:ascii="宋体" w:hAnsi="宋体" w:eastAsia="宋体" w:cs="宋体"/>
          <w:color w:val="auto"/>
          <w:sz w:val="24"/>
          <w:szCs w:val="24"/>
        </w:rPr>
        <w:t>作出响应。</w:t>
      </w:r>
    </w:p>
    <w:p w14:paraId="3372E1D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供应商应按照招标文件的要求，规范、明确、准时的提交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文件。供应商对所提供的全部资料的合法性、真实性做出响应承诺，格式自拟，否则投标将被否决。</w:t>
      </w:r>
      <w:r>
        <w:rPr>
          <w:rFonts w:hint="eastAsia" w:ascii="宋体" w:hAnsi="宋体" w:eastAsia="宋体" w:cs="宋体"/>
          <w:color w:val="auto"/>
          <w:sz w:val="24"/>
          <w:szCs w:val="24"/>
          <w:lang w:val="en-US" w:eastAsia="zh-CN"/>
        </w:rPr>
        <w:t xml:space="preserve">  </w:t>
      </w:r>
    </w:p>
    <w:p w14:paraId="0B09DFEC">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响应文件应使用信阳市公共资源交易系统投标文件制作专用工具软件编制，</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为“*.XYTF”。电子响应文件签字或盖章的具体要求见供应商须知前附表。）供应商须在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递交截止时间前制作并提交。</w:t>
      </w:r>
    </w:p>
    <w:p w14:paraId="084DD930">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3.7.</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响应文件份数见供应商须知前附表。</w:t>
      </w:r>
    </w:p>
    <w:p w14:paraId="0ECAF0F4">
      <w:pPr>
        <w:pStyle w:val="31"/>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565" w:name="_Toc19433"/>
    </w:p>
    <w:p w14:paraId="7D4EA084">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566" w:name="_Toc17752"/>
      <w:r>
        <w:rPr>
          <w:rFonts w:hint="eastAsia" w:ascii="宋体" w:hAnsi="宋体" w:eastAsia="宋体" w:cs="宋体"/>
          <w:b/>
          <w:bCs/>
          <w:color w:val="auto"/>
          <w:sz w:val="24"/>
          <w:szCs w:val="24"/>
        </w:rPr>
        <w:t xml:space="preserve">4. </w:t>
      </w:r>
      <w:bookmarkEnd w:id="561"/>
      <w:bookmarkEnd w:id="562"/>
      <w:bookmarkEnd w:id="563"/>
      <w:bookmarkEnd w:id="564"/>
      <w:r>
        <w:rPr>
          <w:rFonts w:hint="eastAsia" w:ascii="宋体" w:hAnsi="宋体" w:eastAsia="宋体" w:cs="宋体"/>
          <w:b/>
          <w:bCs/>
          <w:color w:val="auto"/>
          <w:sz w:val="24"/>
          <w:szCs w:val="24"/>
        </w:rPr>
        <w:t>磋商</w:t>
      </w:r>
      <w:bookmarkEnd w:id="565"/>
      <w:bookmarkEnd w:id="566"/>
    </w:p>
    <w:p w14:paraId="59009243">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567" w:name="_Toc26550"/>
      <w:bookmarkStart w:id="568" w:name="_Toc26583"/>
      <w:bookmarkStart w:id="569" w:name="_Toc18820"/>
      <w:bookmarkStart w:id="570" w:name="_Toc22961"/>
      <w:bookmarkStart w:id="571" w:name="_Toc16783"/>
      <w:bookmarkStart w:id="572" w:name="_Toc455867792"/>
      <w:bookmarkStart w:id="573" w:name="_Toc16344"/>
      <w:bookmarkStart w:id="574" w:name="_Toc318450699"/>
      <w:bookmarkStart w:id="575" w:name="_Toc144974524"/>
      <w:bookmarkStart w:id="576" w:name="_Toc16962"/>
      <w:bookmarkStart w:id="577" w:name="_Toc455080132"/>
      <w:bookmarkStart w:id="578" w:name="_Toc31492"/>
      <w:bookmarkStart w:id="579" w:name="_Toc466298115"/>
      <w:bookmarkStart w:id="580" w:name="_Toc490667852"/>
      <w:bookmarkStart w:id="581" w:name="_Toc11243"/>
      <w:bookmarkStart w:id="582" w:name="_Toc152045556"/>
      <w:bookmarkStart w:id="583" w:name="_Toc152042332"/>
      <w:bookmarkStart w:id="584" w:name="_Toc24554"/>
      <w:bookmarkStart w:id="585" w:name="_Toc15161"/>
      <w:bookmarkStart w:id="586" w:name="_Toc21145"/>
      <w:r>
        <w:rPr>
          <w:rFonts w:hint="eastAsia" w:ascii="宋体" w:hAnsi="宋体" w:eastAsia="宋体" w:cs="宋体"/>
          <w:b/>
          <w:bCs/>
          <w:color w:val="auto"/>
          <w:sz w:val="24"/>
          <w:szCs w:val="24"/>
        </w:rPr>
        <w:t>4.1 响应文件的</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hint="eastAsia" w:ascii="宋体" w:hAnsi="宋体" w:eastAsia="宋体" w:cs="宋体"/>
          <w:b/>
          <w:bCs/>
          <w:color w:val="auto"/>
          <w:sz w:val="24"/>
          <w:szCs w:val="24"/>
          <w:lang w:eastAsia="zh-CN"/>
        </w:rPr>
        <w:t>上传</w:t>
      </w:r>
      <w:bookmarkEnd w:id="584"/>
      <w:bookmarkEnd w:id="585"/>
      <w:bookmarkEnd w:id="586"/>
    </w:p>
    <w:p w14:paraId="765D114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4.1.1网上上传的电子响应文件应使用供应商数字证书认证并加密。</w:t>
      </w:r>
    </w:p>
    <w:p w14:paraId="1100E0F4">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87" w:name="_Toc152042333"/>
      <w:bookmarkStart w:id="588" w:name="_Toc4767"/>
      <w:bookmarkStart w:id="589" w:name="_Toc27420"/>
      <w:bookmarkStart w:id="590" w:name="_Toc462"/>
      <w:bookmarkStart w:id="591" w:name="_Toc144974525"/>
      <w:bookmarkStart w:id="592" w:name="_Toc466298116"/>
      <w:bookmarkStart w:id="593" w:name="_Toc21897"/>
      <w:bookmarkStart w:id="594" w:name="_Toc7663"/>
      <w:bookmarkStart w:id="595" w:name="_Toc20259"/>
      <w:bookmarkStart w:id="596" w:name="_Toc152045557"/>
      <w:bookmarkStart w:id="597" w:name="_Toc8754"/>
      <w:bookmarkStart w:id="598" w:name="_Toc27132"/>
      <w:bookmarkStart w:id="599" w:name="_Toc21072"/>
      <w:bookmarkStart w:id="600" w:name="_Toc31952"/>
      <w:bookmarkStart w:id="601" w:name="_Toc455867793"/>
      <w:bookmarkStart w:id="602" w:name="_Toc16832"/>
      <w:bookmarkStart w:id="603" w:name="_Toc490667853"/>
      <w:bookmarkStart w:id="604" w:name="_Toc318450700"/>
      <w:bookmarkStart w:id="605" w:name="_Toc28272"/>
      <w:bookmarkStart w:id="606" w:name="_Toc455080133"/>
      <w:r>
        <w:rPr>
          <w:rFonts w:hint="eastAsia" w:ascii="宋体" w:hAnsi="宋体" w:eastAsia="宋体" w:cs="宋体"/>
          <w:b/>
          <w:bCs/>
          <w:color w:val="auto"/>
          <w:sz w:val="24"/>
          <w:szCs w:val="24"/>
        </w:rPr>
        <w:t>4.2 响应文件的递交</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394FA29D">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highlight w:val="white"/>
        </w:rPr>
      </w:pPr>
      <w:bookmarkStart w:id="607" w:name="_Toc152042334"/>
      <w:bookmarkStart w:id="608" w:name="_Toc19951"/>
      <w:bookmarkStart w:id="609" w:name="_Toc2952"/>
      <w:bookmarkStart w:id="610" w:name="_Toc318450701"/>
      <w:bookmarkStart w:id="611" w:name="_Toc11817"/>
      <w:bookmarkStart w:id="612" w:name="_Toc455080134"/>
      <w:bookmarkStart w:id="613" w:name="_Toc466298117"/>
      <w:bookmarkStart w:id="614" w:name="_Toc26684"/>
      <w:bookmarkStart w:id="615" w:name="_Toc21890"/>
      <w:bookmarkStart w:id="616" w:name="_Toc152045558"/>
      <w:bookmarkStart w:id="617" w:name="_Toc20281"/>
      <w:bookmarkStart w:id="618" w:name="_Toc5102"/>
      <w:bookmarkStart w:id="619" w:name="_Toc490667854"/>
      <w:bookmarkStart w:id="620" w:name="_Toc144974526"/>
      <w:bookmarkStart w:id="621" w:name="_Toc17161"/>
      <w:bookmarkStart w:id="622" w:name="_Toc455867794"/>
      <w:bookmarkStart w:id="623" w:name="_Toc30860"/>
      <w:r>
        <w:rPr>
          <w:rFonts w:hint="eastAsia" w:ascii="宋体" w:hAnsi="宋体" w:eastAsia="宋体" w:cs="宋体"/>
          <w:color w:val="auto"/>
          <w:sz w:val="24"/>
          <w:szCs w:val="24"/>
          <w:highlight w:val="white"/>
        </w:rPr>
        <w:t>4.2.1电子响应文件的递交</w:t>
      </w:r>
    </w:p>
    <w:p w14:paraId="38CD374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各供应商应在</w:t>
      </w:r>
      <w:r>
        <w:rPr>
          <w:rFonts w:hint="eastAsia" w:ascii="宋体" w:hAnsi="宋体" w:eastAsia="宋体" w:cs="宋体"/>
          <w:color w:val="auto"/>
          <w:sz w:val="24"/>
          <w:szCs w:val="24"/>
          <w:highlight w:val="white"/>
          <w:lang w:eastAsia="zh-CN"/>
        </w:rPr>
        <w:t>响应文件提交截止时间前</w:t>
      </w:r>
      <w:r>
        <w:rPr>
          <w:rFonts w:hint="eastAsia" w:ascii="宋体" w:hAnsi="宋体" w:eastAsia="宋体" w:cs="宋体"/>
          <w:color w:val="auto"/>
          <w:sz w:val="24"/>
          <w:szCs w:val="24"/>
          <w:highlight w:val="white"/>
        </w:rPr>
        <w:t>上传加密的电子响应文件（*.XYTF）到会员系统的指定位置。上传的电子响应文件应使用</w:t>
      </w:r>
      <w:r>
        <w:rPr>
          <w:rFonts w:hint="eastAsia" w:ascii="宋体" w:hAnsi="宋体" w:eastAsia="宋体" w:cs="宋体"/>
          <w:color w:val="auto"/>
          <w:sz w:val="24"/>
          <w:szCs w:val="24"/>
          <w:highlight w:val="white"/>
          <w:lang w:eastAsia="zh-CN"/>
        </w:rPr>
        <w:t>供应商</w:t>
      </w:r>
      <w:r>
        <w:rPr>
          <w:rFonts w:hint="eastAsia" w:ascii="宋体" w:hAnsi="宋体" w:eastAsia="宋体" w:cs="宋体"/>
          <w:color w:val="auto"/>
          <w:sz w:val="24"/>
          <w:szCs w:val="24"/>
          <w:highlight w:val="white"/>
        </w:rPr>
        <w:t>CA数字证书认证并加密。上传时必须得到交易系统“上传成功”的确认回复后方为上传成功。请供应商在上传前务必认真检查上传响应文件是否完整、正确。</w:t>
      </w:r>
    </w:p>
    <w:p w14:paraId="063AE0C4">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24" w:name="_Toc1790"/>
      <w:bookmarkStart w:id="625" w:name="_Toc13257"/>
      <w:bookmarkStart w:id="626" w:name="_Toc27477"/>
      <w:r>
        <w:rPr>
          <w:rFonts w:hint="eastAsia" w:ascii="宋体" w:hAnsi="宋体" w:eastAsia="宋体" w:cs="宋体"/>
          <w:b/>
          <w:bCs/>
          <w:color w:val="auto"/>
          <w:sz w:val="24"/>
          <w:szCs w:val="24"/>
        </w:rPr>
        <w:t>4.3 响应文件的修改与撤回</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6CA1450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627" w:name="_Toc152042335"/>
      <w:bookmarkStart w:id="628" w:name="_Toc152045559"/>
      <w:bookmarkStart w:id="629" w:name="_Toc144974527"/>
      <w:bookmarkStart w:id="630" w:name="_Toc455080135"/>
      <w:r>
        <w:rPr>
          <w:rFonts w:hint="eastAsia" w:ascii="宋体" w:hAnsi="宋体" w:eastAsia="宋体" w:cs="宋体"/>
          <w:color w:val="auto"/>
          <w:sz w:val="24"/>
          <w:szCs w:val="24"/>
        </w:rPr>
        <w:t>4.3.1 在第一章“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响应文件提交</w:t>
      </w:r>
      <w:r>
        <w:rPr>
          <w:rFonts w:hint="eastAsia" w:ascii="宋体" w:hAnsi="宋体" w:eastAsia="宋体" w:cs="宋体"/>
          <w:color w:val="auto"/>
          <w:sz w:val="24"/>
          <w:szCs w:val="24"/>
        </w:rPr>
        <w:t>截止时间前，供应商可以多次修改或撤回已递交的响应文件，最终响应文件以</w:t>
      </w:r>
      <w:r>
        <w:rPr>
          <w:rFonts w:hint="eastAsia" w:ascii="宋体" w:hAnsi="宋体" w:eastAsia="宋体" w:cs="宋体"/>
          <w:color w:val="auto"/>
          <w:sz w:val="24"/>
          <w:szCs w:val="24"/>
          <w:lang w:eastAsia="zh-CN"/>
        </w:rPr>
        <w:t>响应文件提交截止时间前</w:t>
      </w:r>
      <w:r>
        <w:rPr>
          <w:rFonts w:hint="eastAsia" w:ascii="宋体" w:hAnsi="宋体" w:eastAsia="宋体" w:cs="宋体"/>
          <w:color w:val="auto"/>
          <w:sz w:val="24"/>
          <w:szCs w:val="24"/>
        </w:rPr>
        <w:t>完成上传至信阳市公共资源交易中心交易系统最后一份响应文件为准。</w:t>
      </w:r>
    </w:p>
    <w:p w14:paraId="4B18330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4.3.2修改的响应文件应按照本章第3.7条、第4.2条规定进行编制和递交。</w:t>
      </w:r>
    </w:p>
    <w:bookmarkEnd w:id="627"/>
    <w:bookmarkEnd w:id="628"/>
    <w:bookmarkEnd w:id="629"/>
    <w:p w14:paraId="34CACE18">
      <w:pPr>
        <w:pageBreakBefore w:val="0"/>
        <w:kinsoku/>
        <w:wordWrap/>
        <w:overflowPunct/>
        <w:topLinePunct w:val="0"/>
        <w:bidi w:val="0"/>
        <w:snapToGrid/>
        <w:spacing w:line="500" w:lineRule="exact"/>
        <w:textAlignment w:val="auto"/>
        <w:outlineLvl w:val="1"/>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631" w:name="_Toc14969"/>
    </w:p>
    <w:p w14:paraId="60556E3D">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bCs/>
          <w:color w:val="auto"/>
          <w:sz w:val="24"/>
          <w:szCs w:val="24"/>
        </w:rPr>
      </w:pPr>
      <w:bookmarkStart w:id="632" w:name="_Toc11086"/>
      <w:r>
        <w:rPr>
          <w:rFonts w:hint="eastAsia" w:ascii="宋体" w:hAnsi="宋体" w:eastAsia="宋体" w:cs="宋体"/>
          <w:b/>
          <w:bCs/>
          <w:color w:val="auto"/>
          <w:sz w:val="24"/>
          <w:szCs w:val="24"/>
        </w:rPr>
        <w:t>5.磋商开始</w:t>
      </w:r>
      <w:bookmarkEnd w:id="630"/>
      <w:bookmarkEnd w:id="631"/>
      <w:bookmarkEnd w:id="632"/>
      <w:bookmarkStart w:id="633" w:name="_Toc490667856"/>
      <w:bookmarkStart w:id="634" w:name="_Toc152042336"/>
      <w:bookmarkStart w:id="635" w:name="_Toc20333"/>
      <w:bookmarkStart w:id="636" w:name="_Toc26426"/>
      <w:bookmarkStart w:id="637" w:name="_Toc6763"/>
      <w:bookmarkStart w:id="638" w:name="_Toc152045560"/>
      <w:bookmarkStart w:id="639" w:name="_Toc25533"/>
      <w:bookmarkStart w:id="640" w:name="_Toc144974528"/>
      <w:bookmarkStart w:id="641" w:name="_Toc318450703"/>
      <w:bookmarkStart w:id="642" w:name="_Toc20660"/>
      <w:bookmarkStart w:id="643" w:name="_Toc14"/>
      <w:bookmarkStart w:id="644" w:name="_Toc9969"/>
      <w:bookmarkStart w:id="645" w:name="_Toc16040"/>
      <w:bookmarkStart w:id="646" w:name="_Toc455867796"/>
      <w:bookmarkStart w:id="647" w:name="_Toc455080136"/>
      <w:bookmarkStart w:id="648" w:name="_Toc466298119"/>
      <w:bookmarkStart w:id="649" w:name="_Toc25809"/>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050605CA">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rPr>
      </w:pPr>
      <w:bookmarkStart w:id="650" w:name="_Toc30074"/>
      <w:bookmarkStart w:id="651" w:name="_Toc455080137"/>
      <w:bookmarkStart w:id="652" w:name="_Toc747"/>
      <w:bookmarkStart w:id="653" w:name="_Toc9328"/>
      <w:bookmarkStart w:id="654" w:name="_Toc152042337"/>
      <w:bookmarkStart w:id="655" w:name="_Toc30792"/>
      <w:bookmarkStart w:id="656" w:name="_Toc318450704"/>
      <w:bookmarkStart w:id="657" w:name="_Toc3865"/>
      <w:bookmarkStart w:id="658" w:name="_Toc152045561"/>
      <w:bookmarkStart w:id="659" w:name="_Toc466298120"/>
      <w:bookmarkStart w:id="660" w:name="_Toc30965"/>
      <w:bookmarkStart w:id="661" w:name="_Toc455867797"/>
      <w:bookmarkStart w:id="662" w:name="_Toc144974529"/>
      <w:bookmarkStart w:id="663" w:name="_Toc490667857"/>
      <w:bookmarkStart w:id="664" w:name="_Toc17491"/>
      <w:bookmarkStart w:id="665" w:name="_Toc11148"/>
      <w:bookmarkStart w:id="666" w:name="_Toc18582"/>
      <w:bookmarkStart w:id="667" w:name="_Toc25911"/>
      <w:r>
        <w:rPr>
          <w:rFonts w:hint="eastAsia" w:ascii="宋体" w:hAnsi="宋体" w:eastAsia="宋体" w:cs="宋体"/>
          <w:b/>
          <w:bCs/>
          <w:color w:val="auto"/>
          <w:sz w:val="24"/>
          <w:szCs w:val="24"/>
        </w:rPr>
        <w:t>5.1 磋商时间和地点</w:t>
      </w:r>
    </w:p>
    <w:p w14:paraId="5ABD4BEA">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采购人在本章规定的投标截止时间（</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时间）和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须知前附表规定的地点开标。</w:t>
      </w:r>
    </w:p>
    <w:p w14:paraId="7419A62C">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 xml:space="preserve">5.1.2 </w:t>
      </w:r>
      <w:r>
        <w:rPr>
          <w:rFonts w:hint="eastAsia" w:ascii="宋体" w:hAnsi="宋体" w:eastAsia="宋体" w:cs="宋体"/>
          <w:b w:val="0"/>
          <w:bCs w:val="0"/>
          <w:color w:val="auto"/>
          <w:sz w:val="24"/>
          <w:szCs w:val="24"/>
          <w:lang w:val="en-US" w:eastAsia="zh-CN"/>
        </w:rPr>
        <w:t xml:space="preserve">本项目采用“不见面开标”交易方式，不见面开标大厅网址为 </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http://https://ggzyjy.xinyang.gov.cn，供应商无需寄送和递交</w:t>
      </w:r>
      <w:r>
        <w:rPr>
          <w:rFonts w:hint="eastAsia" w:ascii="宋体" w:hAnsi="宋体" w:eastAsia="宋体" w:cs="宋体"/>
          <w:b w:val="0"/>
          <w:bCs w:val="0"/>
          <w:color w:val="auto"/>
          <w:sz w:val="24"/>
          <w:szCs w:val="24"/>
        </w:rPr>
        <w:t>非加密的电子</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lang w:val="en-US" w:eastAsia="zh-CN"/>
        </w:rPr>
        <w:t>无需到现场参加开标会议，无需到达现场提交原件资料。</w:t>
      </w:r>
      <w:r>
        <w:rPr>
          <w:rFonts w:hint="eastAsia" w:ascii="宋体" w:hAnsi="宋体" w:eastAsia="宋体" w:cs="宋体"/>
          <w:b w:val="0"/>
          <w:bCs w:val="0"/>
          <w:color w:val="auto"/>
          <w:sz w:val="24"/>
          <w:szCs w:val="24"/>
          <w:lang w:val="en-US" w:eastAsia="zh-CN"/>
        </w:rPr>
        <w:fldChar w:fldCharType="end"/>
      </w:r>
    </w:p>
    <w:p w14:paraId="47FB62B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供应商应当在响应文件提交截止时间前，使用供应商CA数字证书登录不见面开标大厅，在线签到并准时参加开标活动，并在规定时间内完成响应文件解密、答疑澄清等。</w:t>
      </w:r>
    </w:p>
    <w:p w14:paraId="01B54161">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1CB62880">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不见面开标服务的具体事宜，请查阅信阳市公共资源交易中心网站首页—下载中心—信阳市不见面开标大厅系统操作手册。</w:t>
      </w:r>
    </w:p>
    <w:p w14:paraId="7E01406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开标</w:t>
      </w:r>
      <w:r>
        <w:rPr>
          <w:rFonts w:hint="eastAsia" w:ascii="宋体" w:hAnsi="宋体" w:eastAsia="宋体" w:cs="宋体"/>
          <w:b w:val="0"/>
          <w:bCs w:val="0"/>
          <w:color w:val="auto"/>
          <w:sz w:val="24"/>
          <w:szCs w:val="24"/>
          <w:lang w:eastAsia="zh-CN"/>
        </w:rPr>
        <w:t>过程中</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如有异议，须</w:t>
      </w:r>
      <w:r>
        <w:rPr>
          <w:rFonts w:hint="eastAsia" w:ascii="宋体" w:hAnsi="宋体" w:eastAsia="宋体" w:cs="宋体"/>
          <w:b w:val="0"/>
          <w:bCs w:val="0"/>
          <w:color w:val="auto"/>
          <w:sz w:val="24"/>
          <w:szCs w:val="24"/>
          <w:lang w:eastAsia="zh-CN"/>
        </w:rPr>
        <w:t>在开标结束前</w:t>
      </w:r>
      <w:r>
        <w:rPr>
          <w:rFonts w:hint="eastAsia" w:ascii="宋体" w:hAnsi="宋体" w:eastAsia="宋体" w:cs="宋体"/>
          <w:b w:val="0"/>
          <w:bCs w:val="0"/>
          <w:color w:val="auto"/>
          <w:sz w:val="24"/>
          <w:szCs w:val="24"/>
        </w:rPr>
        <w:t>通过系统提出，否则视同</w:t>
      </w:r>
      <w:r>
        <w:rPr>
          <w:rFonts w:hint="eastAsia" w:ascii="宋体" w:hAnsi="宋体" w:eastAsia="宋体" w:cs="宋体"/>
          <w:b w:val="0"/>
          <w:bCs w:val="0"/>
          <w:color w:val="auto"/>
          <w:sz w:val="24"/>
          <w:szCs w:val="24"/>
          <w:lang w:eastAsia="zh-CN"/>
        </w:rPr>
        <w:t>认可</w:t>
      </w:r>
      <w:r>
        <w:rPr>
          <w:rFonts w:hint="eastAsia" w:ascii="宋体" w:hAnsi="宋体" w:eastAsia="宋体" w:cs="宋体"/>
          <w:b w:val="0"/>
          <w:bCs w:val="0"/>
          <w:color w:val="auto"/>
          <w:sz w:val="24"/>
          <w:szCs w:val="24"/>
        </w:rPr>
        <w:t>开标记录</w:t>
      </w:r>
      <w:r>
        <w:rPr>
          <w:rFonts w:hint="eastAsia" w:ascii="宋体" w:hAnsi="宋体" w:eastAsia="宋体" w:cs="宋体"/>
          <w:b w:val="0"/>
          <w:bCs w:val="0"/>
          <w:color w:val="auto"/>
          <w:sz w:val="24"/>
          <w:szCs w:val="24"/>
          <w:lang w:eastAsia="zh-CN"/>
        </w:rPr>
        <w:t>。开标结束后，</w:t>
      </w:r>
      <w:r>
        <w:rPr>
          <w:rFonts w:hint="eastAsia" w:ascii="宋体" w:hAnsi="宋体" w:eastAsia="宋体" w:cs="宋体"/>
          <w:b w:val="0"/>
          <w:bCs w:val="0"/>
          <w:color w:val="auto"/>
          <w:sz w:val="24"/>
          <w:szCs w:val="24"/>
        </w:rPr>
        <w:t>对开标记录</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任何异议</w:t>
      </w:r>
      <w:r>
        <w:rPr>
          <w:rFonts w:hint="eastAsia" w:ascii="宋体" w:hAnsi="宋体" w:eastAsia="宋体" w:cs="宋体"/>
          <w:b w:val="0"/>
          <w:bCs w:val="0"/>
          <w:color w:val="auto"/>
          <w:sz w:val="24"/>
          <w:szCs w:val="24"/>
          <w:lang w:eastAsia="zh-CN"/>
        </w:rPr>
        <w:t>不再接受</w:t>
      </w:r>
      <w:r>
        <w:rPr>
          <w:rFonts w:hint="eastAsia" w:ascii="宋体" w:hAnsi="宋体" w:eastAsia="宋体" w:cs="宋体"/>
          <w:b w:val="0"/>
          <w:bCs w:val="0"/>
          <w:color w:val="auto"/>
          <w:sz w:val="24"/>
          <w:szCs w:val="24"/>
        </w:rPr>
        <w:t xml:space="preserve">。 </w:t>
      </w:r>
    </w:p>
    <w:p w14:paraId="6499A491">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68" w:name="_Toc98"/>
      <w:bookmarkStart w:id="669" w:name="_Toc7224"/>
      <w:r>
        <w:rPr>
          <w:rFonts w:hint="eastAsia" w:ascii="宋体" w:hAnsi="宋体" w:eastAsia="宋体" w:cs="宋体"/>
          <w:b/>
          <w:bCs/>
          <w:color w:val="auto"/>
          <w:sz w:val="24"/>
          <w:szCs w:val="24"/>
        </w:rPr>
        <w:t>5.2 磋商程序</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A0E945E">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val="en-US" w:eastAsia="zh-CN"/>
        </w:rPr>
      </w:pPr>
      <w:bookmarkStart w:id="670" w:name="_Toc23409"/>
      <w:bookmarkStart w:id="671" w:name="_Toc20931"/>
      <w:bookmarkStart w:id="672" w:name="_Toc30403"/>
      <w:r>
        <w:rPr>
          <w:rFonts w:hint="eastAsia" w:ascii="宋体" w:hAnsi="宋体" w:eastAsia="宋体" w:cs="宋体"/>
          <w:color w:val="auto"/>
          <w:sz w:val="24"/>
          <w:szCs w:val="24"/>
          <w:lang w:val="en-US" w:eastAsia="zh-CN"/>
        </w:rPr>
        <w:t>5.2.1磋商小组对竞争性磋商文件进行熟悉确认。</w:t>
      </w:r>
      <w:bookmarkEnd w:id="670"/>
      <w:bookmarkEnd w:id="671"/>
      <w:bookmarkEnd w:id="672"/>
    </w:p>
    <w:p w14:paraId="241395C6">
      <w:pPr>
        <w:pageBreakBefore w:val="0"/>
        <w:kinsoku/>
        <w:wordWrap/>
        <w:overflowPunct/>
        <w:topLinePunct w:val="0"/>
        <w:bidi w:val="0"/>
        <w:snapToGrid/>
        <w:spacing w:line="500" w:lineRule="exact"/>
        <w:ind w:firstLine="540" w:firstLineChars="225"/>
        <w:textAlignment w:val="auto"/>
        <w:rPr>
          <w:rFonts w:hint="eastAsia" w:ascii="宋体" w:hAnsi="宋体" w:eastAsia="宋体" w:cs="宋体"/>
          <w:color w:val="auto"/>
          <w:sz w:val="24"/>
          <w:szCs w:val="24"/>
        </w:rPr>
      </w:pPr>
      <w:bookmarkStart w:id="673" w:name="_Toc152042338"/>
      <w:bookmarkStart w:id="674" w:name="_Toc144974530"/>
      <w:bookmarkStart w:id="675" w:name="_Toc152045562"/>
      <w:r>
        <w:rPr>
          <w:rFonts w:hint="eastAsia" w:ascii="宋体" w:hAnsi="宋体" w:eastAsia="宋体" w:cs="宋体"/>
          <w:color w:val="auto"/>
          <w:sz w:val="24"/>
          <w:szCs w:val="24"/>
        </w:rPr>
        <w:t>5.2.2磋商小组推选组长，讨论、通过磋商工作流程和磋商要点。</w:t>
      </w:r>
    </w:p>
    <w:p w14:paraId="62A99FB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资格评审审查：采购人依据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rPr>
        <w:t>供应商进行审查，以确定磋商供应商是否具备参与磋商的资格。根据磋商文件资格条件要求提供相关证明材料的扫描件加盖投标供应商企业</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章及法</w:t>
      </w:r>
      <w:r>
        <w:rPr>
          <w:rFonts w:hint="eastAsia" w:ascii="宋体" w:hAnsi="宋体" w:eastAsia="宋体" w:cs="宋体"/>
          <w:color w:val="auto"/>
          <w:sz w:val="24"/>
          <w:szCs w:val="24"/>
          <w:lang w:eastAsia="zh-CN"/>
        </w:rPr>
        <w:t>定代表</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未按要求提供的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文件无效。</w:t>
      </w:r>
    </w:p>
    <w:p w14:paraId="6B5FEB8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rPr>
        <w:t>评审审查：磋商开始后，磋商小组依据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规定，对通过资格评审的供应商进行审查，以确定磋商供应商是否具备参与磋商的资格。</w:t>
      </w:r>
    </w:p>
    <w:p w14:paraId="13490DC2">
      <w:pPr>
        <w:pageBreakBefore w:val="0"/>
        <w:kinsoku/>
        <w:wordWrap/>
        <w:overflowPunct/>
        <w:topLinePunct w:val="0"/>
        <w:bidi w:val="0"/>
        <w:snapToGrid/>
        <w:spacing w:line="500" w:lineRule="exact"/>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磋商小组对通过资格性和符合性审查的响应文件进行评估，确定与各竞标人磋商的具体内容。</w:t>
      </w:r>
    </w:p>
    <w:p w14:paraId="76545D5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磋商过程中，磋商小组可以根据磋商情况实质性变动招标需求中的技术、服务要求以及合同草案条款，但不得变动</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中的其他内容。实质性变动的内容需经采购人(业主)代表确认。并以书面形式通知所有参加磋商的供应商，该变动是</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的有效组成部分。供应商应当按照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23DF3AB3">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磋商小组对符合招标需求的供应商进行两轮报价；供应商只有通过资格评审</w:t>
      </w:r>
      <w:r>
        <w:rPr>
          <w:rFonts w:hint="eastAsia" w:ascii="宋体" w:hAnsi="宋体" w:eastAsia="宋体" w:cs="宋体"/>
          <w:color w:val="auto"/>
          <w:sz w:val="24"/>
          <w:szCs w:val="24"/>
          <w:lang w:eastAsia="zh-CN"/>
        </w:rPr>
        <w:t>及符合性</w:t>
      </w:r>
      <w:r>
        <w:rPr>
          <w:rFonts w:hint="eastAsia" w:ascii="宋体" w:hAnsi="宋体" w:eastAsia="宋体" w:cs="宋体"/>
          <w:color w:val="auto"/>
          <w:sz w:val="24"/>
          <w:szCs w:val="24"/>
        </w:rPr>
        <w:t>评审后方可进入下一轮报价，在规定的时间内同时提交报价，最终报价不得超过响应文件中报价。</w:t>
      </w:r>
    </w:p>
    <w:p w14:paraId="466D38D2">
      <w:pPr>
        <w:pageBreakBefore w:val="0"/>
        <w:tabs>
          <w:tab w:val="left" w:pos="0"/>
          <w:tab w:val="left" w:pos="1050"/>
        </w:tabs>
        <w:kinsoku/>
        <w:wordWrap/>
        <w:overflowPunct/>
        <w:topLinePunct w:val="0"/>
        <w:bidi w:val="0"/>
        <w:snapToGrid/>
        <w:spacing w:line="500" w:lineRule="exact"/>
        <w:ind w:firstLine="419" w:firstLineChars="174"/>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lang w:val="en-US" w:eastAsia="zh-CN"/>
        </w:rPr>
        <w:t>因供应商原因（如供应商准备不到位、电脑网络问题等），</w:t>
      </w:r>
      <w:r>
        <w:rPr>
          <w:rFonts w:hint="eastAsia" w:ascii="宋体" w:hAnsi="宋体" w:eastAsia="宋体" w:cs="宋体"/>
          <w:b/>
          <w:bCs/>
          <w:color w:val="auto"/>
          <w:sz w:val="24"/>
          <w:szCs w:val="24"/>
          <w:highlight w:val="none"/>
          <w:lang w:eastAsia="zh-CN"/>
        </w:rPr>
        <w:t>未在规定时间内进行二次报价的，第一次报价即为其</w:t>
      </w:r>
      <w:r>
        <w:rPr>
          <w:rFonts w:hint="eastAsia" w:ascii="宋体" w:hAnsi="宋体" w:eastAsia="宋体" w:cs="宋体"/>
          <w:b/>
          <w:bCs/>
          <w:color w:val="auto"/>
          <w:sz w:val="24"/>
          <w:szCs w:val="24"/>
          <w:highlight w:val="none"/>
        </w:rPr>
        <w:t>最终报价</w:t>
      </w:r>
      <w:r>
        <w:rPr>
          <w:rFonts w:hint="eastAsia" w:ascii="宋体" w:hAnsi="宋体" w:eastAsia="宋体" w:cs="宋体"/>
          <w:b/>
          <w:bCs/>
          <w:color w:val="auto"/>
          <w:sz w:val="24"/>
          <w:szCs w:val="24"/>
          <w:highlight w:val="none"/>
          <w:lang w:eastAsia="zh-CN"/>
        </w:rPr>
        <w:t>。</w:t>
      </w:r>
    </w:p>
    <w:p w14:paraId="6AE6392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经磋商确定最终招标需求，由磋商小组采用综合评分法对通过初步评审的供应商的响应文件进行综合评分。</w:t>
      </w:r>
    </w:p>
    <w:p w14:paraId="1B660078">
      <w:pPr>
        <w:pStyle w:val="31"/>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676" w:name="_Toc455080138"/>
      <w:bookmarkStart w:id="677" w:name="_Toc14039"/>
    </w:p>
    <w:p w14:paraId="60698A15">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678" w:name="_Toc21457"/>
      <w:r>
        <w:rPr>
          <w:rFonts w:hint="eastAsia" w:ascii="宋体" w:hAnsi="宋体" w:eastAsia="宋体" w:cs="宋体"/>
          <w:b/>
          <w:bCs/>
          <w:color w:val="auto"/>
          <w:sz w:val="24"/>
          <w:szCs w:val="24"/>
        </w:rPr>
        <w:t xml:space="preserve">6. </w:t>
      </w:r>
      <w:bookmarkEnd w:id="673"/>
      <w:bookmarkEnd w:id="674"/>
      <w:bookmarkEnd w:id="675"/>
      <w:r>
        <w:rPr>
          <w:rFonts w:hint="eastAsia" w:ascii="宋体" w:hAnsi="宋体" w:eastAsia="宋体" w:cs="宋体"/>
          <w:b/>
          <w:bCs/>
          <w:color w:val="auto"/>
          <w:sz w:val="24"/>
          <w:szCs w:val="24"/>
        </w:rPr>
        <w:t>磋商</w:t>
      </w:r>
      <w:bookmarkEnd w:id="676"/>
      <w:r>
        <w:rPr>
          <w:rFonts w:hint="eastAsia" w:ascii="宋体" w:hAnsi="宋体" w:eastAsia="宋体" w:cs="宋体"/>
          <w:b/>
          <w:bCs/>
          <w:color w:val="auto"/>
          <w:sz w:val="24"/>
          <w:szCs w:val="24"/>
        </w:rPr>
        <w:t>小组</w:t>
      </w:r>
      <w:bookmarkEnd w:id="677"/>
      <w:bookmarkEnd w:id="678"/>
    </w:p>
    <w:p w14:paraId="7138EA12">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79" w:name="_Toc22250"/>
      <w:bookmarkStart w:id="680" w:name="_Toc318450706"/>
      <w:bookmarkStart w:id="681" w:name="_Toc26098"/>
      <w:bookmarkStart w:id="682" w:name="_Toc144974531"/>
      <w:bookmarkStart w:id="683" w:name="_Toc152042339"/>
      <w:bookmarkStart w:id="684" w:name="_Toc152045563"/>
      <w:bookmarkStart w:id="685" w:name="_Toc9808"/>
      <w:bookmarkStart w:id="686" w:name="_Toc455867799"/>
      <w:bookmarkStart w:id="687" w:name="_Toc17591"/>
      <w:bookmarkStart w:id="688" w:name="_Toc8725"/>
      <w:bookmarkStart w:id="689" w:name="_Toc1546"/>
      <w:bookmarkStart w:id="690" w:name="_Toc8157"/>
      <w:bookmarkStart w:id="691" w:name="_Toc1574"/>
      <w:bookmarkStart w:id="692" w:name="_Toc17775"/>
      <w:bookmarkStart w:id="693" w:name="_Toc18985"/>
      <w:bookmarkStart w:id="694" w:name="_Toc490667859"/>
      <w:bookmarkStart w:id="695" w:name="_Toc455080139"/>
      <w:bookmarkStart w:id="696" w:name="_Toc466298122"/>
      <w:bookmarkStart w:id="697" w:name="_Toc23138"/>
      <w:bookmarkStart w:id="698" w:name="_Toc13978"/>
      <w:r>
        <w:rPr>
          <w:rFonts w:hint="eastAsia" w:ascii="宋体" w:hAnsi="宋体" w:eastAsia="宋体" w:cs="宋体"/>
          <w:b/>
          <w:bCs/>
          <w:color w:val="auto"/>
          <w:sz w:val="24"/>
          <w:szCs w:val="24"/>
        </w:rPr>
        <w:t>6.1</w:t>
      </w:r>
      <w:bookmarkEnd w:id="679"/>
      <w:bookmarkEnd w:id="680"/>
      <w:bookmarkEnd w:id="681"/>
      <w:bookmarkEnd w:id="682"/>
      <w:bookmarkEnd w:id="683"/>
      <w:bookmarkEnd w:id="684"/>
      <w:bookmarkEnd w:id="685"/>
      <w:r>
        <w:rPr>
          <w:rFonts w:hint="eastAsia" w:ascii="宋体" w:hAnsi="宋体" w:eastAsia="宋体" w:cs="宋体"/>
          <w:b/>
          <w:bCs/>
          <w:color w:val="auto"/>
          <w:sz w:val="24"/>
          <w:szCs w:val="24"/>
        </w:rPr>
        <w:t>磋商小组</w:t>
      </w:r>
      <w:bookmarkEnd w:id="686"/>
      <w:bookmarkEnd w:id="687"/>
      <w:bookmarkEnd w:id="688"/>
      <w:bookmarkEnd w:id="689"/>
      <w:bookmarkEnd w:id="690"/>
      <w:bookmarkEnd w:id="691"/>
      <w:bookmarkEnd w:id="692"/>
      <w:bookmarkEnd w:id="693"/>
      <w:bookmarkEnd w:id="694"/>
      <w:bookmarkEnd w:id="695"/>
      <w:bookmarkEnd w:id="696"/>
      <w:bookmarkEnd w:id="697"/>
      <w:bookmarkEnd w:id="698"/>
    </w:p>
    <w:p w14:paraId="39177760">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磋商由采购人依法组建的磋商小组负责。磋商小组由采购人代表以及有关技术、经济等方面的专家组成。磋商小组成员人数以及技术、经济等方面专家的确定方式见供应商须知前附表。</w:t>
      </w:r>
    </w:p>
    <w:p w14:paraId="6C21FA68">
      <w:pPr>
        <w:pStyle w:val="34"/>
        <w:pageBreakBefore w:val="0"/>
        <w:tabs>
          <w:tab w:val="left" w:pos="2620"/>
        </w:tabs>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99" w:name="_Toc27035"/>
      <w:bookmarkStart w:id="700" w:name="_Toc25721"/>
      <w:bookmarkStart w:id="701" w:name="_Toc4435"/>
      <w:bookmarkStart w:id="702" w:name="_Toc22143"/>
      <w:bookmarkStart w:id="703" w:name="_Toc490667860"/>
      <w:bookmarkStart w:id="704" w:name="_Toc9532"/>
      <w:bookmarkStart w:id="705" w:name="_Toc7286"/>
      <w:bookmarkStart w:id="706" w:name="_Toc8248"/>
      <w:bookmarkStart w:id="707" w:name="_Toc455867800"/>
      <w:bookmarkStart w:id="708" w:name="_Toc466298123"/>
      <w:bookmarkStart w:id="709" w:name="_Toc318450707"/>
      <w:bookmarkStart w:id="710" w:name="_Toc21102"/>
      <w:bookmarkStart w:id="711" w:name="_Toc13368"/>
      <w:bookmarkStart w:id="712" w:name="_Toc455080140"/>
      <w:bookmarkStart w:id="713" w:name="_Toc32658"/>
      <w:bookmarkStart w:id="714" w:name="_Toc16354"/>
      <w:bookmarkStart w:id="715" w:name="_Toc152042340"/>
      <w:bookmarkStart w:id="716" w:name="_Toc144974532"/>
      <w:bookmarkStart w:id="717" w:name="_Toc8240"/>
      <w:bookmarkStart w:id="718" w:name="_Toc152045564"/>
      <w:r>
        <w:rPr>
          <w:rFonts w:hint="eastAsia" w:ascii="宋体" w:hAnsi="宋体" w:eastAsia="宋体" w:cs="宋体"/>
          <w:b/>
          <w:bCs/>
          <w:color w:val="auto"/>
          <w:sz w:val="24"/>
          <w:szCs w:val="24"/>
        </w:rPr>
        <w:t>6.2 磋商原则</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12B946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磋商活动遵循公平、公正、科学和择优的原则。</w:t>
      </w:r>
    </w:p>
    <w:p w14:paraId="7ED27994">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719" w:name="_Toc318450708"/>
      <w:bookmarkStart w:id="720" w:name="_Toc144974533"/>
      <w:bookmarkStart w:id="721" w:name="_Toc15595"/>
      <w:bookmarkStart w:id="722" w:name="_Toc152045565"/>
      <w:bookmarkStart w:id="723" w:name="_Toc16725"/>
      <w:bookmarkStart w:id="724" w:name="_Toc8705"/>
      <w:bookmarkStart w:id="725" w:name="_Toc152042341"/>
      <w:bookmarkStart w:id="726" w:name="_Toc24358"/>
      <w:bookmarkStart w:id="727" w:name="_Toc18756"/>
      <w:bookmarkStart w:id="728" w:name="_Toc490667861"/>
      <w:bookmarkStart w:id="729" w:name="_Toc309"/>
      <w:bookmarkStart w:id="730" w:name="_Toc455080141"/>
      <w:bookmarkStart w:id="731" w:name="_Toc4438"/>
      <w:bookmarkStart w:id="732" w:name="_Toc3606"/>
      <w:bookmarkStart w:id="733" w:name="_Toc466298124"/>
      <w:bookmarkStart w:id="734" w:name="_Toc27036"/>
      <w:bookmarkStart w:id="735" w:name="_Toc7890"/>
      <w:bookmarkStart w:id="736" w:name="_Toc20062"/>
      <w:bookmarkStart w:id="737" w:name="_Toc455867801"/>
      <w:bookmarkStart w:id="738" w:name="_Toc28734"/>
      <w:r>
        <w:rPr>
          <w:rFonts w:hint="eastAsia" w:ascii="宋体" w:hAnsi="宋体" w:eastAsia="宋体" w:cs="宋体"/>
          <w:b/>
          <w:bCs/>
          <w:color w:val="auto"/>
          <w:sz w:val="24"/>
          <w:szCs w:val="24"/>
        </w:rPr>
        <w:t xml:space="preserve">6.3 </w:t>
      </w:r>
      <w:bookmarkEnd w:id="719"/>
      <w:bookmarkEnd w:id="720"/>
      <w:bookmarkEnd w:id="721"/>
      <w:bookmarkEnd w:id="722"/>
      <w:bookmarkEnd w:id="723"/>
      <w:bookmarkEnd w:id="724"/>
      <w:bookmarkEnd w:id="725"/>
      <w:r>
        <w:rPr>
          <w:rFonts w:hint="eastAsia" w:ascii="宋体" w:hAnsi="宋体" w:eastAsia="宋体" w:cs="宋体"/>
          <w:b/>
          <w:bCs/>
          <w:color w:val="auto"/>
          <w:sz w:val="24"/>
          <w:szCs w:val="24"/>
        </w:rPr>
        <w:t>磋商</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25A030AC">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磋商小组按照第三章“评审办法”规定的方法、评审因素、标准和程序对响应文件进行评审。第三章“评审办法”没有规定的方法、评审因素和标准，不作为评标依据。</w:t>
      </w:r>
    </w:p>
    <w:p w14:paraId="7FDD7BCD">
      <w:pPr>
        <w:pStyle w:val="31"/>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739" w:name="_Toc9522"/>
      <w:bookmarkStart w:id="740" w:name="_Toc152042342"/>
      <w:bookmarkStart w:id="741" w:name="_Toc455080142"/>
      <w:bookmarkStart w:id="742" w:name="_Toc144974534"/>
      <w:bookmarkStart w:id="743" w:name="_Toc152045566"/>
    </w:p>
    <w:p w14:paraId="3ABEBFA0">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744" w:name="_Toc17150"/>
      <w:r>
        <w:rPr>
          <w:rFonts w:hint="eastAsia" w:ascii="宋体" w:hAnsi="宋体" w:eastAsia="宋体" w:cs="宋体"/>
          <w:b/>
          <w:bCs/>
          <w:color w:val="auto"/>
          <w:sz w:val="24"/>
          <w:szCs w:val="24"/>
        </w:rPr>
        <w:t>7. 合同授予</w:t>
      </w:r>
      <w:bookmarkEnd w:id="739"/>
      <w:bookmarkEnd w:id="740"/>
      <w:bookmarkEnd w:id="741"/>
      <w:bookmarkEnd w:id="742"/>
      <w:bookmarkEnd w:id="743"/>
      <w:bookmarkEnd w:id="744"/>
    </w:p>
    <w:p w14:paraId="07108541">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45" w:name="_Toc318450710"/>
      <w:bookmarkStart w:id="746" w:name="_Toc23103"/>
      <w:bookmarkStart w:id="747" w:name="_Toc14528"/>
      <w:bookmarkStart w:id="748" w:name="_Toc29664"/>
      <w:bookmarkStart w:id="749" w:name="_Toc20777"/>
      <w:bookmarkStart w:id="750" w:name="_Toc490667863"/>
      <w:bookmarkStart w:id="751" w:name="_Toc455080143"/>
      <w:bookmarkStart w:id="752" w:name="_Toc7358"/>
      <w:bookmarkStart w:id="753" w:name="_Toc466298126"/>
      <w:bookmarkStart w:id="754" w:name="_Toc22461"/>
      <w:bookmarkStart w:id="755" w:name="_Toc28919"/>
      <w:bookmarkStart w:id="756" w:name="_Toc28229"/>
      <w:bookmarkStart w:id="757" w:name="_Toc29686"/>
      <w:bookmarkStart w:id="758" w:name="_Toc152042343"/>
      <w:bookmarkStart w:id="759" w:name="_Toc25316"/>
      <w:bookmarkStart w:id="760" w:name="_Toc455867803"/>
      <w:bookmarkStart w:id="761" w:name="_Toc152045567"/>
      <w:bookmarkStart w:id="762" w:name="_Toc144974535"/>
      <w:bookmarkStart w:id="763" w:name="_Toc17660"/>
      <w:bookmarkStart w:id="764" w:name="_Toc11409"/>
      <w:r>
        <w:rPr>
          <w:rFonts w:hint="eastAsia" w:ascii="宋体" w:hAnsi="宋体" w:eastAsia="宋体" w:cs="宋体"/>
          <w:b/>
          <w:bCs/>
          <w:color w:val="auto"/>
          <w:sz w:val="24"/>
          <w:szCs w:val="24"/>
        </w:rPr>
        <w:t>7.1 定标方式</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03B2F861">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765" w:name="_Toc144974536"/>
      <w:bookmarkStart w:id="766" w:name="_Toc7066"/>
      <w:bookmarkStart w:id="767" w:name="_Toc10868"/>
      <w:bookmarkStart w:id="768" w:name="_Toc152045568"/>
      <w:bookmarkStart w:id="769" w:name="_Toc28254"/>
      <w:bookmarkStart w:id="770" w:name="_Toc318450711"/>
      <w:bookmarkStart w:id="771" w:name="_Toc152042344"/>
      <w:r>
        <w:rPr>
          <w:rFonts w:hint="eastAsia" w:ascii="宋体" w:hAnsi="宋体" w:eastAsia="宋体" w:cs="宋体"/>
          <w:color w:val="auto"/>
          <w:sz w:val="24"/>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要求提交履约保证金，或者被查实存在影响成交结果的违法行为等情形，不符合成交条件的，采购人可以按照磋商小组提出的成交候选人名单排序依次确定其他成交候选人为成交人，也可以重新磋商。</w:t>
      </w:r>
    </w:p>
    <w:p w14:paraId="5DBE0111">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72" w:name="_Toc9775"/>
      <w:bookmarkStart w:id="773" w:name="_Toc16163"/>
      <w:bookmarkStart w:id="774" w:name="_Toc31654"/>
      <w:bookmarkStart w:id="775" w:name="_Toc5668"/>
      <w:bookmarkStart w:id="776" w:name="_Toc15825"/>
      <w:bookmarkStart w:id="777" w:name="_Toc9897"/>
      <w:bookmarkStart w:id="778" w:name="_Toc28177"/>
      <w:bookmarkStart w:id="779" w:name="_Toc490667864"/>
      <w:bookmarkStart w:id="780" w:name="_Toc455080144"/>
      <w:bookmarkStart w:id="781" w:name="_Toc466298127"/>
      <w:bookmarkStart w:id="782" w:name="_Toc5428"/>
      <w:bookmarkStart w:id="783" w:name="_Toc29772"/>
      <w:bookmarkStart w:id="784" w:name="_Toc455867804"/>
      <w:r>
        <w:rPr>
          <w:rFonts w:hint="eastAsia" w:ascii="宋体" w:hAnsi="宋体" w:eastAsia="宋体" w:cs="宋体"/>
          <w:b/>
          <w:bCs/>
          <w:color w:val="auto"/>
          <w:sz w:val="24"/>
          <w:szCs w:val="24"/>
        </w:rPr>
        <w:t>7.2 成交通知</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09B94E5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在本章第3.3.1款规定的磋商有效期内，采购人以书面形式向成交人发出成交通知书，同时将成交结果通知未成交的供应商。</w:t>
      </w:r>
    </w:p>
    <w:p w14:paraId="44A6402F">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7.3 履约保证金</w:t>
      </w:r>
    </w:p>
    <w:p w14:paraId="5DACADD7">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val="en-US" w:eastAsia="zh-CN"/>
        </w:rPr>
      </w:pPr>
      <w:bookmarkStart w:id="785" w:name="_Toc13002"/>
      <w:bookmarkStart w:id="786" w:name="_Toc26058"/>
      <w:bookmarkStart w:id="787" w:name="_Toc144974538"/>
      <w:bookmarkStart w:id="788" w:name="_Toc8886"/>
      <w:bookmarkStart w:id="789" w:name="_Toc152045570"/>
      <w:bookmarkStart w:id="790" w:name="_Toc152042346"/>
      <w:bookmarkStart w:id="791" w:name="_Toc13147"/>
      <w:bookmarkStart w:id="792" w:name="_Toc318450712"/>
      <w:bookmarkStart w:id="793" w:name="_Toc26655"/>
      <w:bookmarkStart w:id="794" w:name="_Toc26760"/>
      <w:bookmarkStart w:id="795" w:name="_Toc10082"/>
      <w:bookmarkStart w:id="796" w:name="_Toc15458"/>
      <w:bookmarkStart w:id="797" w:name="_Toc466298128"/>
      <w:bookmarkStart w:id="798" w:name="_Toc12663"/>
      <w:bookmarkStart w:id="799" w:name="_Toc455867805"/>
      <w:bookmarkStart w:id="800" w:name="_Toc21271"/>
      <w:bookmarkStart w:id="801" w:name="_Toc455080145"/>
      <w:bookmarkStart w:id="802" w:name="_Toc24026"/>
      <w:bookmarkStart w:id="803" w:name="_Toc26915"/>
      <w:bookmarkStart w:id="804" w:name="_Toc490667865"/>
      <w:r>
        <w:rPr>
          <w:rFonts w:hint="eastAsia" w:ascii="宋体" w:hAnsi="宋体" w:eastAsia="宋体" w:cs="宋体"/>
          <w:b/>
          <w:bCs/>
          <w:color w:val="auto"/>
          <w:sz w:val="24"/>
          <w:szCs w:val="24"/>
          <w:lang w:val="en-US" w:eastAsia="zh-CN"/>
        </w:rPr>
        <w:t>免收履约保证金</w:t>
      </w:r>
      <w:bookmarkEnd w:id="785"/>
      <w:bookmarkEnd w:id="786"/>
    </w:p>
    <w:p w14:paraId="21ECDE8C">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805" w:name="_Toc2451"/>
      <w:bookmarkStart w:id="806" w:name="_Toc17236"/>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 签订合同</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4C42F725">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.1采购人和成交人应当自成交通知书发出之日起</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天内，根据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 xml:space="preserve">和成交人的响应文件订立书面合同。成交人无正当理由拒签合同的，采购人取消其成交资格，其磋商保证金不予退还；给采购人造成的损失超过磋商保证金数额的，成交人还应当对超过部分予以赔偿。 </w:t>
      </w:r>
    </w:p>
    <w:p w14:paraId="2453CD3C">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.2 发出成交通知书后，采购人无正当理由拒签合同的，采购人向成交人退还磋商保证金；给成交人造成损失的，还应当赔偿损失。 </w:t>
      </w:r>
      <w:bookmarkStart w:id="807" w:name="_Toc152042350"/>
      <w:bookmarkStart w:id="808" w:name="_Toc152045574"/>
      <w:bookmarkStart w:id="809" w:name="_Toc144974542"/>
    </w:p>
    <w:p w14:paraId="5AAB1711">
      <w:pPr>
        <w:pStyle w:val="31"/>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810" w:name="_Toc16866"/>
      <w:bookmarkStart w:id="811" w:name="_Toc455080146"/>
    </w:p>
    <w:p w14:paraId="54A252C7">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812" w:name="_Toc13693"/>
      <w:r>
        <w:rPr>
          <w:rFonts w:hint="eastAsia" w:ascii="宋体" w:hAnsi="宋体" w:eastAsia="宋体" w:cs="宋体"/>
          <w:b/>
          <w:bCs/>
          <w:color w:val="auto"/>
          <w:sz w:val="24"/>
          <w:szCs w:val="24"/>
        </w:rPr>
        <w:t>8.重新招标</w:t>
      </w:r>
      <w:bookmarkEnd w:id="810"/>
      <w:bookmarkEnd w:id="811"/>
      <w:bookmarkEnd w:id="812"/>
    </w:p>
    <w:p w14:paraId="2DF0F042">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rPr>
      </w:pPr>
      <w:bookmarkStart w:id="813" w:name="_Toc16556"/>
    </w:p>
    <w:p w14:paraId="6D96BFE4">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8.1 重新招标</w:t>
      </w:r>
      <w:bookmarkEnd w:id="813"/>
    </w:p>
    <w:p w14:paraId="3A259450">
      <w:pPr>
        <w:pageBreakBefore w:val="0"/>
        <w:kinsoku/>
        <w:wordWrap/>
        <w:overflowPunct/>
        <w:topLinePunct w:val="0"/>
        <w:bidi w:val="0"/>
        <w:snapToGrid/>
        <w:spacing w:line="500" w:lineRule="exact"/>
        <w:ind w:firstLine="480"/>
        <w:textAlignment w:val="auto"/>
        <w:rPr>
          <w:rFonts w:hint="eastAsia" w:ascii="宋体" w:hAnsi="宋体" w:eastAsia="宋体" w:cs="宋体"/>
          <w:color w:val="auto"/>
          <w:sz w:val="24"/>
          <w:szCs w:val="24"/>
        </w:rPr>
      </w:pPr>
      <w:bookmarkStart w:id="814" w:name="_Toc9985"/>
      <w:r>
        <w:rPr>
          <w:rFonts w:hint="eastAsia" w:ascii="宋体" w:hAnsi="宋体" w:eastAsia="宋体" w:cs="宋体"/>
          <w:color w:val="auto"/>
          <w:sz w:val="24"/>
          <w:szCs w:val="24"/>
        </w:rPr>
        <w:t>有下列情形之一的，采购人将重新招标：</w:t>
      </w:r>
      <w:bookmarkEnd w:id="814"/>
    </w:p>
    <w:p w14:paraId="159E3557">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bookmarkStart w:id="815" w:name="_Toc25063"/>
      <w:r>
        <w:rPr>
          <w:rFonts w:hint="eastAsia" w:ascii="宋体" w:hAnsi="宋体" w:eastAsia="宋体" w:cs="宋体"/>
          <w:color w:val="auto"/>
          <w:sz w:val="24"/>
          <w:szCs w:val="24"/>
        </w:rPr>
        <w:t xml:space="preserve">   （1）提交响应文件截止时间止，供应商少于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个的；</w:t>
      </w:r>
      <w:bookmarkEnd w:id="815"/>
      <w:r>
        <w:rPr>
          <w:rFonts w:hint="eastAsia" w:ascii="宋体" w:hAnsi="宋体" w:eastAsia="宋体" w:cs="宋体"/>
          <w:color w:val="auto"/>
          <w:sz w:val="24"/>
          <w:szCs w:val="24"/>
        </w:rPr>
        <w:t xml:space="preserve"> </w:t>
      </w:r>
    </w:p>
    <w:p w14:paraId="19CAE922">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816" w:name="_Toc17911"/>
      <w:r>
        <w:rPr>
          <w:rFonts w:hint="eastAsia" w:ascii="宋体" w:hAnsi="宋体" w:eastAsia="宋体" w:cs="宋体"/>
          <w:color w:val="auto"/>
          <w:sz w:val="24"/>
          <w:szCs w:val="24"/>
        </w:rPr>
        <w:t>（2）经磋商小组评审后否决所有响应文件的。</w:t>
      </w:r>
      <w:bookmarkEnd w:id="816"/>
    </w:p>
    <w:p w14:paraId="5EBA45A6">
      <w:pPr>
        <w:pStyle w:val="31"/>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817" w:name="_Toc9996"/>
      <w:bookmarkStart w:id="818" w:name="_Toc455080147"/>
    </w:p>
    <w:p w14:paraId="3DD2004C">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819" w:name="_Toc6440"/>
      <w:r>
        <w:rPr>
          <w:rFonts w:hint="eastAsia" w:ascii="宋体" w:hAnsi="宋体" w:eastAsia="宋体" w:cs="宋体"/>
          <w:b/>
          <w:bCs/>
          <w:color w:val="auto"/>
          <w:sz w:val="24"/>
          <w:szCs w:val="24"/>
        </w:rPr>
        <w:t>9.纪律和监督</w:t>
      </w:r>
      <w:bookmarkEnd w:id="807"/>
      <w:bookmarkEnd w:id="808"/>
      <w:bookmarkEnd w:id="809"/>
      <w:bookmarkEnd w:id="817"/>
      <w:bookmarkEnd w:id="818"/>
      <w:bookmarkEnd w:id="819"/>
    </w:p>
    <w:p w14:paraId="4D083525">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820" w:name="_Toc144974543"/>
      <w:bookmarkStart w:id="821" w:name="_Toc13970"/>
      <w:bookmarkStart w:id="822" w:name="_Toc20009"/>
      <w:bookmarkStart w:id="823" w:name="_Toc1282"/>
      <w:bookmarkStart w:id="824" w:name="_Toc29300"/>
      <w:bookmarkStart w:id="825" w:name="_Toc6319"/>
      <w:bookmarkStart w:id="826" w:name="_Toc19159"/>
      <w:bookmarkStart w:id="827" w:name="_Toc455080148"/>
      <w:bookmarkStart w:id="828" w:name="_Toc269"/>
      <w:bookmarkStart w:id="829" w:name="_Toc152045575"/>
      <w:bookmarkStart w:id="830" w:name="_Toc697"/>
      <w:bookmarkStart w:id="831" w:name="_Toc152042351"/>
      <w:bookmarkStart w:id="832" w:name="_Toc12992"/>
      <w:bookmarkStart w:id="833" w:name="_Toc27836"/>
      <w:bookmarkStart w:id="834" w:name="_Toc15769"/>
      <w:bookmarkStart w:id="835" w:name="_Toc466298131"/>
      <w:bookmarkStart w:id="836" w:name="_Toc318450714"/>
      <w:bookmarkStart w:id="837" w:name="_Toc455867808"/>
      <w:bookmarkStart w:id="838" w:name="_Toc15592"/>
      <w:bookmarkStart w:id="839" w:name="_Toc490667868"/>
    </w:p>
    <w:p w14:paraId="130C97C7">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9.1 对</w:t>
      </w:r>
      <w:r>
        <w:rPr>
          <w:rFonts w:hint="eastAsia" w:ascii="宋体" w:hAnsi="宋体" w:eastAsia="宋体" w:cs="宋体"/>
          <w:b/>
          <w:bCs/>
          <w:color w:val="auto"/>
          <w:sz w:val="24"/>
          <w:szCs w:val="24"/>
          <w:lang w:eastAsia="zh-CN"/>
        </w:rPr>
        <w:t>采购人</w:t>
      </w:r>
      <w:r>
        <w:rPr>
          <w:rFonts w:hint="eastAsia" w:ascii="宋体" w:hAnsi="宋体" w:eastAsia="宋体" w:cs="宋体"/>
          <w:b/>
          <w:bCs/>
          <w:color w:val="auto"/>
          <w:sz w:val="24"/>
          <w:szCs w:val="24"/>
        </w:rPr>
        <w:t>的纪律要求</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2A5509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采购人不得泄漏磋商活动中应当保密的情况和资料，不得与供应商串通损害国家利益、社会公共利益或者他人合法权益。</w:t>
      </w:r>
    </w:p>
    <w:p w14:paraId="22E03130">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840" w:name="_Toc455867809"/>
      <w:bookmarkStart w:id="841" w:name="_Toc3089"/>
      <w:bookmarkStart w:id="842" w:name="_Toc455080149"/>
      <w:bookmarkStart w:id="843" w:name="_Toc144974544"/>
      <w:bookmarkStart w:id="844" w:name="_Toc27698"/>
      <w:bookmarkStart w:id="845" w:name="_Toc7572"/>
      <w:bookmarkStart w:id="846" w:name="_Toc490667869"/>
      <w:bookmarkStart w:id="847" w:name="_Toc18204"/>
      <w:bookmarkStart w:id="848" w:name="_Toc19167"/>
      <w:bookmarkStart w:id="849" w:name="_Toc466298132"/>
      <w:bookmarkStart w:id="850" w:name="_Toc21646"/>
      <w:bookmarkStart w:id="851" w:name="_Toc1743"/>
      <w:bookmarkStart w:id="852" w:name="_Toc20261"/>
      <w:bookmarkStart w:id="853" w:name="_Toc17040"/>
      <w:bookmarkStart w:id="854" w:name="_Toc18604"/>
      <w:bookmarkStart w:id="855" w:name="_Toc3020"/>
      <w:bookmarkStart w:id="856" w:name="_Toc318450715"/>
      <w:bookmarkStart w:id="857" w:name="_Toc16171"/>
      <w:bookmarkStart w:id="858" w:name="_Toc152042352"/>
      <w:bookmarkStart w:id="859" w:name="_Toc152045576"/>
      <w:r>
        <w:rPr>
          <w:rFonts w:hint="eastAsia" w:ascii="宋体" w:hAnsi="宋体" w:eastAsia="宋体" w:cs="宋体"/>
          <w:b/>
          <w:bCs/>
          <w:color w:val="auto"/>
          <w:sz w:val="24"/>
          <w:szCs w:val="24"/>
        </w:rPr>
        <w:t>9.2 对供应商的纪律要求</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64823DC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供应商不得相互串通或者与采购人串通，不得向采购人或者磋商小组行贿谋取成交，不得以他人名义或者以其他方式弄虚作假骗取成交；供应商不得以任何方式干扰、影响评审工作。</w:t>
      </w:r>
    </w:p>
    <w:p w14:paraId="41B5F2E5">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860" w:name="_Toc152045577"/>
      <w:bookmarkStart w:id="861" w:name="_Toc25241"/>
      <w:bookmarkStart w:id="862" w:name="_Toc30334"/>
      <w:bookmarkStart w:id="863" w:name="_Toc152042353"/>
      <w:bookmarkStart w:id="864" w:name="_Toc7439"/>
      <w:bookmarkStart w:id="865" w:name="_Toc318450716"/>
      <w:bookmarkStart w:id="866" w:name="_Toc28813"/>
      <w:bookmarkStart w:id="867" w:name="_Toc12177"/>
      <w:bookmarkStart w:id="868" w:name="_Toc7107"/>
      <w:bookmarkStart w:id="869" w:name="_Toc455867810"/>
      <w:bookmarkStart w:id="870" w:name="_Toc25211"/>
      <w:bookmarkStart w:id="871" w:name="_Toc490667870"/>
      <w:bookmarkStart w:id="872" w:name="_Toc144974545"/>
      <w:bookmarkStart w:id="873" w:name="_Toc17086"/>
      <w:bookmarkStart w:id="874" w:name="_Toc466298133"/>
      <w:bookmarkStart w:id="875" w:name="_Toc31001"/>
      <w:bookmarkStart w:id="876" w:name="_Toc455080150"/>
      <w:bookmarkStart w:id="877" w:name="_Toc19965"/>
      <w:bookmarkStart w:id="878" w:name="_Toc30153"/>
      <w:bookmarkStart w:id="879" w:name="_Toc32320"/>
      <w:r>
        <w:rPr>
          <w:rFonts w:hint="eastAsia" w:ascii="宋体" w:hAnsi="宋体" w:eastAsia="宋体" w:cs="宋体"/>
          <w:b/>
          <w:bCs/>
          <w:color w:val="auto"/>
          <w:sz w:val="24"/>
          <w:szCs w:val="24"/>
        </w:rPr>
        <w:t>9.3 对磋商小组成员的纪律要求</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3FD889B9">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77A8B022">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880" w:name="_Toc318450717"/>
      <w:bookmarkStart w:id="881" w:name="_Toc466298134"/>
      <w:bookmarkStart w:id="882" w:name="_Toc235"/>
      <w:bookmarkStart w:id="883" w:name="_Toc30691"/>
      <w:bookmarkStart w:id="884" w:name="_Toc23717"/>
      <w:bookmarkStart w:id="885" w:name="_Toc455080151"/>
      <w:bookmarkStart w:id="886" w:name="_Toc490667871"/>
      <w:bookmarkStart w:id="887" w:name="_Toc20546"/>
      <w:bookmarkStart w:id="888" w:name="_Toc7368"/>
      <w:bookmarkStart w:id="889" w:name="_Toc31979"/>
      <w:bookmarkStart w:id="890" w:name="_Toc152042354"/>
      <w:bookmarkStart w:id="891" w:name="_Toc27559"/>
      <w:bookmarkStart w:id="892" w:name="_Toc1295"/>
      <w:bookmarkStart w:id="893" w:name="_Toc24"/>
      <w:bookmarkStart w:id="894" w:name="_Toc152045578"/>
      <w:bookmarkStart w:id="895" w:name="_Toc455867811"/>
      <w:bookmarkStart w:id="896" w:name="_Toc9063"/>
      <w:bookmarkStart w:id="897" w:name="_Toc19485"/>
      <w:bookmarkStart w:id="898" w:name="_Toc26462"/>
      <w:bookmarkStart w:id="899" w:name="_Toc144974546"/>
      <w:r>
        <w:rPr>
          <w:rFonts w:hint="eastAsia" w:ascii="宋体" w:hAnsi="宋体" w:eastAsia="宋体" w:cs="宋体"/>
          <w:b/>
          <w:bCs/>
          <w:color w:val="auto"/>
          <w:sz w:val="24"/>
          <w:szCs w:val="24"/>
        </w:rPr>
        <w:t>9.4 对与评标活动有关的工作人员的纪律要求</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33BAA747">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900" w:name="_Toc152042355"/>
      <w:r>
        <w:rPr>
          <w:rFonts w:hint="eastAsia" w:ascii="宋体" w:hAnsi="宋体" w:eastAsia="宋体" w:cs="宋体"/>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900"/>
    </w:p>
    <w:p w14:paraId="042228F0">
      <w:pPr>
        <w:pStyle w:val="3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901" w:name="_Toc14727"/>
      <w:bookmarkStart w:id="902" w:name="_Toc455867812"/>
      <w:bookmarkStart w:id="903" w:name="_Toc152045579"/>
      <w:bookmarkStart w:id="904" w:name="_Toc455080152"/>
      <w:bookmarkStart w:id="905" w:name="_Toc318450718"/>
      <w:bookmarkStart w:id="906" w:name="_Toc31010"/>
      <w:bookmarkStart w:id="907" w:name="_Toc1820"/>
      <w:bookmarkStart w:id="908" w:name="_Toc17735"/>
      <w:bookmarkStart w:id="909" w:name="_Toc152042356"/>
      <w:bookmarkStart w:id="910" w:name="_Toc5504"/>
      <w:bookmarkStart w:id="911" w:name="_Toc8074"/>
      <w:bookmarkStart w:id="912" w:name="_Toc25751"/>
      <w:bookmarkStart w:id="913" w:name="_Toc3617"/>
      <w:bookmarkStart w:id="914" w:name="_Toc6199"/>
      <w:bookmarkStart w:id="915" w:name="_Toc3303"/>
      <w:bookmarkStart w:id="916" w:name="_Toc32675"/>
      <w:bookmarkStart w:id="917" w:name="_Toc490667872"/>
      <w:bookmarkStart w:id="918" w:name="_Toc466298135"/>
      <w:bookmarkStart w:id="919" w:name="_Toc18060"/>
      <w:r>
        <w:rPr>
          <w:rFonts w:hint="eastAsia" w:ascii="宋体" w:hAnsi="宋体" w:eastAsia="宋体" w:cs="宋体"/>
          <w:b/>
          <w:bCs/>
          <w:color w:val="auto"/>
          <w:sz w:val="24"/>
          <w:szCs w:val="24"/>
        </w:rPr>
        <w:t>9.5 投诉</w:t>
      </w:r>
      <w:bookmarkEnd w:id="899"/>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3C2386DF">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供应商和其他利害关系人认为本次磋商活动违反法律、法规和规章规定的，有权向有关行政监督部门投诉。</w:t>
      </w:r>
    </w:p>
    <w:p w14:paraId="240F8270">
      <w:pPr>
        <w:pStyle w:val="31"/>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920" w:name="_Toc455080153"/>
      <w:bookmarkStart w:id="921" w:name="_Toc14221"/>
      <w:bookmarkStart w:id="922" w:name="_Toc144974547"/>
      <w:bookmarkStart w:id="923" w:name="_Toc152042357"/>
      <w:bookmarkStart w:id="924" w:name="_Toc152045580"/>
    </w:p>
    <w:p w14:paraId="690D8361">
      <w:pPr>
        <w:pStyle w:val="31"/>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925" w:name="_Toc27064"/>
      <w:r>
        <w:rPr>
          <w:rFonts w:hint="eastAsia" w:ascii="宋体" w:hAnsi="宋体" w:eastAsia="宋体" w:cs="宋体"/>
          <w:b/>
          <w:bCs/>
          <w:color w:val="auto"/>
          <w:sz w:val="24"/>
          <w:szCs w:val="24"/>
        </w:rPr>
        <w:t>10. 需要补充的其他内容</w:t>
      </w:r>
      <w:bookmarkEnd w:id="920"/>
      <w:bookmarkEnd w:id="921"/>
      <w:bookmarkEnd w:id="922"/>
      <w:bookmarkEnd w:id="923"/>
      <w:bookmarkEnd w:id="924"/>
      <w:bookmarkEnd w:id="925"/>
    </w:p>
    <w:p w14:paraId="099A6BA3">
      <w:pPr>
        <w:outlineLvl w:val="0"/>
        <w:rPr>
          <w:rFonts w:hint="eastAsia" w:ascii="宋体" w:hAnsi="宋体" w:cs="宋体"/>
          <w:b/>
          <w:color w:val="auto"/>
          <w:kern w:val="44"/>
          <w:sz w:val="28"/>
          <w:szCs w:val="28"/>
        </w:rPr>
      </w:pPr>
      <w:bookmarkStart w:id="926" w:name="_Toc455867814"/>
      <w:bookmarkStart w:id="927" w:name="_Toc455080154"/>
      <w:bookmarkStart w:id="928" w:name="_Toc466298137"/>
      <w:bookmarkStart w:id="929" w:name="_Toc144974565"/>
      <w:bookmarkStart w:id="930" w:name="_Toc152045598"/>
      <w:bookmarkStart w:id="931" w:name="_Toc152042375"/>
    </w:p>
    <w:p w14:paraId="32D8C93D">
      <w:pPr>
        <w:jc w:val="both"/>
        <w:outlineLvl w:val="0"/>
        <w:rPr>
          <w:rFonts w:hint="eastAsia" w:ascii="宋体" w:hAnsi="宋体" w:cs="宋体"/>
          <w:b w:val="0"/>
          <w:bCs/>
          <w:color w:val="auto"/>
          <w:kern w:val="44"/>
          <w:sz w:val="24"/>
          <w:szCs w:val="24"/>
        </w:rPr>
      </w:pPr>
      <w:bookmarkStart w:id="932" w:name="_Toc28866"/>
      <w:bookmarkStart w:id="933" w:name="_Toc6192"/>
      <w:r>
        <w:rPr>
          <w:rFonts w:hint="eastAsia" w:ascii="宋体" w:hAnsi="宋体" w:cs="宋体"/>
          <w:b w:val="0"/>
          <w:bCs/>
          <w:color w:val="auto"/>
          <w:kern w:val="44"/>
          <w:sz w:val="24"/>
          <w:szCs w:val="24"/>
        </w:rPr>
        <w:t>需要补充的其他内容：见供应商须知前附表。</w:t>
      </w:r>
      <w:bookmarkEnd w:id="932"/>
      <w:r>
        <w:rPr>
          <w:rFonts w:hint="eastAsia" w:ascii="宋体" w:hAnsi="宋体" w:cs="宋体"/>
          <w:b w:val="0"/>
          <w:bCs/>
          <w:color w:val="auto"/>
          <w:kern w:val="44"/>
          <w:sz w:val="24"/>
          <w:szCs w:val="24"/>
        </w:rPr>
        <w:t xml:space="preserve"> </w:t>
      </w:r>
    </w:p>
    <w:p w14:paraId="73C0D141">
      <w:pPr>
        <w:pStyle w:val="2"/>
        <w:rPr>
          <w:rFonts w:hint="eastAsia" w:ascii="宋体" w:hAnsi="宋体" w:cs="宋体"/>
          <w:b/>
          <w:color w:val="auto"/>
          <w:kern w:val="44"/>
          <w:sz w:val="32"/>
          <w:szCs w:val="32"/>
        </w:rPr>
      </w:pPr>
    </w:p>
    <w:p w14:paraId="639341F2">
      <w:pPr>
        <w:pStyle w:val="4"/>
        <w:rPr>
          <w:rFonts w:hint="eastAsia" w:ascii="宋体" w:hAnsi="宋体" w:cs="宋体"/>
          <w:b/>
          <w:color w:val="auto"/>
          <w:kern w:val="44"/>
          <w:sz w:val="32"/>
          <w:szCs w:val="32"/>
        </w:rPr>
      </w:pPr>
    </w:p>
    <w:p w14:paraId="4F86F7E3">
      <w:pPr>
        <w:rPr>
          <w:rFonts w:hint="eastAsia"/>
        </w:rPr>
      </w:pPr>
    </w:p>
    <w:p w14:paraId="16134A7F">
      <w:pPr>
        <w:jc w:val="center"/>
        <w:outlineLvl w:val="0"/>
        <w:rPr>
          <w:rFonts w:hint="eastAsia" w:ascii="宋体" w:hAnsi="宋体" w:cs="宋体"/>
          <w:b/>
          <w:color w:val="auto"/>
          <w:kern w:val="44"/>
          <w:sz w:val="32"/>
          <w:szCs w:val="32"/>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p>
    <w:p w14:paraId="1ABA8B80">
      <w:pPr>
        <w:jc w:val="center"/>
        <w:outlineLvl w:val="0"/>
        <w:rPr>
          <w:rFonts w:hint="eastAsia" w:ascii="宋体" w:hAnsi="宋体" w:cs="宋体"/>
          <w:bCs/>
          <w:color w:val="auto"/>
          <w:sz w:val="32"/>
          <w:szCs w:val="32"/>
        </w:rPr>
      </w:pPr>
      <w:bookmarkStart w:id="934" w:name="_Toc30658"/>
      <w:r>
        <w:rPr>
          <w:rFonts w:hint="eastAsia" w:ascii="宋体" w:hAnsi="宋体" w:cs="宋体"/>
          <w:b/>
          <w:color w:val="auto"/>
          <w:kern w:val="44"/>
          <w:sz w:val="32"/>
          <w:szCs w:val="32"/>
        </w:rPr>
        <w:t>第三章  评审办法（综合评分法）</w:t>
      </w:r>
      <w:bookmarkEnd w:id="926"/>
      <w:bookmarkEnd w:id="927"/>
      <w:bookmarkEnd w:id="928"/>
      <w:bookmarkEnd w:id="933"/>
      <w:bookmarkEnd w:id="934"/>
    </w:p>
    <w:bookmarkEnd w:id="929"/>
    <w:bookmarkEnd w:id="930"/>
    <w:bookmarkEnd w:id="931"/>
    <w:p w14:paraId="003E8876">
      <w:pPr>
        <w:jc w:val="center"/>
        <w:outlineLvl w:val="1"/>
        <w:rPr>
          <w:rFonts w:hint="eastAsia" w:ascii="宋体" w:hAnsi="宋体"/>
          <w:color w:val="auto"/>
          <w:sz w:val="24"/>
        </w:rPr>
      </w:pPr>
      <w:bookmarkStart w:id="935" w:name="_Toc281405527"/>
      <w:bookmarkStart w:id="936" w:name="_Toc455867816"/>
      <w:bookmarkStart w:id="937" w:name="_Toc26044"/>
      <w:bookmarkStart w:id="938" w:name="_Toc27806"/>
      <w:bookmarkStart w:id="939" w:name="_Toc152042376"/>
      <w:bookmarkStart w:id="940" w:name="_Toc455080156"/>
      <w:bookmarkStart w:id="941" w:name="_Toc9630"/>
      <w:bookmarkStart w:id="942" w:name="_Toc144974566"/>
      <w:bookmarkStart w:id="943" w:name="_Toc152045599"/>
      <w:bookmarkStart w:id="944" w:name="_Toc318450721"/>
      <w:bookmarkStart w:id="945" w:name="_Toc466298139"/>
      <w:bookmarkStart w:id="946" w:name="_Toc28069"/>
      <w:r>
        <w:rPr>
          <w:rFonts w:hint="eastAsia" w:ascii="宋体" w:hAnsi="宋体"/>
          <w:color w:val="auto"/>
          <w:sz w:val="24"/>
        </w:rPr>
        <w:t>评审办法前附表</w:t>
      </w:r>
      <w:bookmarkEnd w:id="935"/>
      <w:bookmarkEnd w:id="936"/>
      <w:bookmarkEnd w:id="937"/>
      <w:bookmarkEnd w:id="938"/>
      <w:bookmarkEnd w:id="939"/>
      <w:bookmarkEnd w:id="940"/>
      <w:bookmarkEnd w:id="941"/>
      <w:bookmarkEnd w:id="942"/>
      <w:bookmarkEnd w:id="943"/>
      <w:bookmarkEnd w:id="944"/>
      <w:bookmarkEnd w:id="945"/>
      <w:bookmarkEnd w:id="946"/>
    </w:p>
    <w:tbl>
      <w:tblPr>
        <w:tblStyle w:val="23"/>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2137"/>
        <w:gridCol w:w="5959"/>
      </w:tblGrid>
      <w:tr w14:paraId="60BC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156B4590">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3D4706A">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78EADF1">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7D74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6C9615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14:paraId="2CA81D1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52DE727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0E89C1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3B8E6D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43B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1FB6C23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7C126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1A31C3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039F9FF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F537A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070E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19131B5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093639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FCA7BD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14:paraId="5BA8EC5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CC5193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589C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500E26D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3D759F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92D51B5">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BF579A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14:paraId="0DE0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2DA81CF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17072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E42E19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213762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248B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142DEF1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45A8DA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14:paraId="7694395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sz w:val="24"/>
                <w:szCs w:val="24"/>
                <w:lang w:eastAsia="zh-CN"/>
              </w:rPr>
              <w:t>响应</w:t>
            </w:r>
            <w:r>
              <w:rPr>
                <w:rFonts w:hint="eastAsia" w:ascii="宋体" w:hAnsi="宋体" w:eastAsia="宋体" w:cs="宋体"/>
                <w:b/>
                <w:sz w:val="24"/>
                <w:szCs w:val="24"/>
              </w:rPr>
              <w:t>文件中附原件扫描件，资料不全或不合格者视为未通过资格审查</w:t>
            </w:r>
          </w:p>
        </w:tc>
      </w:tr>
      <w:tr w14:paraId="131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69E9906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293938A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14:paraId="7B8806E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5C64C8E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12761B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3D98C7EC">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746E9B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051606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095F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146" w:type="dxa"/>
            <w:vMerge w:val="continue"/>
            <w:tcBorders>
              <w:left w:val="single" w:color="000000" w:sz="4" w:space="0"/>
              <w:right w:val="single" w:color="auto" w:sz="4" w:space="0"/>
            </w:tcBorders>
            <w:noWrap w:val="0"/>
            <w:vAlign w:val="center"/>
          </w:tcPr>
          <w:p w14:paraId="52E2B92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9AA57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4FF1E0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响应内容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490258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40C8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146" w:type="dxa"/>
            <w:vMerge w:val="continue"/>
            <w:tcBorders>
              <w:left w:val="single" w:color="000000" w:sz="4" w:space="0"/>
              <w:right w:val="single" w:color="auto" w:sz="4" w:space="0"/>
            </w:tcBorders>
            <w:noWrap w:val="0"/>
            <w:vAlign w:val="center"/>
          </w:tcPr>
          <w:p w14:paraId="6BF234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2A440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F787A8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文件签字盖章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70D212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14:paraId="31A4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146" w:type="dxa"/>
            <w:vMerge w:val="continue"/>
            <w:tcBorders>
              <w:left w:val="single" w:color="000000" w:sz="4" w:space="0"/>
              <w:right w:val="single" w:color="auto" w:sz="4" w:space="0"/>
            </w:tcBorders>
            <w:noWrap w:val="0"/>
            <w:vAlign w:val="center"/>
          </w:tcPr>
          <w:p w14:paraId="41C2CF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FD5C7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1B263F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质量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7F5A23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1.4.2</w:t>
            </w:r>
            <w:r>
              <w:rPr>
                <w:rFonts w:hint="eastAsia" w:ascii="宋体" w:hAnsi="宋体" w:eastAsia="宋体" w:cs="宋体"/>
                <w:color w:val="000000"/>
                <w:sz w:val="24"/>
                <w:szCs w:val="24"/>
              </w:rPr>
              <w:t>项规定</w:t>
            </w:r>
          </w:p>
        </w:tc>
      </w:tr>
      <w:tr w14:paraId="1C80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right w:val="single" w:color="auto" w:sz="4" w:space="0"/>
            </w:tcBorders>
            <w:noWrap w:val="0"/>
            <w:vAlign w:val="center"/>
          </w:tcPr>
          <w:p w14:paraId="5DB659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6C5F3C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35A943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服务期限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45E08E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1.4.3</w:t>
            </w:r>
            <w:r>
              <w:rPr>
                <w:rFonts w:hint="eastAsia" w:ascii="宋体" w:hAnsi="宋体" w:eastAsia="宋体" w:cs="宋体"/>
                <w:color w:val="000000"/>
                <w:sz w:val="24"/>
                <w:szCs w:val="24"/>
              </w:rPr>
              <w:t>项规定</w:t>
            </w:r>
          </w:p>
        </w:tc>
      </w:tr>
      <w:tr w14:paraId="4DB9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146" w:type="dxa"/>
            <w:vMerge w:val="continue"/>
            <w:tcBorders>
              <w:left w:val="single" w:color="000000" w:sz="4" w:space="0"/>
              <w:right w:val="single" w:color="auto" w:sz="4" w:space="0"/>
            </w:tcBorders>
            <w:noWrap w:val="0"/>
            <w:vAlign w:val="center"/>
          </w:tcPr>
          <w:p w14:paraId="6B60E1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2EE3B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CE49EB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FA61EB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1.4.5</w:t>
            </w:r>
            <w:r>
              <w:rPr>
                <w:rFonts w:hint="eastAsia" w:ascii="宋体" w:hAnsi="宋体" w:eastAsia="宋体" w:cs="宋体"/>
                <w:color w:val="000000"/>
                <w:sz w:val="24"/>
                <w:szCs w:val="24"/>
              </w:rPr>
              <w:t>项规定</w:t>
            </w:r>
          </w:p>
        </w:tc>
      </w:tr>
      <w:tr w14:paraId="56B2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36C9B3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133EDC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BE83C9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有效期</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5FB436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3.3.1</w:t>
            </w:r>
            <w:r>
              <w:rPr>
                <w:rFonts w:hint="eastAsia" w:ascii="宋体" w:hAnsi="宋体" w:eastAsia="宋体" w:cs="宋体"/>
                <w:color w:val="000000"/>
                <w:sz w:val="24"/>
                <w:szCs w:val="24"/>
              </w:rPr>
              <w:t>项规定</w:t>
            </w:r>
          </w:p>
        </w:tc>
      </w:tr>
      <w:tr w14:paraId="39EA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6CFB91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55E83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D51BA5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报价唯一</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589FA0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只有一个有效报价</w:t>
            </w:r>
          </w:p>
        </w:tc>
      </w:tr>
      <w:tr w14:paraId="7C1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56AA20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2BD634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9F3D07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A7C1BA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1946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7514ED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016B2C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EA2DD8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3DF7DE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14:paraId="2A3D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3E7C93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05A4E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8AE9F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470C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08CD8EB1">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39924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086CE6C5">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F8EE77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20  </w:t>
            </w:r>
            <w:r>
              <w:rPr>
                <w:rFonts w:hint="eastAsia" w:ascii="宋体" w:hAnsi="宋体" w:eastAsia="宋体" w:cs="宋体"/>
                <w:color w:val="000000"/>
                <w:sz w:val="24"/>
                <w:szCs w:val="24"/>
              </w:rPr>
              <w:t>分</w:t>
            </w:r>
          </w:p>
          <w:p w14:paraId="0564775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30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5BCD6D7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13A8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14:paraId="4497603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auto" w:sz="4" w:space="0"/>
              <w:bottom w:val="single" w:color="000000" w:sz="4" w:space="0"/>
              <w:right w:val="single" w:color="auto" w:sz="4" w:space="0"/>
            </w:tcBorders>
            <w:noWrap w:val="0"/>
            <w:vAlign w:val="center"/>
          </w:tcPr>
          <w:p w14:paraId="70A3549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59" w:type="dxa"/>
            <w:tcBorders>
              <w:top w:val="single" w:color="000000" w:sz="4" w:space="0"/>
              <w:left w:val="single" w:color="auto" w:sz="4" w:space="0"/>
              <w:bottom w:val="single" w:color="000000" w:sz="4" w:space="0"/>
              <w:right w:val="single" w:color="000000" w:sz="4" w:space="0"/>
            </w:tcBorders>
            <w:noWrap w:val="0"/>
            <w:vAlign w:val="center"/>
          </w:tcPr>
          <w:p w14:paraId="2494350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17D6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9" w:hRule="atLeast"/>
          <w:jc w:val="center"/>
        </w:trPr>
        <w:tc>
          <w:tcPr>
            <w:tcW w:w="1146" w:type="dxa"/>
            <w:tcBorders>
              <w:top w:val="single" w:color="000000" w:sz="4" w:space="0"/>
              <w:left w:val="single" w:color="000000" w:sz="4" w:space="0"/>
              <w:right w:val="single" w:color="000000" w:sz="4" w:space="0"/>
            </w:tcBorders>
            <w:noWrap w:val="0"/>
            <w:vAlign w:val="center"/>
          </w:tcPr>
          <w:p w14:paraId="3235968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4370A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4CBF9B8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14:paraId="5EC9D59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4095530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5C21213D">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792EC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磋商报价</w:t>
            </w:r>
          </w:p>
          <w:p w14:paraId="4782F5E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1A13EAD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价格分统一采用低价优先法计算，即满足磋商文件要求且最后报价最低的供应商的价格为磋商基准价，其价格分为满分。其他供应商的价格分统一按照下列公式计算：</w:t>
            </w:r>
          </w:p>
          <w:p w14:paraId="1E73BCD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磋商报价得分=（磋商基准价/最后磋商报价）×20</w:t>
            </w:r>
          </w:p>
          <w:p w14:paraId="10E06F1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项目评审过程中，不得去掉最后报价中的最高报价和最低报价。</w:t>
            </w:r>
          </w:p>
          <w:p w14:paraId="2C98D04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价格分计算保留小数点后二位；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超过磋商最高限价的磋商报价采购人不予接受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按无效响应处理。</w:t>
            </w:r>
          </w:p>
          <w:p w14:paraId="48CCAF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应当将其作为无效投标处理。</w:t>
            </w:r>
          </w:p>
        </w:tc>
      </w:tr>
      <w:tr w14:paraId="084E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4CCDD0A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6BB1F1B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vMerge w:val="restart"/>
            <w:tcBorders>
              <w:top w:val="single" w:color="000000" w:sz="4" w:space="0"/>
              <w:left w:val="single" w:color="000000" w:sz="4" w:space="0"/>
              <w:right w:val="single" w:color="auto" w:sz="4" w:space="0"/>
            </w:tcBorders>
            <w:noWrap w:val="0"/>
            <w:vAlign w:val="center"/>
          </w:tcPr>
          <w:p w14:paraId="0C66B9B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2C853BC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0E991E50">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0FA0D30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14:paraId="3439107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14:paraId="77216B5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04B5B6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根据供应商对“第五章 采购需求”中服务内容的响应，完全满足的得10分；每有一项负偏差的扣2分；扣完为止。</w:t>
            </w:r>
          </w:p>
        </w:tc>
      </w:tr>
      <w:tr w14:paraId="519F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1BB8680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695037FA">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30A43A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ascii="宋体" w:hAnsi="宋体" w:eastAsia="宋体" w:cs="宋体"/>
                <w:sz w:val="24"/>
                <w:szCs w:val="24"/>
              </w:rPr>
              <w:t>对</w:t>
            </w:r>
            <w:r>
              <w:rPr>
                <w:rFonts w:hint="eastAsia" w:ascii="宋体" w:hAnsi="宋体" w:eastAsia="宋体" w:cs="宋体"/>
                <w:sz w:val="24"/>
                <w:szCs w:val="24"/>
                <w:lang w:eastAsia="zh-CN"/>
              </w:rPr>
              <w:t>本项目的理解和总体设计思路</w:t>
            </w:r>
          </w:p>
          <w:p w14:paraId="026BD64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HAnsi" w:hAnsiTheme="minorHAnsi" w:eastAsiaTheme="minorEastAsia" w:cstheme="minorBidi"/>
                <w:kern w:val="2"/>
                <w:sz w:val="21"/>
                <w:szCs w:val="22"/>
                <w:lang w:val="en-US" w:eastAsia="zh-CN" w:bidi="ar-SA"/>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79D96410">
            <w:pPr>
              <w:keepNext w:val="0"/>
              <w:keepLines w:val="0"/>
              <w:pageBreakBefore w:val="0"/>
              <w:widowControl w:val="0"/>
              <w:numPr>
                <w:ilvl w:val="0"/>
                <w:numId w:val="1"/>
              </w:numPr>
              <w:kinsoku/>
              <w:wordWrap/>
              <w:overflowPunct/>
              <w:topLinePunct w:val="0"/>
              <w:bidi w:val="0"/>
              <w:adjustRightInd/>
              <w:snapToGrid/>
              <w:spacing w:line="5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磋商小组根据供应商针对本项目的理解和总体设计思路的解读</w:t>
            </w:r>
            <w:r>
              <w:rPr>
                <w:rFonts w:hint="eastAsia" w:ascii="宋体" w:hAnsi="宋体" w:eastAsia="宋体" w:cs="宋体"/>
                <w:color w:val="000000"/>
                <w:kern w:val="2"/>
                <w:sz w:val="24"/>
                <w:szCs w:val="24"/>
                <w:highlight w:val="none"/>
                <w:lang w:val="en-US" w:eastAsia="zh-CN" w:bidi="ar-SA"/>
              </w:rPr>
              <w:t>进行综合打分：</w:t>
            </w:r>
          </w:p>
          <w:p w14:paraId="205FA4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eastAsia="宋体" w:cs="宋体"/>
                <w:b w:val="0"/>
                <w:bCs w:val="0"/>
                <w:color w:val="auto"/>
                <w:sz w:val="24"/>
                <w:highlight w:val="none"/>
              </w:rPr>
              <w:t>①</w:t>
            </w:r>
            <w:r>
              <w:rPr>
                <w:rFonts w:ascii="宋体" w:hAnsi="宋体" w:eastAsia="宋体" w:cs="宋体"/>
                <w:sz w:val="24"/>
                <w:szCs w:val="24"/>
              </w:rPr>
              <w:t>解读全面、描述清晰完整、匹配本项目采购</w:t>
            </w:r>
            <w:r>
              <w:rPr>
                <w:rFonts w:hint="eastAsia" w:ascii="宋体" w:hAnsi="宋体" w:eastAsia="宋体" w:cs="宋体"/>
                <w:sz w:val="24"/>
                <w:szCs w:val="24"/>
                <w:lang w:eastAsia="zh-CN"/>
              </w:rPr>
              <w:t>需求</w:t>
            </w:r>
            <w:r>
              <w:rPr>
                <w:rFonts w:ascii="宋体" w:hAnsi="宋体" w:eastAsia="宋体" w:cs="宋体"/>
                <w:sz w:val="24"/>
                <w:szCs w:val="24"/>
              </w:rPr>
              <w:t>，能最大限度满足保障项目实施的，得</w:t>
            </w:r>
            <w:r>
              <w:rPr>
                <w:rFonts w:hint="eastAsia" w:ascii="宋体" w:hAnsi="宋体" w:eastAsia="宋体" w:cs="宋体"/>
                <w:sz w:val="24"/>
                <w:szCs w:val="24"/>
                <w:lang w:val="en-US" w:eastAsia="zh-CN"/>
              </w:rPr>
              <w:t>5</w:t>
            </w:r>
            <w:r>
              <w:rPr>
                <w:rFonts w:ascii="宋体" w:hAnsi="宋体" w:eastAsia="宋体" w:cs="宋体"/>
                <w:sz w:val="24"/>
                <w:szCs w:val="24"/>
              </w:rPr>
              <w:t xml:space="preserve">分； </w:t>
            </w:r>
          </w:p>
          <w:p w14:paraId="4D1D85D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eastAsia="宋体" w:cs="宋体"/>
                <w:b w:val="0"/>
                <w:bCs w:val="0"/>
                <w:color w:val="auto"/>
                <w:sz w:val="24"/>
                <w:highlight w:val="none"/>
              </w:rPr>
              <w:t>②</w:t>
            </w:r>
            <w:r>
              <w:rPr>
                <w:rFonts w:ascii="宋体" w:hAnsi="宋体" w:eastAsia="宋体" w:cs="宋体"/>
                <w:sz w:val="24"/>
                <w:szCs w:val="24"/>
              </w:rPr>
              <w:t>解读基本全面、描述相对完整、匹配本项目采购</w:t>
            </w:r>
            <w:r>
              <w:rPr>
                <w:rFonts w:hint="eastAsia" w:ascii="宋体" w:hAnsi="宋体" w:eastAsia="宋体" w:cs="宋体"/>
                <w:sz w:val="24"/>
                <w:szCs w:val="24"/>
                <w:lang w:eastAsia="zh-CN"/>
              </w:rPr>
              <w:t>需</w:t>
            </w:r>
            <w:r>
              <w:rPr>
                <w:rFonts w:ascii="宋体" w:hAnsi="宋体" w:eastAsia="宋体" w:cs="宋体"/>
                <w:sz w:val="24"/>
                <w:szCs w:val="24"/>
              </w:rPr>
              <w:t>求，基本保障项目实施，得</w:t>
            </w:r>
            <w:r>
              <w:rPr>
                <w:rFonts w:hint="eastAsia" w:ascii="宋体" w:hAnsi="宋体" w:eastAsia="宋体" w:cs="宋体"/>
                <w:sz w:val="24"/>
                <w:szCs w:val="24"/>
                <w:lang w:val="en-US" w:eastAsia="zh-CN"/>
              </w:rPr>
              <w:t>2</w:t>
            </w:r>
            <w:r>
              <w:rPr>
                <w:rFonts w:ascii="宋体" w:hAnsi="宋体" w:eastAsia="宋体" w:cs="宋体"/>
                <w:sz w:val="24"/>
                <w:szCs w:val="24"/>
              </w:rPr>
              <w:t xml:space="preserve">分； </w:t>
            </w:r>
          </w:p>
          <w:p w14:paraId="0C8DF5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eastAsia="宋体" w:cs="宋体"/>
                <w:sz w:val="24"/>
                <w:szCs w:val="24"/>
              </w:rPr>
            </w:pPr>
            <w:r>
              <w:rPr>
                <w:rFonts w:hint="eastAsia" w:ascii="宋体" w:hAnsi="宋体" w:eastAsia="宋体" w:cs="宋体"/>
                <w:b w:val="0"/>
                <w:bCs w:val="0"/>
                <w:color w:val="auto"/>
                <w:sz w:val="24"/>
                <w:highlight w:val="none"/>
              </w:rPr>
              <w:t>③</w:t>
            </w:r>
            <w:r>
              <w:rPr>
                <w:rFonts w:ascii="宋体" w:hAnsi="宋体" w:eastAsia="宋体" w:cs="宋体"/>
                <w:sz w:val="24"/>
                <w:szCs w:val="24"/>
              </w:rPr>
              <w:t>解读不全面、描述不完整，得</w:t>
            </w:r>
            <w:r>
              <w:rPr>
                <w:rFonts w:hint="eastAsia" w:ascii="宋体" w:hAnsi="宋体" w:eastAsia="宋体" w:cs="宋体"/>
                <w:sz w:val="24"/>
                <w:szCs w:val="24"/>
                <w:lang w:val="en-US" w:eastAsia="zh-CN"/>
              </w:rPr>
              <w:t>1</w:t>
            </w:r>
            <w:r>
              <w:rPr>
                <w:rFonts w:ascii="宋体" w:hAnsi="宋体" w:eastAsia="宋体" w:cs="宋体"/>
                <w:sz w:val="24"/>
                <w:szCs w:val="24"/>
              </w:rPr>
              <w:t>分；</w:t>
            </w:r>
          </w:p>
          <w:p w14:paraId="7A5DC3C3">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4E2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2E447F7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48D7264B">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56635C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项目规划方案</w:t>
            </w:r>
          </w:p>
          <w:p w14:paraId="7A2AF9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60055060">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（2）磋商小组根据供应商针对本项目的规划方案进行评审：</w:t>
            </w:r>
          </w:p>
          <w:p w14:paraId="59E7703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详细、具体、可行，具有可操作性，得5分； </w:t>
            </w:r>
          </w:p>
          <w:p w14:paraId="4B29F13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基本合理但不全面，具有一定可操作性，得2分； </w:t>
            </w:r>
          </w:p>
          <w:p w14:paraId="78A2538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不够全面，操作性不强，得1 分； </w:t>
            </w:r>
          </w:p>
          <w:p w14:paraId="368D6BCA">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2333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62EAB19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0B61EEC3">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39A899E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保障措施</w:t>
            </w:r>
          </w:p>
          <w:p w14:paraId="11C569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Times New Roman"/>
                <w:kern w:val="0"/>
                <w:sz w:val="24"/>
                <w:szCs w:val="22"/>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4D4A1DE4">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（3）磋商小组根据供应商针对本项目的保障措施（包含质量保障措施、进度保障措施、后续服务保障措施等）进行评审：</w:t>
            </w:r>
          </w:p>
          <w:p w14:paraId="706851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保障措施</w:t>
            </w:r>
            <w:r>
              <w:rPr>
                <w:rFonts w:hint="eastAsia" w:ascii="宋体" w:hAnsi="宋体" w:eastAsia="宋体" w:cs="宋体"/>
                <w:sz w:val="24"/>
                <w:szCs w:val="24"/>
                <w:lang w:val="en-US" w:eastAsia="zh-CN"/>
              </w:rPr>
              <w:t xml:space="preserve">详细、具体、可行，具有可操作性，得5分； </w:t>
            </w:r>
          </w:p>
          <w:p w14:paraId="6335335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保障措施</w:t>
            </w:r>
            <w:r>
              <w:rPr>
                <w:rFonts w:hint="eastAsia" w:ascii="宋体" w:hAnsi="宋体" w:eastAsia="宋体" w:cs="宋体"/>
                <w:sz w:val="24"/>
                <w:szCs w:val="24"/>
                <w:lang w:val="en-US" w:eastAsia="zh-CN"/>
              </w:rPr>
              <w:t xml:space="preserve">基本合理但不全面，具有一定可操作性，得2分； </w:t>
            </w:r>
          </w:p>
          <w:p w14:paraId="0284EF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保障措施</w:t>
            </w:r>
            <w:r>
              <w:rPr>
                <w:rFonts w:hint="eastAsia" w:ascii="宋体" w:hAnsi="宋体" w:eastAsia="宋体" w:cs="宋体"/>
                <w:sz w:val="24"/>
                <w:szCs w:val="24"/>
                <w:lang w:val="en-US" w:eastAsia="zh-CN"/>
              </w:rPr>
              <w:t xml:space="preserve">不够全面，操作性不强，得1 分； </w:t>
            </w:r>
          </w:p>
          <w:p w14:paraId="017D7A37">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5CE8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70DF0E0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p>
        </w:tc>
        <w:tc>
          <w:tcPr>
            <w:tcW w:w="1305" w:type="dxa"/>
            <w:vMerge w:val="continue"/>
            <w:tcBorders>
              <w:left w:val="single" w:color="000000" w:sz="4" w:space="0"/>
              <w:right w:val="single" w:color="auto" w:sz="4" w:space="0"/>
            </w:tcBorders>
            <w:noWrap w:val="0"/>
            <w:vAlign w:val="center"/>
          </w:tcPr>
          <w:p w14:paraId="63D60D04">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p>
        </w:tc>
        <w:tc>
          <w:tcPr>
            <w:tcW w:w="213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14:paraId="45B3AF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iCs/>
                <w:color w:val="000000"/>
                <w:sz w:val="24"/>
                <w:szCs w:val="24"/>
                <w:highlight w:val="none"/>
                <w:lang w:eastAsia="zh-CN"/>
              </w:rPr>
            </w:pPr>
            <w:r>
              <w:rPr>
                <w:rFonts w:hint="eastAsia" w:ascii="宋体" w:hAnsi="宋体" w:cs="宋体"/>
                <w:sz w:val="24"/>
                <w:highlight w:val="none"/>
              </w:rPr>
              <w:t>项目实施难点、关键过程分析及</w:t>
            </w:r>
            <w:r>
              <w:rPr>
                <w:rFonts w:hint="eastAsia" w:ascii="宋体" w:hAnsi="宋体"/>
                <w:iCs/>
                <w:color w:val="000000"/>
                <w:sz w:val="24"/>
                <w:szCs w:val="24"/>
                <w:highlight w:val="none"/>
                <w:lang w:eastAsia="zh-CN"/>
              </w:rPr>
              <w:t>合理化建议</w:t>
            </w:r>
          </w:p>
          <w:p w14:paraId="54298E68">
            <w:pPr>
              <w:keepNext w:val="0"/>
              <w:keepLines w:val="0"/>
              <w:pageBreakBefore w:val="0"/>
              <w:widowControl w:val="0"/>
              <w:kinsoku/>
              <w:wordWrap/>
              <w:overflowPunct/>
              <w:topLinePunct w:val="0"/>
              <w:autoSpaceDE/>
              <w:autoSpaceDN/>
              <w:bidi w:val="0"/>
              <w:adjustRightInd/>
              <w:snapToGrid/>
              <w:spacing w:line="500" w:lineRule="exact"/>
              <w:ind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595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300FB28B">
            <w:pPr>
              <w:spacing w:line="500" w:lineRule="exact"/>
              <w:ind w:firstLine="0" w:firstLineChars="0"/>
              <w:rPr>
                <w:rFonts w:ascii="宋体" w:hAnsi="宋体" w:eastAsia="宋体" w:cs="宋体"/>
                <w:sz w:val="24"/>
                <w:szCs w:val="24"/>
              </w:rPr>
            </w:pPr>
            <w:r>
              <w:rPr>
                <w:rFonts w:hint="eastAsia" w:ascii="宋体" w:hAnsi="宋体" w:cs="宋体"/>
                <w:color w:val="auto"/>
                <w:kern w:val="2"/>
                <w:sz w:val="24"/>
                <w:szCs w:val="24"/>
                <w:highlight w:val="none"/>
                <w:lang w:val="en-US" w:eastAsia="zh-CN" w:bidi="ar-SA"/>
              </w:rPr>
              <w:t>（4）磋商小组根据供应商针对本项目的</w:t>
            </w:r>
            <w:r>
              <w:rPr>
                <w:rFonts w:hint="eastAsia" w:ascii="宋体" w:hAnsi="宋体" w:cs="宋体"/>
                <w:sz w:val="24"/>
                <w:highlight w:val="none"/>
                <w:lang w:eastAsia="zh-CN"/>
              </w:rPr>
              <w:t>对</w:t>
            </w:r>
            <w:r>
              <w:rPr>
                <w:rFonts w:hint="eastAsia" w:ascii="宋体" w:hAnsi="宋体" w:cs="宋体"/>
                <w:sz w:val="24"/>
                <w:highlight w:val="none"/>
              </w:rPr>
              <w:t>项目实施难点、关键过程分析及</w:t>
            </w:r>
            <w:r>
              <w:rPr>
                <w:rFonts w:hint="eastAsia" w:ascii="宋体" w:hAnsi="宋体"/>
                <w:iCs/>
                <w:color w:val="000000"/>
                <w:sz w:val="24"/>
                <w:szCs w:val="24"/>
                <w:highlight w:val="none"/>
                <w:lang w:eastAsia="zh-CN"/>
              </w:rPr>
              <w:t>合理化建议</w:t>
            </w:r>
            <w:r>
              <w:rPr>
                <w:rFonts w:hint="eastAsia" w:ascii="宋体" w:hAnsi="宋体" w:eastAsia="宋体" w:cs="宋体"/>
                <w:sz w:val="24"/>
                <w:szCs w:val="24"/>
              </w:rPr>
              <w:t>进行评审：</w:t>
            </w:r>
          </w:p>
          <w:p w14:paraId="08C2AFA6">
            <w:pPr>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rPr>
              <w:t>①</w:t>
            </w:r>
            <w:r>
              <w:rPr>
                <w:rFonts w:hint="eastAsia" w:ascii="宋体" w:hAnsi="宋体" w:eastAsia="宋体" w:cs="宋体"/>
                <w:sz w:val="24"/>
                <w:lang w:eastAsia="zh-CN"/>
              </w:rPr>
              <w:t>方案分析</w:t>
            </w:r>
            <w:r>
              <w:rPr>
                <w:rFonts w:hint="eastAsia" w:ascii="宋体" w:hAnsi="宋体" w:eastAsia="宋体" w:cs="宋体"/>
                <w:sz w:val="24"/>
                <w:highlight w:val="none"/>
                <w:lang w:eastAsia="zh-CN"/>
              </w:rPr>
              <w:t>清晰</w:t>
            </w:r>
            <w:r>
              <w:rPr>
                <w:rFonts w:hint="eastAsia" w:ascii="宋体" w:hAnsi="宋体" w:cs="宋体"/>
                <w:sz w:val="24"/>
                <w:highlight w:val="none"/>
                <w:lang w:eastAsia="zh-CN"/>
              </w:rPr>
              <w:t>合理、详尽，</w:t>
            </w:r>
            <w:r>
              <w:rPr>
                <w:rFonts w:hint="eastAsia" w:ascii="宋体" w:hAnsi="宋体"/>
                <w:iCs/>
                <w:color w:val="000000"/>
                <w:sz w:val="24"/>
                <w:szCs w:val="24"/>
                <w:highlight w:val="none"/>
                <w:lang w:eastAsia="zh-CN"/>
              </w:rPr>
              <w:t>合理化建议</w:t>
            </w:r>
            <w:r>
              <w:rPr>
                <w:rFonts w:hint="eastAsia" w:ascii="宋体" w:hAnsi="宋体" w:cs="宋体"/>
                <w:sz w:val="24"/>
                <w:highlight w:val="none"/>
              </w:rPr>
              <w:t>可行且具体的得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p>
          <w:p w14:paraId="3789EBE9">
            <w:pPr>
              <w:spacing w:line="500" w:lineRule="exact"/>
              <w:ind w:firstLine="0" w:firstLineChars="0"/>
              <w:rPr>
                <w:rFonts w:hint="eastAsia" w:ascii="宋体" w:hAnsi="宋体" w:cs="宋体"/>
                <w:sz w:val="24"/>
                <w:highlight w:val="none"/>
                <w:lang w:eastAsia="zh-CN"/>
              </w:rPr>
            </w:pPr>
            <w:r>
              <w:rPr>
                <w:rFonts w:hint="eastAsia" w:ascii="宋体" w:hAnsi="宋体" w:eastAsia="宋体" w:cs="宋体"/>
                <w:sz w:val="24"/>
              </w:rPr>
              <w:t>②</w:t>
            </w:r>
            <w:r>
              <w:rPr>
                <w:rFonts w:hint="eastAsia" w:ascii="宋体" w:hAnsi="宋体" w:eastAsia="宋体" w:cs="宋体"/>
                <w:sz w:val="24"/>
                <w:lang w:eastAsia="zh-CN"/>
              </w:rPr>
              <w:t>方案分析较</w:t>
            </w:r>
            <w:r>
              <w:rPr>
                <w:rFonts w:hint="eastAsia" w:ascii="宋体" w:hAnsi="宋体" w:eastAsia="宋体" w:cs="宋体"/>
                <w:sz w:val="24"/>
                <w:highlight w:val="none"/>
                <w:lang w:eastAsia="zh-CN"/>
              </w:rPr>
              <w:t>清晰</w:t>
            </w:r>
            <w:r>
              <w:rPr>
                <w:rFonts w:hint="eastAsia" w:ascii="宋体" w:hAnsi="宋体" w:cs="宋体"/>
                <w:sz w:val="24"/>
                <w:highlight w:val="none"/>
                <w:lang w:eastAsia="zh-CN"/>
              </w:rPr>
              <w:t>合理、详尽，</w:t>
            </w:r>
            <w:r>
              <w:rPr>
                <w:rFonts w:hint="eastAsia" w:ascii="宋体" w:hAnsi="宋体"/>
                <w:iCs/>
                <w:color w:val="000000"/>
                <w:sz w:val="24"/>
                <w:szCs w:val="24"/>
                <w:highlight w:val="none"/>
                <w:lang w:eastAsia="zh-CN"/>
              </w:rPr>
              <w:t>合理化建议较</w:t>
            </w:r>
            <w:r>
              <w:rPr>
                <w:rFonts w:hint="eastAsia" w:ascii="宋体" w:hAnsi="宋体" w:cs="宋体"/>
                <w:sz w:val="24"/>
                <w:highlight w:val="none"/>
              </w:rPr>
              <w:t>可行且具体的得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eastAsia="zh-CN"/>
              </w:rPr>
              <w:t>；</w:t>
            </w:r>
          </w:p>
          <w:p w14:paraId="7AE2EC66">
            <w:pPr>
              <w:spacing w:line="500" w:lineRule="exact"/>
              <w:ind w:firstLine="0" w:firstLineChars="0"/>
              <w:rPr>
                <w:rFonts w:hint="eastAsia" w:ascii="宋体" w:hAnsi="宋体" w:eastAsia="宋体" w:cs="宋体"/>
                <w:sz w:val="24"/>
                <w:highlight w:val="none"/>
                <w:lang w:eastAsia="zh-CN"/>
              </w:rPr>
            </w:pPr>
            <w:r>
              <w:rPr>
                <w:rFonts w:hint="eastAsia" w:ascii="宋体" w:hAnsi="宋体" w:eastAsia="宋体" w:cs="宋体"/>
                <w:sz w:val="24"/>
              </w:rPr>
              <w:t>③</w:t>
            </w:r>
            <w:r>
              <w:rPr>
                <w:rFonts w:hint="eastAsia" w:ascii="宋体" w:hAnsi="宋体" w:eastAsia="宋体" w:cs="宋体"/>
                <w:sz w:val="24"/>
                <w:lang w:eastAsia="zh-CN"/>
              </w:rPr>
              <w:t>方案分析一般</w:t>
            </w:r>
            <w:r>
              <w:rPr>
                <w:rFonts w:hint="eastAsia" w:ascii="宋体" w:hAnsi="宋体" w:eastAsia="宋体" w:cs="宋体"/>
                <w:sz w:val="24"/>
                <w:highlight w:val="none"/>
                <w:lang w:eastAsia="zh-CN"/>
              </w:rPr>
              <w:t>清晰</w:t>
            </w:r>
            <w:r>
              <w:rPr>
                <w:rFonts w:hint="eastAsia" w:ascii="宋体" w:hAnsi="宋体" w:cs="宋体"/>
                <w:sz w:val="24"/>
                <w:highlight w:val="none"/>
                <w:lang w:eastAsia="zh-CN"/>
              </w:rPr>
              <w:t>合理、详尽，</w:t>
            </w:r>
            <w:r>
              <w:rPr>
                <w:rFonts w:hint="eastAsia" w:ascii="宋体" w:hAnsi="宋体"/>
                <w:iCs/>
                <w:color w:val="000000"/>
                <w:sz w:val="24"/>
                <w:szCs w:val="24"/>
                <w:highlight w:val="none"/>
                <w:lang w:eastAsia="zh-CN"/>
              </w:rPr>
              <w:t>合理化建议一般</w:t>
            </w:r>
            <w:r>
              <w:rPr>
                <w:rFonts w:hint="eastAsia" w:ascii="宋体" w:hAnsi="宋体" w:cs="宋体"/>
                <w:sz w:val="24"/>
                <w:highlight w:val="none"/>
              </w:rPr>
              <w:t>可行且具体的得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p>
          <w:p w14:paraId="00B5CC0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sz w:val="24"/>
              </w:rPr>
              <w:t>④</w:t>
            </w:r>
            <w:r>
              <w:rPr>
                <w:rFonts w:hint="eastAsia" w:ascii="宋体" w:hAnsi="宋体" w:eastAsia="宋体" w:cs="宋体"/>
                <w:sz w:val="24"/>
                <w:szCs w:val="24"/>
              </w:rPr>
              <w:t>未提供方案，得0分。</w:t>
            </w:r>
          </w:p>
        </w:tc>
      </w:tr>
      <w:tr w14:paraId="79EF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5B0D9B2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7B06384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243490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5" w:type="dxa"/>
            <w:vMerge w:val="restart"/>
            <w:tcBorders>
              <w:top w:val="single" w:color="000000" w:sz="4" w:space="0"/>
              <w:left w:val="single" w:color="000000" w:sz="4" w:space="0"/>
              <w:right w:val="single" w:color="auto" w:sz="4" w:space="0"/>
            </w:tcBorders>
            <w:noWrap w:val="0"/>
            <w:vAlign w:val="center"/>
          </w:tcPr>
          <w:p w14:paraId="3752C9B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5103E94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0FE3F3C1">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DD116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p w14:paraId="0AE965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449514">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自2021年1月1日以来，供应商每提供一份类似业绩的得3分,最多得15分；</w:t>
            </w:r>
          </w:p>
          <w:p w14:paraId="50800F61">
            <w:pPr>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r w14:paraId="149F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1CF98CC1">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D0AC827">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2F83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项目负责人业绩</w:t>
            </w:r>
          </w:p>
          <w:p w14:paraId="2254A97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（16分）</w:t>
            </w:r>
          </w:p>
          <w:p w14:paraId="30600CA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注：项目负责人业绩和企业业绩不能为同一个业绩</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A2D300">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自2021年1月1日以来，供应商拟派项目负责人每提供一份类似业绩的得4分,最多得16分；</w:t>
            </w:r>
          </w:p>
          <w:p w14:paraId="3A29C27A">
            <w:pPr>
              <w:spacing w:line="500" w:lineRule="exact"/>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r w14:paraId="425E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38434AA0">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2981FC17">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39C023">
            <w:pPr>
              <w:spacing w:line="500" w:lineRule="exact"/>
              <w:jc w:val="both"/>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认证证书</w:t>
            </w:r>
          </w:p>
          <w:p w14:paraId="50C2DAE7">
            <w:pPr>
              <w:spacing w:line="5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002D93">
            <w:pPr>
              <w:spacing w:line="500" w:lineRule="exact"/>
              <w:ind w:left="0" w:leftChars="0"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供应商具有有效合格的质量管理体系认证、环境管理体系认证、职业健康安全管理体系认证，每项得2分，共6分；</w:t>
            </w:r>
          </w:p>
          <w:p w14:paraId="677AC8DF">
            <w:pPr>
              <w:spacing w:line="500" w:lineRule="exact"/>
              <w:ind w:left="0" w:leftChars="0" w:firstLine="0" w:firstLineChars="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提供相关证明原件扫描件及加盖单位公章的“全国认证认可信息公共服务平台”查询截图</w:t>
            </w:r>
          </w:p>
        </w:tc>
      </w:tr>
      <w:tr w14:paraId="0A6B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vMerge w:val="continue"/>
            <w:tcBorders>
              <w:left w:val="single" w:color="000000" w:sz="4" w:space="0"/>
              <w:right w:val="single" w:color="000000" w:sz="4" w:space="0"/>
            </w:tcBorders>
            <w:noWrap w:val="0"/>
            <w:vAlign w:val="center"/>
          </w:tcPr>
          <w:p w14:paraId="1721711D">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49237283">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DD2B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5F89CBB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0AF47D">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拟投入本项目其他人员（除项目负责人外）具有相关专业(</w:t>
            </w:r>
            <w:r>
              <w:rPr>
                <w:rFonts w:hint="eastAsia" w:ascii="宋体" w:hAnsi="宋体"/>
                <w:color w:val="auto"/>
                <w:sz w:val="24"/>
              </w:rPr>
              <w:t>规划、建筑、结构、桥梁、地质、道路、景观、电气、暖通、给排水等专业</w:t>
            </w:r>
            <w:r>
              <w:rPr>
                <w:rFonts w:hint="eastAsia" w:ascii="宋体" w:hAnsi="宋体" w:eastAsia="宋体" w:cs="宋体"/>
                <w:color w:val="auto"/>
                <w:kern w:val="2"/>
                <w:sz w:val="24"/>
                <w:szCs w:val="24"/>
                <w:highlight w:val="none"/>
                <w:lang w:val="en-US" w:eastAsia="zh-CN" w:bidi="ar-SA"/>
              </w:rPr>
              <w:t>)，每有一个</w:t>
            </w:r>
            <w:r>
              <w:rPr>
                <w:rFonts w:hint="eastAsia" w:ascii="宋体" w:hAnsi="宋体" w:eastAsia="宋体" w:cs="宋体"/>
                <w:i w:val="0"/>
                <w:iCs w:val="0"/>
                <w:color w:val="auto"/>
                <w:kern w:val="0"/>
                <w:sz w:val="24"/>
                <w:szCs w:val="24"/>
                <w:highlight w:val="none"/>
                <w:u w:val="none"/>
                <w:lang w:val="en-US" w:eastAsia="zh-CN" w:bidi="ar"/>
              </w:rPr>
              <w:t>高级及以上技术职称</w:t>
            </w:r>
            <w:r>
              <w:rPr>
                <w:rFonts w:hint="eastAsia" w:ascii="宋体" w:hAnsi="宋体" w:eastAsia="宋体" w:cs="宋体"/>
                <w:color w:val="auto"/>
                <w:kern w:val="2"/>
                <w:sz w:val="24"/>
                <w:szCs w:val="24"/>
                <w:highlight w:val="none"/>
                <w:lang w:val="en-US" w:eastAsia="zh-CN" w:bidi="ar-SA"/>
              </w:rPr>
              <w:t>的得2分，每有一个</w:t>
            </w:r>
            <w:r>
              <w:rPr>
                <w:rFonts w:hint="eastAsia" w:ascii="宋体" w:hAnsi="宋体" w:eastAsia="宋体" w:cs="宋体"/>
                <w:i w:val="0"/>
                <w:iCs w:val="0"/>
                <w:color w:val="auto"/>
                <w:kern w:val="0"/>
                <w:sz w:val="24"/>
                <w:szCs w:val="24"/>
                <w:highlight w:val="none"/>
                <w:u w:val="none"/>
                <w:lang w:val="en-US" w:eastAsia="zh-CN" w:bidi="ar"/>
              </w:rPr>
              <w:t>中级技术职称</w:t>
            </w:r>
            <w:r>
              <w:rPr>
                <w:rFonts w:hint="eastAsia" w:ascii="宋体" w:hAnsi="宋体" w:eastAsia="宋体" w:cs="宋体"/>
                <w:color w:val="auto"/>
                <w:kern w:val="2"/>
                <w:sz w:val="24"/>
                <w:szCs w:val="24"/>
                <w:highlight w:val="none"/>
                <w:lang w:val="en-US" w:eastAsia="zh-CN" w:bidi="ar-SA"/>
              </w:rPr>
              <w:t>的得1分，本项最多得13分；</w:t>
            </w:r>
          </w:p>
          <w:p w14:paraId="6902FC87">
            <w:pPr>
              <w:spacing w:line="500" w:lineRule="exact"/>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注：提供人员相关证明材料原件扫描件及公司至投标截止时间止近6月内任意一个月社保缴纳证明或退休证明</w:t>
            </w:r>
          </w:p>
        </w:tc>
      </w:tr>
    </w:tbl>
    <w:p w14:paraId="06CC7268">
      <w:pPr>
        <w:pStyle w:val="2"/>
        <w:rPr>
          <w:rFonts w:hint="eastAsia"/>
        </w:rPr>
      </w:pPr>
    </w:p>
    <w:p w14:paraId="24ADB6BC">
      <w:pPr>
        <w:rPr>
          <w:color w:val="auto"/>
        </w:rPr>
        <w:sectPr>
          <w:footerReference r:id="rId8" w:type="default"/>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947" w:name="_Toc318450722"/>
      <w:bookmarkStart w:id="948" w:name="_Toc144974567"/>
      <w:bookmarkStart w:id="949" w:name="_Toc31578"/>
      <w:bookmarkStart w:id="950" w:name="_Toc152042377"/>
      <w:bookmarkStart w:id="951" w:name="_Toc152045600"/>
      <w:bookmarkStart w:id="952" w:name="_Toc281405528"/>
    </w:p>
    <w:p w14:paraId="4814A7B7">
      <w:pPr>
        <w:pageBreakBefore w:val="0"/>
        <w:widowControl w:val="0"/>
        <w:numPr>
          <w:ilvl w:val="0"/>
          <w:numId w:val="2"/>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color w:val="auto"/>
          <w:sz w:val="24"/>
          <w:szCs w:val="24"/>
        </w:rPr>
      </w:pPr>
      <w:bookmarkStart w:id="953" w:name="_Toc19942"/>
      <w:bookmarkStart w:id="954" w:name="_Toc20676"/>
      <w:r>
        <w:rPr>
          <w:rFonts w:hint="eastAsia" w:ascii="宋体" w:hAnsi="宋体" w:eastAsia="宋体" w:cs="宋体"/>
          <w:b/>
          <w:bCs/>
          <w:color w:val="auto"/>
          <w:sz w:val="24"/>
          <w:szCs w:val="24"/>
        </w:rPr>
        <w:t>评审方法</w:t>
      </w:r>
      <w:bookmarkEnd w:id="947"/>
      <w:bookmarkEnd w:id="948"/>
      <w:bookmarkEnd w:id="949"/>
      <w:bookmarkEnd w:id="950"/>
      <w:bookmarkEnd w:id="951"/>
      <w:bookmarkEnd w:id="952"/>
      <w:bookmarkEnd w:id="953"/>
      <w:bookmarkEnd w:id="954"/>
    </w:p>
    <w:p w14:paraId="56E89B4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val="en-US" w:eastAsia="zh-CN" w:bidi="en-US"/>
        </w:rPr>
        <w:t>1.1</w:t>
      </w:r>
      <w:r>
        <w:rPr>
          <w:rFonts w:hint="eastAsia" w:ascii="宋体" w:hAnsi="宋体" w:eastAsia="宋体" w:cs="宋体"/>
          <w:color w:val="auto"/>
          <w:sz w:val="24"/>
          <w:szCs w:val="24"/>
          <w:lang w:bidi="en-US"/>
        </w:rPr>
        <w:t>本次评审采用综合评分法。</w:t>
      </w:r>
    </w:p>
    <w:p w14:paraId="239F754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bidi="en-US"/>
        </w:rPr>
        <w:t>磋商小组对满足</w:t>
      </w:r>
      <w:r>
        <w:rPr>
          <w:rFonts w:hint="eastAsia" w:ascii="宋体" w:hAnsi="宋体" w:eastAsia="宋体" w:cs="宋体"/>
          <w:color w:val="auto"/>
          <w:sz w:val="24"/>
          <w:szCs w:val="24"/>
          <w:lang w:eastAsia="zh-CN" w:bidi="en-US"/>
        </w:rPr>
        <w:t>竞争性磋商文件</w:t>
      </w:r>
      <w:r>
        <w:rPr>
          <w:rFonts w:hint="eastAsia" w:ascii="宋体" w:hAnsi="宋体" w:eastAsia="宋体" w:cs="宋体"/>
          <w:color w:val="auto"/>
          <w:sz w:val="24"/>
          <w:szCs w:val="24"/>
          <w:lang w:bidi="en-US"/>
        </w:rPr>
        <w:t>实质性要求的响应文件</w:t>
      </w:r>
      <w:r>
        <w:rPr>
          <w:rFonts w:hint="eastAsia" w:ascii="宋体" w:hAnsi="宋体" w:eastAsia="宋体" w:cs="宋体"/>
          <w:color w:val="auto"/>
          <w:sz w:val="24"/>
          <w:szCs w:val="24"/>
        </w:rPr>
        <w:t>，按照本章规定的评分标准进行打分，并按得分由高到低顺序推荐成交候选人，</w:t>
      </w:r>
      <w:r>
        <w:rPr>
          <w:rFonts w:hint="eastAsia" w:ascii="宋体" w:hAnsi="宋体" w:eastAsia="宋体" w:cs="宋体"/>
          <w:color w:val="auto"/>
          <w:kern w:val="0"/>
          <w:sz w:val="24"/>
          <w:szCs w:val="24"/>
        </w:rPr>
        <w:t>综合评分相等时，以报价得分高的优先；报价得分也相等的，由采购人自行确定。</w:t>
      </w:r>
      <w:bookmarkStart w:id="955" w:name="_Toc20837"/>
      <w:bookmarkStart w:id="956" w:name="_Toc26131"/>
      <w:bookmarkStart w:id="957" w:name="_Toc29362"/>
      <w:bookmarkStart w:id="958" w:name="_Toc152042378"/>
      <w:bookmarkStart w:id="959" w:name="_Toc6612"/>
      <w:bookmarkStart w:id="960" w:name="_Toc466298140"/>
      <w:bookmarkStart w:id="961" w:name="_Toc318450723"/>
      <w:bookmarkStart w:id="962" w:name="_Toc152045601"/>
      <w:bookmarkStart w:id="963" w:name="_Toc144974568"/>
      <w:bookmarkStart w:id="964" w:name="_Toc490667876"/>
      <w:bookmarkStart w:id="965" w:name="_Toc455867817"/>
      <w:bookmarkStart w:id="966" w:name="_Toc455080157"/>
      <w:bookmarkStart w:id="967" w:name="_Toc24936"/>
      <w:bookmarkStart w:id="968" w:name="_Toc281405529"/>
    </w:p>
    <w:p w14:paraId="6AFD441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lang w:val="en-US" w:eastAsia="zh-CN"/>
        </w:rPr>
      </w:pPr>
      <w:r>
        <w:rPr>
          <w:rFonts w:hint="eastAsia" w:ascii="宋体" w:hAnsi="宋体" w:eastAsia="宋体" w:cs="宋体"/>
          <w:color w:val="auto"/>
          <w:kern w:val="0"/>
          <w:sz w:val="24"/>
          <w:szCs w:val="24"/>
          <w:lang w:val="en-US" w:eastAsia="zh-CN"/>
        </w:rPr>
        <w:t>1.2</w:t>
      </w:r>
      <w:r>
        <w:rPr>
          <w:rFonts w:hint="eastAsia" w:ascii="宋体" w:hAnsi="宋体" w:eastAsia="宋体" w:cs="宋体"/>
          <w:color w:val="000000"/>
          <w:sz w:val="24"/>
          <w:szCs w:val="24"/>
        </w:rPr>
        <w:t>经评标委员会初步评审后有效投标不足3个的，评标委员会应予废标。</w:t>
      </w:r>
    </w:p>
    <w:p w14:paraId="3987F44D">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评审标准</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Start w:id="969" w:name="_Toc318450724"/>
      <w:bookmarkStart w:id="970" w:name="_Toc19934"/>
      <w:bookmarkStart w:id="971" w:name="_Toc11223"/>
      <w:bookmarkStart w:id="972" w:name="_Toc6711"/>
      <w:bookmarkStart w:id="973" w:name="_Toc144974569"/>
      <w:bookmarkStart w:id="974" w:name="_Toc25637"/>
      <w:bookmarkStart w:id="975" w:name="_Toc21120"/>
      <w:bookmarkStart w:id="976" w:name="_Toc455867818"/>
      <w:bookmarkStart w:id="977" w:name="_Toc152042379"/>
      <w:bookmarkStart w:id="978" w:name="_Toc466298141"/>
      <w:bookmarkStart w:id="979" w:name="_Toc31037"/>
      <w:bookmarkStart w:id="980" w:name="_Toc2867"/>
      <w:bookmarkStart w:id="981" w:name="_Toc455080158"/>
      <w:bookmarkStart w:id="982" w:name="_Toc15813"/>
      <w:bookmarkStart w:id="983" w:name="_Toc152045602"/>
      <w:bookmarkStart w:id="984" w:name="_Toc281405530"/>
      <w:bookmarkStart w:id="985" w:name="_Toc490667877"/>
      <w:bookmarkStart w:id="986" w:name="_Toc24558"/>
    </w:p>
    <w:p w14:paraId="21529D6C">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1E68E78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资格检查评审标准：见评审办法前附表。</w:t>
      </w:r>
    </w:p>
    <w:p w14:paraId="4F91386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符合</w:t>
      </w:r>
      <w:r>
        <w:rPr>
          <w:rFonts w:hint="eastAsia" w:ascii="宋体" w:hAnsi="宋体" w:eastAsia="宋体" w:cs="宋体"/>
          <w:color w:val="auto"/>
          <w:sz w:val="24"/>
          <w:szCs w:val="24"/>
        </w:rPr>
        <w:t>性检查评审标准：见评审办法前附表。</w:t>
      </w:r>
    </w:p>
    <w:p w14:paraId="694284BD">
      <w:pPr>
        <w:pStyle w:val="34"/>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987" w:name="_Toc455080159"/>
      <w:bookmarkStart w:id="988" w:name="_Toc7284"/>
      <w:bookmarkStart w:id="989" w:name="_Toc490667878"/>
      <w:bookmarkStart w:id="990" w:name="_Toc26179"/>
      <w:bookmarkStart w:id="991" w:name="_Toc12013"/>
      <w:bookmarkStart w:id="992" w:name="_Toc21970"/>
      <w:bookmarkStart w:id="993" w:name="_Toc4136"/>
      <w:bookmarkStart w:id="994" w:name="_Toc466298142"/>
      <w:bookmarkStart w:id="995" w:name="_Toc25492"/>
      <w:bookmarkStart w:id="996" w:name="_Toc318450725"/>
      <w:bookmarkStart w:id="997" w:name="_Toc152045603"/>
      <w:bookmarkStart w:id="998" w:name="_Toc24825"/>
      <w:bookmarkStart w:id="999" w:name="_Toc22439"/>
      <w:bookmarkStart w:id="1000" w:name="_Toc455867819"/>
      <w:bookmarkStart w:id="1001" w:name="_Toc144974570"/>
      <w:bookmarkStart w:id="1002" w:name="_Toc30189"/>
      <w:bookmarkStart w:id="1003" w:name="_Toc152042380"/>
      <w:bookmarkStart w:id="1004" w:name="_Toc30479"/>
      <w:bookmarkStart w:id="1005" w:name="_Toc281405531"/>
      <w:bookmarkStart w:id="1006" w:name="_Toc11061"/>
      <w:r>
        <w:rPr>
          <w:rFonts w:hint="eastAsia" w:ascii="宋体" w:hAnsi="宋体" w:eastAsia="宋体" w:cs="宋体"/>
          <w:b/>
          <w:bCs/>
          <w:color w:val="auto"/>
          <w:sz w:val="24"/>
          <w:szCs w:val="24"/>
        </w:rPr>
        <w:t>2.2 分值构成与评分标准</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0794088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（1）商务标：见评审办法前附表；</w:t>
      </w:r>
    </w:p>
    <w:p w14:paraId="15D638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（2）技术标：见评审办法前附表；</w:t>
      </w:r>
    </w:p>
    <w:p w14:paraId="7818E2B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（3）综合标：见评审办法前附表。</w:t>
      </w:r>
    </w:p>
    <w:p w14:paraId="732F8FEE">
      <w:pPr>
        <w:pStyle w:val="31"/>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color w:val="auto"/>
          <w:sz w:val="24"/>
          <w:szCs w:val="24"/>
        </w:rPr>
      </w:pPr>
      <w:bookmarkStart w:id="1007" w:name="_Toc26113"/>
      <w:bookmarkStart w:id="1008" w:name="_Toc490667879"/>
      <w:bookmarkStart w:id="1009" w:name="_Toc466298143"/>
      <w:bookmarkStart w:id="1010" w:name="_Toc455080160"/>
      <w:bookmarkStart w:id="1011" w:name="_Toc5270"/>
      <w:bookmarkStart w:id="1012" w:name="_Toc29297"/>
      <w:bookmarkStart w:id="1013" w:name="_Toc318450726"/>
      <w:bookmarkStart w:id="1014" w:name="_Toc17308"/>
      <w:bookmarkStart w:id="1015" w:name="_Toc18127"/>
      <w:bookmarkStart w:id="1016" w:name="_Toc32314"/>
      <w:bookmarkStart w:id="1017" w:name="_Toc281405532"/>
      <w:bookmarkStart w:id="1018" w:name="_Toc16479"/>
      <w:bookmarkStart w:id="1019" w:name="_Toc455867820"/>
      <w:r>
        <w:rPr>
          <w:rFonts w:hint="eastAsia" w:ascii="宋体" w:hAnsi="宋体" w:eastAsia="宋体" w:cs="宋体"/>
          <w:b/>
          <w:bCs/>
          <w:color w:val="auto"/>
          <w:sz w:val="24"/>
          <w:szCs w:val="24"/>
        </w:rPr>
        <w:t>3. 评审程序</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52C0C10F">
      <w:pPr>
        <w:pStyle w:val="34"/>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020" w:name="_Toc490667880"/>
      <w:bookmarkStart w:id="1021" w:name="_Toc466298144"/>
      <w:bookmarkStart w:id="1022" w:name="_Toc281405533"/>
      <w:bookmarkStart w:id="1023" w:name="_Toc22972"/>
      <w:bookmarkStart w:id="1024" w:name="_Toc5427"/>
      <w:bookmarkStart w:id="1025" w:name="_Toc25798"/>
      <w:bookmarkStart w:id="1026" w:name="_Toc29614"/>
      <w:bookmarkStart w:id="1027" w:name="_Toc318450727"/>
      <w:bookmarkStart w:id="1028" w:name="_Toc29092"/>
      <w:bookmarkStart w:id="1029" w:name="_Toc18886"/>
      <w:bookmarkStart w:id="1030" w:name="_Toc30986"/>
      <w:bookmarkStart w:id="1031" w:name="_Toc9433"/>
      <w:bookmarkStart w:id="1032" w:name="_Toc7272"/>
      <w:bookmarkStart w:id="1033" w:name="_Toc14633"/>
      <w:bookmarkStart w:id="1034" w:name="_Toc455080161"/>
      <w:bookmarkStart w:id="1035" w:name="_Toc455867821"/>
      <w:bookmarkStart w:id="1036" w:name="_Toc2410"/>
      <w:bookmarkStart w:id="1037" w:name="_Toc16892"/>
      <w:r>
        <w:rPr>
          <w:rFonts w:hint="eastAsia" w:ascii="宋体" w:hAnsi="宋体" w:eastAsia="宋体" w:cs="宋体"/>
          <w:b/>
          <w:bCs/>
          <w:color w:val="auto"/>
          <w:sz w:val="24"/>
          <w:szCs w:val="24"/>
        </w:rPr>
        <w:t>3.1 初步评审</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05CC6B6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bookmarkStart w:id="1038" w:name="_Toc490667881"/>
      <w:bookmarkStart w:id="1039" w:name="_Toc10692"/>
      <w:bookmarkStart w:id="1040" w:name="_Toc26280"/>
      <w:bookmarkStart w:id="1041" w:name="_Toc21032"/>
      <w:bookmarkStart w:id="1042" w:name="_Toc12406"/>
      <w:bookmarkStart w:id="1043" w:name="_Toc466298145"/>
      <w:bookmarkStart w:id="1044" w:name="_Toc455867822"/>
      <w:bookmarkStart w:id="1045" w:name="_Toc281405534"/>
      <w:bookmarkStart w:id="1046" w:name="_Toc318450728"/>
      <w:bookmarkStart w:id="1047" w:name="_Toc455080162"/>
      <w:bookmarkStart w:id="1048" w:name="_Toc16964"/>
      <w:bookmarkStart w:id="1049" w:name="_Toc13386"/>
      <w:bookmarkStart w:id="1050" w:name="_Toc21570"/>
      <w:bookmarkStart w:id="1051" w:name="_Toc22101"/>
      <w:bookmarkStart w:id="1052" w:name="_Toc7121"/>
      <w:bookmarkStart w:id="1053" w:name="_Toc26049"/>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w:t>
      </w:r>
      <w:r>
        <w:rPr>
          <w:rFonts w:hint="eastAsia" w:ascii="宋体" w:hAnsi="宋体" w:eastAsia="宋体" w:cs="宋体"/>
          <w:color w:val="000000"/>
          <w:sz w:val="24"/>
          <w:szCs w:val="24"/>
          <w:lang w:val="en-US" w:eastAsia="zh-CN"/>
        </w:rPr>
        <w:t>2.1.2</w:t>
      </w:r>
      <w:r>
        <w:rPr>
          <w:rFonts w:hint="eastAsia" w:ascii="宋体" w:hAnsi="宋体" w:eastAsia="宋体" w:cs="宋体"/>
          <w:color w:val="000000"/>
          <w:sz w:val="24"/>
          <w:szCs w:val="24"/>
        </w:rPr>
        <w:t>规定的内容和标准对</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0E27C8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供应商有以下情形之一的，其响应文件作无效处理：</w:t>
      </w:r>
    </w:p>
    <w:p w14:paraId="109FF00D">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）串通或弄虚作假或有其他违法行为的；</w:t>
      </w:r>
    </w:p>
    <w:p w14:paraId="50522C74">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）不按磋商小组要求澄清、说明或补正的；</w:t>
      </w:r>
    </w:p>
    <w:p w14:paraId="4AFF36B6">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）未按规定格式填写、内容不全或关键字迹模糊、无法辨认的；</w:t>
      </w:r>
    </w:p>
    <w:p w14:paraId="4F6BF429">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）响应文件附有采购人不能接受的条件；</w:t>
      </w:r>
    </w:p>
    <w:p w14:paraId="1F0174A6">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规定的其他实质性要求。</w:t>
      </w:r>
    </w:p>
    <w:p w14:paraId="5693A8BF">
      <w:pPr>
        <w:pStyle w:val="34"/>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054" w:name="_Toc1098"/>
      <w:bookmarkStart w:id="1055" w:name="_Toc9462"/>
      <w:r>
        <w:rPr>
          <w:rFonts w:hint="eastAsia" w:ascii="宋体" w:hAnsi="宋体" w:eastAsia="宋体" w:cs="宋体"/>
          <w:b/>
          <w:bCs/>
          <w:color w:val="auto"/>
          <w:sz w:val="24"/>
          <w:szCs w:val="24"/>
        </w:rPr>
        <w:t>3.2 详细评审</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21A968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磋商小组按本章第2.2款规定的量化因素和分值进行打分，并计算出综合评分得分。</w:t>
      </w:r>
    </w:p>
    <w:p w14:paraId="7BCE6CB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评分分值计算保留小数点后两位，小数点后第三位“四舍五入”。</w:t>
      </w:r>
    </w:p>
    <w:p w14:paraId="5A2676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3.2.3供应商的最终得分以全部小组成员打分的算术平均值为准，作为该供应商的最终得分。</w:t>
      </w:r>
    </w:p>
    <w:p w14:paraId="6EAEAD4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3.2.4在磋商过程中，凡遇到</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中无界定或界定不清、前后不一致使磋商小组意见有分歧且又难以协商一致的问题，均由磋商小组予以表决，获半数以上同意的即为通过，未获半数同意的即为否决。</w:t>
      </w:r>
    </w:p>
    <w:p w14:paraId="54BCB78F">
      <w:pPr>
        <w:pStyle w:val="34"/>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056" w:name="_Toc331"/>
      <w:bookmarkStart w:id="1057" w:name="_Toc8813"/>
      <w:bookmarkStart w:id="1058" w:name="_Toc23825"/>
      <w:bookmarkStart w:id="1059" w:name="_Toc466298146"/>
      <w:bookmarkStart w:id="1060" w:name="_Toc28633"/>
      <w:bookmarkStart w:id="1061" w:name="_Toc13980"/>
      <w:bookmarkStart w:id="1062" w:name="_Toc24862"/>
      <w:bookmarkStart w:id="1063" w:name="_Toc318450729"/>
      <w:bookmarkStart w:id="1064" w:name="_Toc10153"/>
      <w:bookmarkStart w:id="1065" w:name="_Toc2657"/>
      <w:bookmarkStart w:id="1066" w:name="_Toc455867823"/>
      <w:bookmarkStart w:id="1067" w:name="_Toc281405535"/>
      <w:bookmarkStart w:id="1068" w:name="_Toc22084"/>
      <w:bookmarkStart w:id="1069" w:name="_Toc455080163"/>
      <w:bookmarkStart w:id="1070" w:name="_Toc490667882"/>
      <w:bookmarkStart w:id="1071" w:name="_Toc12374"/>
      <w:bookmarkStart w:id="1072" w:name="_Toc11958"/>
      <w:bookmarkStart w:id="1073" w:name="_Toc8342"/>
      <w:r>
        <w:rPr>
          <w:rFonts w:hint="eastAsia" w:ascii="宋体" w:hAnsi="宋体" w:eastAsia="宋体" w:cs="宋体"/>
          <w:b/>
          <w:bCs/>
          <w:color w:val="auto"/>
          <w:sz w:val="24"/>
          <w:szCs w:val="24"/>
        </w:rPr>
        <w:t>3.3 响应文件的澄清和补正</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4D8D1C5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3.3.1在磋商过程中，磋商小组可以书面形式要求供应商对所提交的响应文件中不明确的内容进行书面澄清或说明，或者对细微偏离进行补正。磋商小组不接受供应商主动提出的澄清、说明或补正。</w:t>
      </w:r>
    </w:p>
    <w:p w14:paraId="79A5042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澄清、说明和补正不得超出响应文件的范围或者改变响应文件的实质性内容（算术性错误修正的除外）。供应商的书面澄清、说明和补正属于响应文件的组成部分。</w:t>
      </w:r>
    </w:p>
    <w:p w14:paraId="0A0BF46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磋商小组对供应商提交的澄清、说明或补正有疑问的，可以要求供应商进一步澄清、说明或补正，直至满足磋商小组的要求。</w:t>
      </w:r>
    </w:p>
    <w:p w14:paraId="3D18C168">
      <w:pPr>
        <w:pStyle w:val="34"/>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1074" w:name="_Toc466298147"/>
      <w:bookmarkStart w:id="1075" w:name="_Toc13305"/>
      <w:bookmarkStart w:id="1076" w:name="_Toc19453"/>
      <w:bookmarkStart w:id="1077" w:name="_Toc13842"/>
      <w:bookmarkStart w:id="1078" w:name="_Toc455867824"/>
      <w:bookmarkStart w:id="1079" w:name="_Toc26894"/>
      <w:bookmarkStart w:id="1080" w:name="_Toc490667883"/>
      <w:bookmarkStart w:id="1081" w:name="_Toc22049"/>
      <w:bookmarkStart w:id="1082" w:name="_Toc32183"/>
      <w:bookmarkStart w:id="1083" w:name="_Toc5903"/>
      <w:bookmarkStart w:id="1084" w:name="_Toc455080164"/>
      <w:bookmarkStart w:id="1085" w:name="_Toc30053"/>
      <w:bookmarkStart w:id="1086" w:name="_Toc22682"/>
      <w:bookmarkStart w:id="1087" w:name="_Toc22986"/>
      <w:bookmarkStart w:id="1088" w:name="_Toc281405536"/>
      <w:bookmarkStart w:id="1089" w:name="_Toc318450730"/>
      <w:bookmarkStart w:id="1090" w:name="_Toc1857"/>
      <w:bookmarkStart w:id="1091" w:name="_Toc19938"/>
      <w:r>
        <w:rPr>
          <w:rFonts w:hint="eastAsia" w:ascii="宋体" w:hAnsi="宋体" w:eastAsia="宋体" w:cs="宋体"/>
          <w:color w:val="auto"/>
          <w:sz w:val="24"/>
          <w:szCs w:val="24"/>
        </w:rPr>
        <w:t>3.4 评审结果</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2AFCC01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3.4.1除第二章“供应商须知”前附表授权直接确定成交人外，磋商小组按照得分由高到低的顺序推荐成交候选人。</w:t>
      </w:r>
    </w:p>
    <w:p w14:paraId="4894922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磋商小组完成评审后，应当向采购人提交书面评审报告。</w:t>
      </w:r>
    </w:p>
    <w:p w14:paraId="6C43C2A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1092" w:name="_Toc14024"/>
      <w:bookmarkStart w:id="1093" w:name="_Toc152045609"/>
      <w:bookmarkStart w:id="1094" w:name="_Toc152042387"/>
      <w:bookmarkStart w:id="1095" w:name="_Toc144974577"/>
      <w:r>
        <w:rPr>
          <w:rFonts w:hint="eastAsia" w:ascii="宋体" w:hAnsi="宋体" w:eastAsia="宋体" w:cs="宋体"/>
          <w:color w:val="auto"/>
          <w:sz w:val="24"/>
          <w:szCs w:val="24"/>
        </w:rPr>
        <w:t>3.4.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评标结果同时在</w:t>
      </w:r>
      <w:r>
        <w:rPr>
          <w:rFonts w:hint="eastAsia" w:ascii="宋体" w:hAnsi="宋体" w:eastAsia="宋体" w:cs="宋体"/>
          <w:color w:val="auto"/>
          <w:sz w:val="24"/>
          <w:szCs w:val="24"/>
          <w:lang w:val="en-US" w:eastAsia="zh-CN"/>
        </w:rPr>
        <w:t>《中国招标投标公共服务平台》、《河南省政府采购网》、《全国公共资源交易平台（河南省·息县）》</w:t>
      </w:r>
      <w:r>
        <w:rPr>
          <w:rFonts w:hint="eastAsia" w:ascii="宋体" w:hAnsi="宋体" w:eastAsia="宋体" w:cs="宋体"/>
          <w:color w:val="auto"/>
          <w:sz w:val="24"/>
          <w:szCs w:val="24"/>
        </w:rPr>
        <w:t>公示。</w:t>
      </w:r>
    </w:p>
    <w:p w14:paraId="590523F4">
      <w:pPr>
        <w:rPr>
          <w:rFonts w:hint="eastAsia" w:ascii="宋体" w:hAnsi="宋体" w:cs="宋体"/>
          <w:bCs/>
          <w:color w:val="auto"/>
          <w:sz w:val="28"/>
          <w:szCs w:val="28"/>
        </w:rPr>
      </w:pPr>
    </w:p>
    <w:p w14:paraId="4A41242A">
      <w:pPr>
        <w:pStyle w:val="2"/>
        <w:rPr>
          <w:rFonts w:hint="eastAsia" w:ascii="宋体" w:hAnsi="宋体" w:cs="宋体"/>
          <w:bCs/>
          <w:color w:val="auto"/>
          <w:sz w:val="28"/>
          <w:szCs w:val="28"/>
        </w:rPr>
      </w:pPr>
    </w:p>
    <w:p w14:paraId="1E71B683">
      <w:pPr>
        <w:pStyle w:val="4"/>
        <w:tabs>
          <w:tab w:val="left" w:pos="945"/>
          <w:tab w:val="left" w:pos="1155"/>
        </w:tabs>
        <w:rPr>
          <w:rFonts w:hint="eastAsia" w:ascii="宋体" w:hAnsi="宋体" w:cs="宋体"/>
          <w:bCs/>
          <w:color w:val="auto"/>
          <w:sz w:val="28"/>
          <w:szCs w:val="28"/>
        </w:rPr>
      </w:pPr>
    </w:p>
    <w:p w14:paraId="279CB869">
      <w:pPr>
        <w:rPr>
          <w:rFonts w:hint="eastAsia" w:ascii="宋体" w:hAnsi="宋体" w:cs="宋体"/>
          <w:bCs/>
          <w:color w:val="auto"/>
          <w:sz w:val="28"/>
          <w:szCs w:val="28"/>
        </w:rPr>
      </w:pPr>
    </w:p>
    <w:p w14:paraId="5616F6A2">
      <w:pPr>
        <w:pStyle w:val="4"/>
        <w:tabs>
          <w:tab w:val="left" w:pos="945"/>
          <w:tab w:val="left" w:pos="1155"/>
        </w:tabs>
        <w:rPr>
          <w:rFonts w:hint="eastAsia" w:ascii="宋体" w:hAnsi="宋体" w:cs="宋体"/>
          <w:bCs/>
          <w:color w:val="auto"/>
          <w:sz w:val="28"/>
          <w:szCs w:val="28"/>
        </w:rPr>
      </w:pPr>
    </w:p>
    <w:p w14:paraId="10805760">
      <w:pPr>
        <w:pStyle w:val="8"/>
        <w:pageBreakBefore w:val="0"/>
        <w:numPr>
          <w:ilvl w:val="0"/>
          <w:numId w:val="0"/>
        </w:numPr>
        <w:kinsoku/>
        <w:wordWrap/>
        <w:overflowPunct/>
        <w:topLinePunct w:val="0"/>
        <w:bidi w:val="0"/>
        <w:spacing w:line="400" w:lineRule="exact"/>
        <w:ind w:left="459" w:leftChars="0"/>
        <w:rPr>
          <w:rFonts w:hint="eastAsia" w:ascii="宋体" w:hAnsi="宋体" w:eastAsia="宋体" w:cs="宋体"/>
          <w:color w:val="000000"/>
          <w:sz w:val="24"/>
          <w:szCs w:val="24"/>
        </w:rPr>
      </w:pPr>
      <w:bookmarkStart w:id="1096" w:name="_Toc27173"/>
      <w:bookmarkStart w:id="1097" w:name="_Toc31487"/>
      <w:r>
        <w:rPr>
          <w:rFonts w:hint="eastAsia" w:ascii="宋体" w:hAnsi="宋体" w:eastAsia="宋体" w:cs="宋体"/>
          <w:color w:val="000000"/>
          <w:sz w:val="24"/>
          <w:szCs w:val="24"/>
        </w:rPr>
        <w:t>附件：废标条件</w:t>
      </w:r>
      <w:bookmarkEnd w:id="1096"/>
      <w:bookmarkEnd w:id="1097"/>
    </w:p>
    <w:p w14:paraId="7E56D463">
      <w:pPr>
        <w:pageBreakBefore w:val="0"/>
        <w:kinsoku/>
        <w:wordWrap/>
        <w:overflowPunct/>
        <w:topLinePunct w:val="0"/>
        <w:bidi w:val="0"/>
        <w:spacing w:line="48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7745E696">
      <w:pPr>
        <w:pageBreakBefore w:val="0"/>
        <w:kinsoku/>
        <w:wordWrap/>
        <w:overflowPunct/>
        <w:topLinePunct w:val="0"/>
        <w:bidi w:val="0"/>
        <w:spacing w:line="480" w:lineRule="auto"/>
        <w:ind w:firstLine="482" w:firstLineChars="200"/>
        <w:rPr>
          <w:rFonts w:hint="eastAsia" w:ascii="宋体" w:hAnsi="宋体" w:eastAsia="宋体" w:cs="宋体"/>
          <w:b/>
          <w:color w:val="000000"/>
          <w:sz w:val="24"/>
          <w:szCs w:val="24"/>
        </w:rPr>
      </w:pPr>
    </w:p>
    <w:p w14:paraId="01BDA146">
      <w:pPr>
        <w:pageBreakBefore w:val="0"/>
        <w:kinsoku/>
        <w:wordWrap/>
        <w:overflowPunct/>
        <w:topLinePunct w:val="0"/>
        <w:bidi w:val="0"/>
        <w:spacing w:line="360" w:lineRule="auto"/>
        <w:ind w:firstLine="723" w:firstLineChars="300"/>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须知”和本章正文部分的规定为准。</w:t>
      </w:r>
    </w:p>
    <w:p w14:paraId="6EC41E4A">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5F0AEB26">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w:t>
      </w:r>
      <w:r>
        <w:rPr>
          <w:rFonts w:hint="eastAsia" w:ascii="宋体" w:hAnsi="宋体" w:eastAsia="宋体" w:cs="宋体"/>
          <w:b/>
          <w:color w:val="000000"/>
          <w:sz w:val="24"/>
          <w:szCs w:val="24"/>
          <w:lang w:eastAsia="zh-CN"/>
        </w:rPr>
        <w:t>磋商小组</w:t>
      </w:r>
      <w:r>
        <w:rPr>
          <w:rFonts w:hint="eastAsia" w:ascii="宋体" w:hAnsi="宋体" w:eastAsia="宋体" w:cs="宋体"/>
          <w:b/>
          <w:color w:val="000000"/>
          <w:sz w:val="24"/>
          <w:szCs w:val="24"/>
        </w:rPr>
        <w:t>要求澄清、说明或补正的；</w:t>
      </w:r>
    </w:p>
    <w:p w14:paraId="4A3879B4">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磋商</w:t>
      </w:r>
      <w:r>
        <w:rPr>
          <w:rFonts w:hint="eastAsia" w:ascii="宋体" w:hAnsi="宋体" w:eastAsia="宋体" w:cs="宋体"/>
          <w:b/>
          <w:color w:val="000000"/>
          <w:sz w:val="24"/>
          <w:szCs w:val="24"/>
        </w:rPr>
        <w:t>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7D139B60">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08382E53">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589DD623">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4C650EA1">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4E531E88">
      <w:pPr>
        <w:pageBreakBefore w:val="0"/>
        <w:kinsoku/>
        <w:wordWrap/>
        <w:overflowPunct/>
        <w:topLinePunct w:val="0"/>
        <w:bidi w:val="0"/>
        <w:spacing w:line="360" w:lineRule="auto"/>
        <w:ind w:left="0" w:leftChars="0" w:firstLine="460" w:firstLineChars="191"/>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8.文件制作机器码、文件创建标识码有相同的；</w:t>
      </w:r>
    </w:p>
    <w:p w14:paraId="22413905">
      <w:pPr>
        <w:spacing w:line="360" w:lineRule="auto"/>
        <w:ind w:left="0" w:leftChars="0" w:firstLine="699" w:firstLineChars="290"/>
        <w:rPr>
          <w:rFonts w:hint="eastAsia" w:ascii="宋体" w:hAnsi="宋体" w:cs="宋体"/>
          <w:bCs/>
          <w:color w:val="auto"/>
          <w:sz w:val="24"/>
          <w:szCs w:val="24"/>
        </w:rPr>
      </w:pP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不符合</w:t>
      </w:r>
      <w:r>
        <w:rPr>
          <w:rFonts w:hint="eastAsia" w:ascii="宋体" w:hAnsi="宋体" w:eastAsia="宋体" w:cs="宋体"/>
          <w:b/>
          <w:color w:val="000000"/>
          <w:sz w:val="24"/>
          <w:szCs w:val="24"/>
          <w:lang w:eastAsia="zh-CN"/>
        </w:rPr>
        <w:t>竞争性磋商</w:t>
      </w:r>
      <w:r>
        <w:rPr>
          <w:rFonts w:hint="eastAsia" w:ascii="宋体" w:hAnsi="宋体" w:eastAsia="宋体" w:cs="宋体"/>
          <w:b/>
          <w:color w:val="000000"/>
          <w:sz w:val="24"/>
          <w:szCs w:val="24"/>
        </w:rPr>
        <w:t>文件规定的其他实质性要求及相关法律、法规或规章规定可以废标的其他情形。</w:t>
      </w:r>
    </w:p>
    <w:p w14:paraId="48466236">
      <w:pPr>
        <w:pStyle w:val="2"/>
        <w:rPr>
          <w:rFonts w:hint="eastAsia" w:ascii="宋体" w:hAnsi="宋体" w:cs="宋体"/>
          <w:bCs/>
          <w:color w:val="auto"/>
          <w:sz w:val="28"/>
          <w:szCs w:val="28"/>
        </w:rPr>
      </w:pPr>
    </w:p>
    <w:p w14:paraId="3DCEAEC8">
      <w:pPr>
        <w:pStyle w:val="4"/>
        <w:tabs>
          <w:tab w:val="left" w:pos="945"/>
          <w:tab w:val="left" w:pos="1155"/>
        </w:tabs>
        <w:rPr>
          <w:rFonts w:hint="eastAsia" w:ascii="宋体" w:hAnsi="宋体" w:cs="宋体"/>
          <w:bCs/>
          <w:color w:val="auto"/>
          <w:sz w:val="28"/>
          <w:szCs w:val="28"/>
        </w:rPr>
      </w:pPr>
    </w:p>
    <w:p w14:paraId="2048774D">
      <w:pPr>
        <w:rPr>
          <w:rFonts w:hint="eastAsia" w:ascii="宋体" w:hAnsi="宋体" w:cs="宋体"/>
          <w:bCs/>
          <w:color w:val="auto"/>
          <w:sz w:val="28"/>
          <w:szCs w:val="28"/>
        </w:rPr>
      </w:pPr>
    </w:p>
    <w:p w14:paraId="2879B004">
      <w:pPr>
        <w:pStyle w:val="2"/>
        <w:rPr>
          <w:rFonts w:hint="eastAsia" w:ascii="宋体" w:hAnsi="宋体" w:cs="宋体"/>
          <w:bCs/>
          <w:color w:val="auto"/>
          <w:sz w:val="28"/>
          <w:szCs w:val="28"/>
        </w:rPr>
      </w:pPr>
    </w:p>
    <w:p w14:paraId="00400AEB">
      <w:pPr>
        <w:pStyle w:val="4"/>
        <w:tabs>
          <w:tab w:val="left" w:pos="945"/>
          <w:tab w:val="left" w:pos="1155"/>
        </w:tabs>
        <w:rPr>
          <w:rFonts w:hint="eastAsia" w:ascii="宋体" w:hAnsi="宋体" w:cs="宋体"/>
          <w:bCs/>
          <w:color w:val="auto"/>
          <w:sz w:val="28"/>
          <w:szCs w:val="28"/>
        </w:rPr>
      </w:pPr>
    </w:p>
    <w:p w14:paraId="7942CD01">
      <w:pPr>
        <w:rPr>
          <w:rFonts w:hint="eastAsia" w:ascii="宋体" w:hAnsi="宋体" w:cs="宋体"/>
          <w:bCs/>
          <w:color w:val="auto"/>
          <w:sz w:val="28"/>
          <w:szCs w:val="28"/>
        </w:rPr>
      </w:pPr>
    </w:p>
    <w:p w14:paraId="6ED36808">
      <w:pPr>
        <w:pStyle w:val="2"/>
        <w:rPr>
          <w:rFonts w:hint="eastAsia" w:ascii="宋体" w:hAnsi="宋体" w:cs="宋体"/>
          <w:bCs/>
          <w:color w:val="auto"/>
          <w:sz w:val="28"/>
          <w:szCs w:val="28"/>
        </w:rPr>
      </w:pPr>
    </w:p>
    <w:p w14:paraId="50D330CE">
      <w:pPr>
        <w:pStyle w:val="4"/>
        <w:rPr>
          <w:rFonts w:hint="eastAsia" w:ascii="宋体" w:hAnsi="宋体" w:cs="宋体"/>
          <w:bCs/>
          <w:color w:val="auto"/>
          <w:sz w:val="28"/>
          <w:szCs w:val="28"/>
        </w:rPr>
      </w:pPr>
    </w:p>
    <w:p w14:paraId="5CEB8ADE">
      <w:pPr>
        <w:rPr>
          <w:rFonts w:hint="eastAsia"/>
        </w:rPr>
      </w:pPr>
    </w:p>
    <w:bookmarkEnd w:id="1092"/>
    <w:bookmarkEnd w:id="1093"/>
    <w:bookmarkEnd w:id="1094"/>
    <w:bookmarkEnd w:id="1095"/>
    <w:p w14:paraId="4D2B7E33">
      <w:pPr>
        <w:spacing w:line="400" w:lineRule="exact"/>
        <w:jc w:val="center"/>
        <w:outlineLvl w:val="0"/>
        <w:rPr>
          <w:rFonts w:hint="eastAsia" w:ascii="宋体" w:hAnsi="宋体" w:cs="宋体"/>
          <w:b/>
          <w:bCs/>
          <w:color w:val="auto"/>
          <w:sz w:val="32"/>
          <w:szCs w:val="32"/>
        </w:rPr>
      </w:pPr>
      <w:bookmarkStart w:id="1098" w:name="_Toc14158"/>
      <w:bookmarkStart w:id="1099" w:name="_Toc152042575"/>
      <w:bookmarkStart w:id="1100" w:name="_Toc152045786"/>
      <w:bookmarkStart w:id="1101" w:name="_Toc144974855"/>
    </w:p>
    <w:p w14:paraId="34307888">
      <w:pPr>
        <w:spacing w:line="400" w:lineRule="exact"/>
        <w:jc w:val="center"/>
        <w:outlineLvl w:val="0"/>
        <w:rPr>
          <w:rFonts w:hint="eastAsia" w:ascii="宋体" w:hAnsi="宋体" w:cs="宋体"/>
          <w:b/>
          <w:bCs/>
          <w:color w:val="auto"/>
          <w:sz w:val="32"/>
          <w:szCs w:val="32"/>
        </w:rPr>
      </w:pPr>
      <w:bookmarkStart w:id="1102" w:name="_Toc11597"/>
      <w:r>
        <w:rPr>
          <w:rFonts w:hint="eastAsia" w:ascii="宋体" w:hAnsi="宋体" w:cs="宋体"/>
          <w:b/>
          <w:bCs/>
          <w:color w:val="auto"/>
          <w:sz w:val="32"/>
          <w:szCs w:val="32"/>
        </w:rPr>
        <w:t xml:space="preserve">第四章  </w:t>
      </w:r>
      <w:r>
        <w:rPr>
          <w:rFonts w:hint="eastAsia" w:ascii="宋体" w:hAnsi="宋体" w:cs="宋体"/>
          <w:b/>
          <w:color w:val="auto"/>
          <w:sz w:val="32"/>
          <w:szCs w:val="32"/>
        </w:rPr>
        <w:t>河南省政府采购合同（</w:t>
      </w:r>
      <w:r>
        <w:rPr>
          <w:rFonts w:hint="eastAsia" w:ascii="宋体" w:hAnsi="宋体" w:cs="宋体"/>
          <w:b/>
          <w:color w:val="auto"/>
          <w:sz w:val="32"/>
          <w:szCs w:val="32"/>
          <w:lang w:eastAsia="zh-CN"/>
        </w:rPr>
        <w:t>参考文本</w:t>
      </w:r>
      <w:r>
        <w:rPr>
          <w:rFonts w:hint="eastAsia" w:ascii="宋体" w:hAnsi="宋体" w:cs="宋体"/>
          <w:b/>
          <w:color w:val="auto"/>
          <w:sz w:val="32"/>
          <w:szCs w:val="32"/>
        </w:rPr>
        <w:t>）</w:t>
      </w:r>
      <w:bookmarkEnd w:id="1102"/>
    </w:p>
    <w:p w14:paraId="32A6FB9F">
      <w:pPr>
        <w:spacing w:line="400" w:lineRule="exact"/>
        <w:ind w:firstLine="450" w:firstLineChars="150"/>
        <w:rPr>
          <w:rFonts w:hint="eastAsia" w:ascii="宋体" w:hAnsi="宋体" w:cs="宋体"/>
          <w:color w:val="auto"/>
          <w:sz w:val="30"/>
          <w:szCs w:val="30"/>
        </w:rPr>
      </w:pPr>
    </w:p>
    <w:p w14:paraId="0B3BF9F9">
      <w:pPr>
        <w:autoSpaceDE w:val="0"/>
        <w:autoSpaceDN w:val="0"/>
        <w:adjustRightInd w:val="0"/>
        <w:spacing w:line="360" w:lineRule="auto"/>
        <w:ind w:firstLine="422"/>
        <w:jc w:val="center"/>
        <w:rPr>
          <w:rFonts w:ascii="宋体" w:hAnsi="宋体" w:cs="宋体"/>
          <w:b/>
          <w:bCs/>
          <w:szCs w:val="21"/>
        </w:rPr>
      </w:pPr>
      <w:r>
        <w:rPr>
          <w:rFonts w:hint="eastAsia" w:ascii="宋体" w:hAnsi="宋体" w:cs="宋体"/>
          <w:b/>
          <w:bCs/>
          <w:szCs w:val="21"/>
        </w:rPr>
        <w:t xml:space="preserve">    </w:t>
      </w:r>
    </w:p>
    <w:p w14:paraId="5C115667">
      <w:pPr>
        <w:autoSpaceDE w:val="0"/>
        <w:autoSpaceDN w:val="0"/>
        <w:adjustRightInd w:val="0"/>
        <w:spacing w:line="360" w:lineRule="auto"/>
        <w:ind w:firstLine="482"/>
        <w:jc w:val="center"/>
        <w:rPr>
          <w:rFonts w:ascii="宋体" w:hAnsi="宋体"/>
          <w:color w:val="000000"/>
          <w:kern w:val="0"/>
          <w:szCs w:val="21"/>
        </w:rPr>
      </w:pPr>
      <w:r>
        <w:rPr>
          <w:rFonts w:hint="eastAsia" w:ascii="宋体" w:hAnsi="宋体" w:cs="宋体"/>
          <w:b/>
          <w:bCs/>
          <w:sz w:val="24"/>
          <w:szCs w:val="24"/>
        </w:rPr>
        <w:t xml:space="preserve"> （仅为格式，以实际签订为主）</w:t>
      </w:r>
    </w:p>
    <w:p w14:paraId="432A6CE9">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7C22C1B1">
      <w:pPr>
        <w:spacing w:line="480" w:lineRule="auto"/>
        <w:jc w:val="center"/>
        <w:rPr>
          <w:rFonts w:hint="eastAsia" w:ascii="宋体" w:hAnsi="宋体" w:eastAsia="宋体" w:cs="宋体"/>
          <w:b/>
          <w:sz w:val="28"/>
          <w:szCs w:val="28"/>
        </w:rPr>
      </w:pPr>
    </w:p>
    <w:p w14:paraId="2191161E">
      <w:pPr>
        <w:spacing w:line="480" w:lineRule="auto"/>
        <w:jc w:val="center"/>
        <w:rPr>
          <w:rFonts w:hint="eastAsia" w:ascii="宋体" w:hAnsi="宋体" w:eastAsia="宋体" w:cs="宋体"/>
          <w:b/>
          <w:sz w:val="44"/>
          <w:szCs w:val="44"/>
        </w:rPr>
      </w:pPr>
    </w:p>
    <w:p w14:paraId="2C2175F7">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2A625B09">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27661FF5">
      <w:pPr>
        <w:pStyle w:val="35"/>
        <w:ind w:firstLine="0"/>
        <w:rPr>
          <w:rFonts w:hint="eastAsia" w:ascii="宋体" w:hAnsi="宋体" w:eastAsia="宋体" w:cs="宋体"/>
          <w:szCs w:val="24"/>
        </w:rPr>
      </w:pPr>
    </w:p>
    <w:p w14:paraId="25328E73">
      <w:pPr>
        <w:pStyle w:val="35"/>
        <w:ind w:firstLine="0"/>
        <w:rPr>
          <w:rFonts w:hint="eastAsia" w:ascii="宋体" w:hAnsi="宋体" w:eastAsia="宋体" w:cs="宋体"/>
          <w:szCs w:val="24"/>
        </w:rPr>
      </w:pPr>
    </w:p>
    <w:p w14:paraId="1273A1AD">
      <w:pPr>
        <w:pStyle w:val="35"/>
        <w:ind w:firstLine="0"/>
        <w:rPr>
          <w:rFonts w:hint="eastAsia" w:ascii="宋体" w:hAnsi="宋体" w:eastAsia="宋体" w:cs="宋体"/>
          <w:szCs w:val="24"/>
        </w:rPr>
      </w:pPr>
    </w:p>
    <w:p w14:paraId="34180FFC">
      <w:pPr>
        <w:pStyle w:val="35"/>
        <w:ind w:firstLine="0"/>
        <w:rPr>
          <w:rFonts w:hint="eastAsia" w:ascii="宋体" w:hAnsi="宋体" w:eastAsia="宋体" w:cs="宋体"/>
          <w:szCs w:val="24"/>
        </w:rPr>
      </w:pPr>
    </w:p>
    <w:p w14:paraId="42AA0BF9">
      <w:pPr>
        <w:pStyle w:val="35"/>
        <w:ind w:firstLine="0"/>
        <w:rPr>
          <w:rFonts w:hint="eastAsia" w:ascii="宋体" w:hAnsi="宋体" w:eastAsia="宋体" w:cs="宋体"/>
          <w:szCs w:val="24"/>
        </w:rPr>
      </w:pPr>
    </w:p>
    <w:p w14:paraId="628EFB7F">
      <w:pPr>
        <w:spacing w:before="120" w:line="22" w:lineRule="atLeast"/>
        <w:rPr>
          <w:rFonts w:hint="eastAsia" w:ascii="宋体" w:hAnsi="宋体" w:eastAsia="宋体" w:cs="宋体"/>
          <w:sz w:val="24"/>
        </w:rPr>
      </w:pPr>
    </w:p>
    <w:p w14:paraId="545D827A">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D59BC1E">
      <w:pPr>
        <w:pStyle w:val="36"/>
        <w:spacing w:before="120" w:line="22" w:lineRule="atLeast"/>
        <w:rPr>
          <w:rFonts w:hint="eastAsia" w:ascii="宋体" w:hAnsi="宋体" w:eastAsia="宋体" w:cs="宋体"/>
          <w:szCs w:val="24"/>
        </w:rPr>
      </w:pPr>
    </w:p>
    <w:p w14:paraId="120C8DB9">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06C0068">
      <w:pPr>
        <w:spacing w:before="120" w:line="22" w:lineRule="atLeast"/>
        <w:rPr>
          <w:rFonts w:hint="eastAsia" w:ascii="宋体" w:hAnsi="宋体" w:eastAsia="宋体" w:cs="宋体"/>
          <w:sz w:val="24"/>
        </w:rPr>
      </w:pPr>
    </w:p>
    <w:p w14:paraId="0F526B2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55F31CE">
      <w:pPr>
        <w:autoSpaceDE w:val="0"/>
        <w:autoSpaceDN w:val="0"/>
        <w:adjustRightInd w:val="0"/>
        <w:spacing w:line="600" w:lineRule="exact"/>
        <w:ind w:firstLine="640"/>
        <w:jc w:val="center"/>
        <w:rPr>
          <w:rFonts w:hint="eastAsia" w:ascii="宋体" w:hAnsi="宋体" w:eastAsia="宋体" w:cs="宋体"/>
          <w:sz w:val="24"/>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14:paraId="52292F23">
      <w:pPr>
        <w:pStyle w:val="35"/>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2D9F8FBD">
      <w:pPr>
        <w:spacing w:before="120" w:line="22" w:lineRule="atLeast"/>
        <w:ind w:left="0" w:leftChars="0" w:firstLine="0" w:firstLineChars="0"/>
        <w:rPr>
          <w:rFonts w:hint="eastAsia" w:ascii="楷体" w:hAnsi="楷体" w:eastAsia="楷体"/>
          <w:sz w:val="24"/>
        </w:rPr>
      </w:pPr>
    </w:p>
    <w:p w14:paraId="19C9BC4E">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3E2C0C81">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3E0DBA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4765A60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3169DEB4">
      <w:pPr>
        <w:spacing w:line="560" w:lineRule="exact"/>
        <w:ind w:firstLine="482" w:firstLineChars="200"/>
        <w:outlineLvl w:val="0"/>
        <w:rPr>
          <w:rFonts w:hint="eastAsia" w:ascii="宋体" w:hAnsi="宋体" w:eastAsia="宋体" w:cs="宋体"/>
          <w:sz w:val="24"/>
          <w:szCs w:val="24"/>
        </w:rPr>
      </w:pPr>
      <w:bookmarkStart w:id="1103" w:name="_Toc20421"/>
      <w:bookmarkStart w:id="1104" w:name="_Toc11759"/>
      <w:bookmarkStart w:id="1105" w:name="_Toc30217"/>
      <w:bookmarkStart w:id="1106" w:name="_Toc28855"/>
      <w:bookmarkStart w:id="1107" w:name="_Toc6377"/>
      <w:bookmarkStart w:id="1108" w:name="_Toc24723"/>
      <w:bookmarkStart w:id="1109" w:name="_Toc19273"/>
      <w:bookmarkStart w:id="1110" w:name="_Toc8575"/>
      <w:bookmarkStart w:id="1111" w:name="_Toc22967"/>
      <w:bookmarkStart w:id="1112" w:name="_Toc15367"/>
      <w:r>
        <w:rPr>
          <w:rFonts w:hint="eastAsia" w:ascii="宋体" w:hAnsi="宋体" w:eastAsia="宋体" w:cs="宋体"/>
          <w:b/>
          <w:sz w:val="24"/>
          <w:szCs w:val="24"/>
        </w:rPr>
        <w:t>1.1 合同组成部分</w:t>
      </w:r>
      <w:bookmarkEnd w:id="1103"/>
      <w:bookmarkEnd w:id="1104"/>
      <w:bookmarkEnd w:id="1105"/>
      <w:bookmarkEnd w:id="1106"/>
      <w:bookmarkEnd w:id="1107"/>
      <w:bookmarkEnd w:id="1108"/>
      <w:bookmarkEnd w:id="1109"/>
      <w:bookmarkEnd w:id="1110"/>
      <w:bookmarkEnd w:id="1111"/>
      <w:bookmarkEnd w:id="1112"/>
    </w:p>
    <w:p w14:paraId="00DA5B2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9700D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6C16A3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7677433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60E205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2B50B73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1D965A68">
      <w:pPr>
        <w:spacing w:line="560" w:lineRule="exact"/>
        <w:ind w:firstLine="482" w:firstLineChars="200"/>
        <w:outlineLvl w:val="0"/>
        <w:rPr>
          <w:rFonts w:hint="eastAsia" w:ascii="宋体" w:hAnsi="宋体" w:eastAsia="宋体" w:cs="宋体"/>
          <w:b/>
          <w:sz w:val="24"/>
          <w:szCs w:val="24"/>
        </w:rPr>
      </w:pPr>
      <w:bookmarkStart w:id="1113" w:name="_Toc6773"/>
      <w:bookmarkStart w:id="1114" w:name="_Toc27701"/>
      <w:bookmarkStart w:id="1115" w:name="_Toc22185"/>
      <w:bookmarkStart w:id="1116" w:name="_Toc18585"/>
      <w:bookmarkStart w:id="1117" w:name="_Toc6311"/>
      <w:bookmarkStart w:id="1118" w:name="_Toc20647"/>
      <w:bookmarkStart w:id="1119" w:name="_Toc32724"/>
      <w:bookmarkStart w:id="1120" w:name="_Toc2918"/>
      <w:bookmarkStart w:id="1121" w:name="_Toc29654"/>
      <w:bookmarkStart w:id="1122" w:name="_Toc15524"/>
      <w:r>
        <w:rPr>
          <w:rFonts w:hint="eastAsia" w:ascii="宋体" w:hAnsi="宋体" w:eastAsia="宋体" w:cs="宋体"/>
          <w:b/>
          <w:sz w:val="24"/>
          <w:szCs w:val="24"/>
        </w:rPr>
        <w:t>1.2 标的</w:t>
      </w:r>
      <w:bookmarkEnd w:id="1113"/>
      <w:bookmarkEnd w:id="1114"/>
      <w:bookmarkEnd w:id="1115"/>
      <w:bookmarkEnd w:id="1116"/>
      <w:bookmarkEnd w:id="1117"/>
      <w:bookmarkEnd w:id="1118"/>
      <w:bookmarkEnd w:id="1119"/>
      <w:bookmarkEnd w:id="1120"/>
      <w:bookmarkEnd w:id="1121"/>
      <w:bookmarkEnd w:id="1122"/>
    </w:p>
    <w:p w14:paraId="3E2B8B36">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23A8AE0">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B2829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52A489">
      <w:pPr>
        <w:spacing w:line="560" w:lineRule="exact"/>
        <w:ind w:firstLine="482" w:firstLineChars="200"/>
        <w:outlineLvl w:val="0"/>
        <w:rPr>
          <w:rFonts w:hint="eastAsia" w:ascii="宋体" w:hAnsi="宋体" w:eastAsia="宋体" w:cs="宋体"/>
          <w:b/>
          <w:sz w:val="24"/>
          <w:szCs w:val="24"/>
        </w:rPr>
      </w:pPr>
      <w:bookmarkStart w:id="1123" w:name="_Toc22657"/>
      <w:bookmarkStart w:id="1124" w:name="_Toc4929"/>
      <w:bookmarkStart w:id="1125" w:name="_Toc6213"/>
      <w:bookmarkStart w:id="1126" w:name="_Toc30004"/>
      <w:bookmarkStart w:id="1127" w:name="_Toc21124"/>
      <w:bookmarkStart w:id="1128" w:name="_Toc13918"/>
      <w:bookmarkStart w:id="1129" w:name="_Toc14990"/>
      <w:bookmarkStart w:id="1130" w:name="_Toc1825"/>
      <w:bookmarkStart w:id="1131" w:name="_Toc5635"/>
      <w:bookmarkStart w:id="1132" w:name="_Toc1386"/>
      <w:r>
        <w:rPr>
          <w:rFonts w:hint="eastAsia" w:ascii="宋体" w:hAnsi="宋体" w:eastAsia="宋体" w:cs="宋体"/>
          <w:b/>
          <w:sz w:val="24"/>
          <w:szCs w:val="24"/>
        </w:rPr>
        <w:t>1.3 价款</w:t>
      </w:r>
      <w:bookmarkEnd w:id="1123"/>
      <w:bookmarkEnd w:id="1124"/>
      <w:bookmarkEnd w:id="1125"/>
      <w:bookmarkEnd w:id="1126"/>
      <w:bookmarkEnd w:id="1127"/>
      <w:bookmarkEnd w:id="1128"/>
      <w:bookmarkEnd w:id="1129"/>
      <w:bookmarkEnd w:id="1130"/>
      <w:bookmarkEnd w:id="1131"/>
      <w:bookmarkEnd w:id="1132"/>
    </w:p>
    <w:p w14:paraId="0F40DE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331018BA">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5C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BB421CA">
            <w:pPr>
              <w:pStyle w:val="37"/>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454BAA19">
            <w:pPr>
              <w:pStyle w:val="37"/>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7B306400">
            <w:pPr>
              <w:pStyle w:val="37"/>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11C7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171DF30">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7A2194C5">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969BE2B">
            <w:pPr>
              <w:pStyle w:val="37"/>
              <w:spacing w:line="560" w:lineRule="exact"/>
              <w:ind w:firstLine="200"/>
              <w:jc w:val="center"/>
              <w:rPr>
                <w:rFonts w:hint="eastAsia" w:ascii="宋体" w:hAnsi="宋体" w:eastAsia="宋体" w:cs="宋体"/>
                <w:color w:val="000000"/>
                <w:kern w:val="2"/>
                <w:sz w:val="24"/>
                <w:szCs w:val="24"/>
                <w:lang w:val="en-US" w:eastAsia="zh-CN"/>
              </w:rPr>
            </w:pPr>
          </w:p>
        </w:tc>
      </w:tr>
      <w:tr w14:paraId="7D5E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645D6E2">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0D574FC">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8C03752">
            <w:pPr>
              <w:pStyle w:val="37"/>
              <w:spacing w:line="560" w:lineRule="exact"/>
              <w:ind w:firstLine="200"/>
              <w:jc w:val="center"/>
              <w:rPr>
                <w:rFonts w:hint="eastAsia" w:ascii="宋体" w:hAnsi="宋体" w:eastAsia="宋体" w:cs="宋体"/>
                <w:color w:val="000000"/>
                <w:kern w:val="2"/>
                <w:sz w:val="24"/>
                <w:szCs w:val="24"/>
                <w:lang w:val="en-US" w:eastAsia="zh-CN"/>
              </w:rPr>
            </w:pPr>
          </w:p>
        </w:tc>
      </w:tr>
      <w:tr w14:paraId="6E0A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BF42A9">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7261B3B1">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11411023">
            <w:pPr>
              <w:pStyle w:val="37"/>
              <w:spacing w:line="560" w:lineRule="exact"/>
              <w:ind w:firstLine="200"/>
              <w:jc w:val="center"/>
              <w:rPr>
                <w:rFonts w:hint="eastAsia" w:ascii="宋体" w:hAnsi="宋体" w:eastAsia="宋体" w:cs="宋体"/>
                <w:color w:val="000000"/>
                <w:kern w:val="2"/>
                <w:sz w:val="24"/>
                <w:szCs w:val="24"/>
                <w:lang w:val="en-US" w:eastAsia="zh-CN"/>
              </w:rPr>
            </w:pPr>
          </w:p>
        </w:tc>
      </w:tr>
      <w:tr w14:paraId="7EDB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1D3740">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4C7D994A">
            <w:pPr>
              <w:pStyle w:val="37"/>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32FF40C">
            <w:pPr>
              <w:pStyle w:val="37"/>
              <w:spacing w:line="560" w:lineRule="exact"/>
              <w:ind w:firstLine="200"/>
              <w:jc w:val="center"/>
              <w:rPr>
                <w:rFonts w:hint="eastAsia" w:ascii="宋体" w:hAnsi="宋体" w:eastAsia="宋体" w:cs="宋体"/>
                <w:color w:val="000000"/>
                <w:kern w:val="2"/>
                <w:sz w:val="24"/>
                <w:szCs w:val="24"/>
                <w:lang w:val="en-US" w:eastAsia="zh-CN"/>
              </w:rPr>
            </w:pPr>
          </w:p>
        </w:tc>
      </w:tr>
      <w:tr w14:paraId="07EC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5BFA6AF">
            <w:pPr>
              <w:pStyle w:val="37"/>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2A5A0B49">
            <w:pPr>
              <w:pStyle w:val="37"/>
              <w:spacing w:line="560" w:lineRule="exact"/>
              <w:ind w:firstLine="200"/>
              <w:jc w:val="center"/>
              <w:rPr>
                <w:rFonts w:hint="eastAsia" w:ascii="宋体" w:hAnsi="宋体" w:eastAsia="宋体" w:cs="宋体"/>
                <w:color w:val="000000"/>
                <w:kern w:val="2"/>
                <w:sz w:val="24"/>
                <w:szCs w:val="24"/>
                <w:lang w:val="en-US" w:eastAsia="zh-CN"/>
              </w:rPr>
            </w:pPr>
          </w:p>
        </w:tc>
      </w:tr>
    </w:tbl>
    <w:p w14:paraId="558C7E95">
      <w:pPr>
        <w:spacing w:line="560" w:lineRule="exact"/>
        <w:ind w:firstLine="482" w:firstLineChars="200"/>
        <w:outlineLvl w:val="0"/>
        <w:rPr>
          <w:rFonts w:hint="eastAsia" w:ascii="宋体" w:hAnsi="宋体" w:eastAsia="宋体" w:cs="宋体"/>
          <w:b/>
          <w:sz w:val="24"/>
          <w:szCs w:val="24"/>
        </w:rPr>
      </w:pPr>
      <w:bookmarkStart w:id="1133" w:name="_Toc17191"/>
      <w:bookmarkStart w:id="1134" w:name="_Toc26916"/>
      <w:bookmarkStart w:id="1135" w:name="_Toc12469"/>
      <w:bookmarkStart w:id="1136" w:name="_Toc30158"/>
      <w:bookmarkStart w:id="1137" w:name="_Toc14993"/>
      <w:bookmarkStart w:id="1138" w:name="_Toc32541"/>
      <w:bookmarkStart w:id="1139" w:name="_Toc30506"/>
      <w:bookmarkStart w:id="1140" w:name="_Toc18456"/>
      <w:bookmarkStart w:id="1141" w:name="_Toc28062"/>
      <w:r>
        <w:rPr>
          <w:rFonts w:hint="eastAsia" w:ascii="宋体" w:hAnsi="宋体" w:eastAsia="宋体" w:cs="宋体"/>
          <w:b/>
          <w:sz w:val="24"/>
          <w:szCs w:val="24"/>
        </w:rPr>
        <w:t>1.4 付款方式和发票开具方式</w:t>
      </w:r>
      <w:bookmarkEnd w:id="1133"/>
      <w:bookmarkEnd w:id="1134"/>
      <w:bookmarkEnd w:id="1135"/>
      <w:bookmarkEnd w:id="1136"/>
      <w:bookmarkEnd w:id="1137"/>
      <w:bookmarkEnd w:id="1138"/>
      <w:bookmarkEnd w:id="1139"/>
      <w:bookmarkEnd w:id="1140"/>
      <w:bookmarkEnd w:id="1141"/>
    </w:p>
    <w:p w14:paraId="5BFDA8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F647C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F19A6B">
      <w:pPr>
        <w:spacing w:line="560" w:lineRule="exact"/>
        <w:ind w:firstLine="482" w:firstLineChars="200"/>
        <w:outlineLvl w:val="0"/>
        <w:rPr>
          <w:rFonts w:hint="eastAsia" w:ascii="宋体" w:hAnsi="宋体" w:eastAsia="宋体" w:cs="宋体"/>
          <w:b/>
          <w:sz w:val="24"/>
          <w:szCs w:val="24"/>
        </w:rPr>
      </w:pPr>
      <w:bookmarkStart w:id="1142" w:name="_Toc12482"/>
      <w:bookmarkStart w:id="1143" w:name="_Toc31421"/>
      <w:bookmarkStart w:id="1144" w:name="_Toc21213"/>
      <w:bookmarkStart w:id="1145" w:name="_Toc28063"/>
      <w:bookmarkStart w:id="1146" w:name="_Toc18878"/>
      <w:bookmarkStart w:id="1147" w:name="_Toc3625"/>
      <w:bookmarkStart w:id="1148" w:name="_Toc8772"/>
      <w:bookmarkStart w:id="1149" w:name="_Toc4760"/>
      <w:bookmarkStart w:id="1150" w:name="_Toc11108"/>
      <w:bookmarkStart w:id="1151" w:name="_Toc4422"/>
      <w:r>
        <w:rPr>
          <w:rFonts w:hint="eastAsia" w:ascii="宋体" w:hAnsi="宋体" w:eastAsia="宋体" w:cs="宋体"/>
          <w:b/>
          <w:sz w:val="24"/>
          <w:szCs w:val="24"/>
        </w:rPr>
        <w:t>1.5 履行期限、地点和方式</w:t>
      </w:r>
      <w:bookmarkEnd w:id="1142"/>
      <w:bookmarkEnd w:id="1143"/>
      <w:bookmarkEnd w:id="1144"/>
      <w:bookmarkEnd w:id="1145"/>
      <w:bookmarkEnd w:id="1146"/>
      <w:bookmarkEnd w:id="1147"/>
      <w:bookmarkEnd w:id="1148"/>
      <w:bookmarkEnd w:id="1149"/>
      <w:bookmarkEnd w:id="1150"/>
      <w:bookmarkEnd w:id="1151"/>
    </w:p>
    <w:p w14:paraId="7AB51B3D">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DD97E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B5C2C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226893">
      <w:pPr>
        <w:spacing w:line="560" w:lineRule="exact"/>
        <w:ind w:firstLine="482" w:firstLineChars="200"/>
        <w:outlineLvl w:val="0"/>
        <w:rPr>
          <w:rFonts w:hint="eastAsia" w:ascii="宋体" w:hAnsi="宋体" w:eastAsia="宋体" w:cs="宋体"/>
          <w:sz w:val="24"/>
          <w:szCs w:val="24"/>
          <w:u w:val="single"/>
        </w:rPr>
      </w:pPr>
      <w:bookmarkStart w:id="1152" w:name="_Toc14030"/>
      <w:bookmarkStart w:id="1153" w:name="_Toc3079"/>
      <w:bookmarkStart w:id="1154" w:name="_Toc15746"/>
      <w:bookmarkStart w:id="1155" w:name="_Toc5698"/>
      <w:bookmarkStart w:id="1156" w:name="_Toc2375"/>
      <w:bookmarkStart w:id="1157" w:name="_Toc8076"/>
      <w:bookmarkStart w:id="1158" w:name="_Toc24662"/>
      <w:bookmarkStart w:id="1159" w:name="_Toc8586"/>
      <w:bookmarkStart w:id="1160" w:name="_Toc14751"/>
      <w:bookmarkStart w:id="1161" w:name="_Toc4800"/>
      <w:r>
        <w:rPr>
          <w:rFonts w:hint="eastAsia" w:ascii="宋体" w:hAnsi="宋体" w:eastAsia="宋体" w:cs="宋体"/>
          <w:b/>
          <w:sz w:val="24"/>
          <w:szCs w:val="24"/>
        </w:rPr>
        <w:t>1.6 违约责任</w:t>
      </w:r>
      <w:bookmarkEnd w:id="1152"/>
      <w:bookmarkEnd w:id="1153"/>
      <w:bookmarkEnd w:id="1154"/>
      <w:bookmarkEnd w:id="1155"/>
      <w:bookmarkEnd w:id="1156"/>
      <w:bookmarkEnd w:id="1157"/>
      <w:bookmarkEnd w:id="1158"/>
      <w:bookmarkEnd w:id="1159"/>
      <w:bookmarkEnd w:id="1160"/>
      <w:bookmarkEnd w:id="1161"/>
    </w:p>
    <w:p w14:paraId="053B0FE0">
      <w:pPr>
        <w:spacing w:line="560" w:lineRule="exact"/>
        <w:ind w:firstLine="480" w:firstLineChars="200"/>
        <w:rPr>
          <w:rFonts w:hint="eastAsia" w:ascii="宋体" w:hAnsi="宋体" w:eastAsia="宋体" w:cs="宋体"/>
          <w:sz w:val="24"/>
          <w:szCs w:val="24"/>
        </w:rPr>
      </w:pPr>
      <w:bookmarkStart w:id="1162" w:name="_Toc32454"/>
      <w:bookmarkStart w:id="1163" w:name="_Toc26807"/>
      <w:bookmarkStart w:id="1164" w:name="_Toc30329"/>
      <w:bookmarkStart w:id="1165" w:name="_Toc9497"/>
      <w:bookmarkStart w:id="1166" w:name="_Toc18683"/>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18AF3EE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5A468EB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A7017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D4D6E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EC78E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7DF12EFB">
      <w:pPr>
        <w:spacing w:line="560" w:lineRule="exact"/>
        <w:ind w:firstLine="482" w:firstLineChars="200"/>
        <w:outlineLvl w:val="0"/>
        <w:rPr>
          <w:rFonts w:hint="eastAsia" w:ascii="宋体" w:hAnsi="宋体" w:eastAsia="宋体" w:cs="宋体"/>
          <w:b/>
          <w:sz w:val="24"/>
          <w:szCs w:val="24"/>
        </w:rPr>
      </w:pPr>
      <w:bookmarkStart w:id="1167" w:name="_Toc21807"/>
      <w:bookmarkStart w:id="1168" w:name="_Toc28830"/>
      <w:bookmarkStart w:id="1169" w:name="_Toc26031"/>
      <w:bookmarkStart w:id="1170" w:name="_Toc27363"/>
      <w:bookmarkStart w:id="1171" w:name="_Toc29062"/>
      <w:r>
        <w:rPr>
          <w:rFonts w:hint="eastAsia" w:ascii="宋体" w:hAnsi="宋体" w:eastAsia="宋体" w:cs="宋体"/>
          <w:b/>
          <w:sz w:val="24"/>
          <w:szCs w:val="24"/>
        </w:rPr>
        <w:t>1.7 合同争议的解决</w:t>
      </w:r>
      <w:bookmarkEnd w:id="1162"/>
      <w:bookmarkEnd w:id="1163"/>
      <w:bookmarkEnd w:id="1164"/>
      <w:bookmarkEnd w:id="1165"/>
      <w:bookmarkEnd w:id="1166"/>
      <w:bookmarkEnd w:id="1167"/>
      <w:bookmarkEnd w:id="1168"/>
      <w:bookmarkEnd w:id="1169"/>
      <w:bookmarkEnd w:id="1170"/>
      <w:bookmarkEnd w:id="1171"/>
    </w:p>
    <w:p w14:paraId="11404DA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1E2E9F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7E4F07A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6BA9DDD8">
      <w:pPr>
        <w:spacing w:line="560" w:lineRule="exact"/>
        <w:ind w:firstLine="482" w:firstLineChars="200"/>
        <w:outlineLvl w:val="0"/>
        <w:rPr>
          <w:rFonts w:hint="eastAsia" w:ascii="宋体" w:hAnsi="宋体" w:eastAsia="宋体" w:cs="宋体"/>
          <w:b/>
          <w:sz w:val="24"/>
          <w:szCs w:val="24"/>
        </w:rPr>
      </w:pPr>
      <w:bookmarkStart w:id="1172" w:name="_Toc31865"/>
      <w:bookmarkStart w:id="1173" w:name="_Toc23437"/>
      <w:bookmarkStart w:id="1174" w:name="_Toc23784"/>
      <w:bookmarkStart w:id="1175" w:name="_Toc16567"/>
      <w:bookmarkStart w:id="1176" w:name="_Toc16417"/>
      <w:bookmarkStart w:id="1177" w:name="_Toc26227"/>
      <w:bookmarkStart w:id="1178" w:name="_Toc22645"/>
      <w:bookmarkStart w:id="1179" w:name="_Toc15827"/>
      <w:bookmarkStart w:id="1180" w:name="_Toc5611"/>
      <w:bookmarkStart w:id="1181" w:name="_Toc12273"/>
      <w:r>
        <w:rPr>
          <w:rFonts w:hint="eastAsia" w:ascii="宋体" w:hAnsi="宋体" w:eastAsia="宋体" w:cs="宋体"/>
          <w:b/>
          <w:sz w:val="24"/>
          <w:szCs w:val="24"/>
        </w:rPr>
        <w:t>1.8 合同生效</w:t>
      </w:r>
      <w:bookmarkEnd w:id="1172"/>
      <w:bookmarkEnd w:id="1173"/>
      <w:bookmarkEnd w:id="1174"/>
      <w:bookmarkEnd w:id="1175"/>
      <w:bookmarkEnd w:id="1176"/>
      <w:bookmarkEnd w:id="1177"/>
      <w:bookmarkEnd w:id="1178"/>
      <w:bookmarkEnd w:id="1179"/>
      <w:bookmarkEnd w:id="1180"/>
      <w:bookmarkEnd w:id="1181"/>
    </w:p>
    <w:p w14:paraId="2310FA50">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1D6C4082">
      <w:pPr>
        <w:autoSpaceDE w:val="0"/>
        <w:autoSpaceDN w:val="0"/>
        <w:adjustRightInd w:val="0"/>
        <w:spacing w:line="560" w:lineRule="exact"/>
        <w:rPr>
          <w:rFonts w:hint="eastAsia" w:ascii="宋体" w:hAnsi="宋体" w:eastAsia="宋体" w:cs="宋体"/>
          <w:sz w:val="24"/>
          <w:szCs w:val="24"/>
          <w:lang w:val="zh-CN"/>
        </w:rPr>
      </w:pPr>
    </w:p>
    <w:p w14:paraId="6E42431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0D31A3F7">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04F4B1EF">
      <w:pPr>
        <w:autoSpaceDE w:val="0"/>
        <w:autoSpaceDN w:val="0"/>
        <w:adjustRightInd w:val="0"/>
        <w:spacing w:line="560" w:lineRule="exact"/>
        <w:rPr>
          <w:rFonts w:hint="eastAsia" w:ascii="宋体" w:hAnsi="宋体" w:eastAsia="宋体" w:cs="宋体"/>
          <w:sz w:val="24"/>
          <w:szCs w:val="24"/>
          <w:lang w:val="zh-CN"/>
        </w:rPr>
      </w:pPr>
    </w:p>
    <w:p w14:paraId="70B74B87">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3E70ABBF">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11BE2AD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49841706">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6ADF701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73656029">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4104005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5F48B14D">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317FFCBE">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5838B1E5">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1BC385FC">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49FDFC71">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1A6922CA">
      <w:pPr>
        <w:widowControl/>
        <w:spacing w:line="560" w:lineRule="exact"/>
        <w:jc w:val="left"/>
        <w:rPr>
          <w:rFonts w:hint="eastAsia" w:ascii="宋体" w:hAnsi="宋体" w:eastAsia="宋体" w:cs="宋体"/>
          <w:b/>
          <w:sz w:val="24"/>
          <w:szCs w:val="24"/>
        </w:rPr>
      </w:pPr>
      <w:bookmarkStart w:id="1182" w:name="_Toc331685783"/>
    </w:p>
    <w:p w14:paraId="4420E353">
      <w:pPr>
        <w:widowControl/>
        <w:spacing w:line="560" w:lineRule="exact"/>
        <w:jc w:val="left"/>
        <w:rPr>
          <w:rFonts w:hint="eastAsia" w:ascii="宋体" w:hAnsi="宋体" w:eastAsia="宋体" w:cs="宋体"/>
          <w:b/>
          <w:sz w:val="24"/>
          <w:szCs w:val="24"/>
        </w:rPr>
      </w:pPr>
    </w:p>
    <w:p w14:paraId="0EF83CFD">
      <w:pPr>
        <w:widowControl/>
        <w:spacing w:line="560" w:lineRule="exact"/>
        <w:jc w:val="left"/>
        <w:rPr>
          <w:rFonts w:hint="eastAsia" w:ascii="宋体" w:hAnsi="宋体" w:eastAsia="宋体" w:cs="宋体"/>
          <w:b/>
          <w:kern w:val="0"/>
          <w:sz w:val="24"/>
          <w:szCs w:val="24"/>
        </w:rPr>
      </w:pPr>
    </w:p>
    <w:p w14:paraId="3E94F202">
      <w:pPr>
        <w:widowControl/>
        <w:spacing w:line="560" w:lineRule="exact"/>
        <w:jc w:val="left"/>
        <w:rPr>
          <w:rFonts w:hint="eastAsia" w:ascii="宋体" w:hAnsi="宋体" w:eastAsia="宋体" w:cs="宋体"/>
          <w:b/>
          <w:kern w:val="0"/>
          <w:sz w:val="24"/>
          <w:szCs w:val="24"/>
        </w:rPr>
      </w:pPr>
    </w:p>
    <w:p w14:paraId="75747B2D">
      <w:pPr>
        <w:pStyle w:val="35"/>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1182"/>
    </w:p>
    <w:p w14:paraId="0B689284">
      <w:pPr>
        <w:spacing w:line="560" w:lineRule="exact"/>
        <w:ind w:firstLine="482" w:firstLineChars="200"/>
        <w:outlineLvl w:val="0"/>
        <w:rPr>
          <w:rFonts w:hint="eastAsia" w:ascii="宋体" w:hAnsi="宋体" w:eastAsia="宋体" w:cs="宋体"/>
          <w:b/>
          <w:sz w:val="24"/>
          <w:szCs w:val="24"/>
        </w:rPr>
      </w:pPr>
      <w:bookmarkStart w:id="1183" w:name="_Toc25079"/>
      <w:bookmarkStart w:id="1184" w:name="_Toc259093669"/>
      <w:bookmarkStart w:id="1185" w:name="_Toc27798"/>
      <w:bookmarkStart w:id="1186" w:name="_Toc20846"/>
      <w:bookmarkStart w:id="1187" w:name="_Ref467379195"/>
      <w:bookmarkStart w:id="1188" w:name="_Ref467378499"/>
      <w:bookmarkStart w:id="1189" w:name="_Ref467378463"/>
      <w:bookmarkStart w:id="1190" w:name="_Ref467378404"/>
      <w:bookmarkStart w:id="1191" w:name="_Toc487900349"/>
      <w:bookmarkStart w:id="1192" w:name="_Ref467379094"/>
      <w:bookmarkStart w:id="1193" w:name="_Toc17953"/>
      <w:bookmarkStart w:id="1194" w:name="_Toc1346"/>
      <w:bookmarkStart w:id="1195" w:name="_Toc5228"/>
      <w:bookmarkStart w:id="1196" w:name="_Ref467379205"/>
      <w:bookmarkStart w:id="1197" w:name="_Toc31297"/>
      <w:bookmarkStart w:id="1198" w:name="_Ref467379225"/>
      <w:bookmarkStart w:id="1199" w:name="_Ref467379214"/>
      <w:bookmarkStart w:id="1200" w:name="_Ref467379109"/>
      <w:bookmarkStart w:id="1201" w:name="_Toc19680"/>
      <w:bookmarkStart w:id="1202" w:name="_Toc14021"/>
      <w:bookmarkStart w:id="1203" w:name="_Toc31392"/>
      <w:bookmarkStart w:id="1204" w:name="_Toc279701240"/>
      <w:bookmarkStart w:id="1205" w:name="_Ref467379101"/>
      <w:r>
        <w:rPr>
          <w:rFonts w:hint="eastAsia" w:ascii="宋体" w:hAnsi="宋体" w:eastAsia="宋体" w:cs="宋体"/>
          <w:b/>
          <w:sz w:val="24"/>
          <w:szCs w:val="24"/>
        </w:rPr>
        <w:t>2.1 定义</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1280CA5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393B43E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5078B3A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5E2F80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47A89CB1">
      <w:pPr>
        <w:spacing w:line="560" w:lineRule="exact"/>
        <w:ind w:firstLine="480" w:firstLineChars="200"/>
        <w:rPr>
          <w:rFonts w:hint="eastAsia" w:ascii="宋体" w:hAnsi="宋体" w:eastAsia="宋体" w:cs="宋体"/>
          <w:sz w:val="24"/>
          <w:szCs w:val="24"/>
        </w:rPr>
      </w:pPr>
      <w:bookmarkStart w:id="1206" w:name="_Ref467378840"/>
      <w:r>
        <w:rPr>
          <w:rFonts w:hint="eastAsia" w:ascii="宋体" w:hAnsi="宋体" w:eastAsia="宋体" w:cs="宋体"/>
          <w:sz w:val="24"/>
          <w:szCs w:val="24"/>
        </w:rPr>
        <w:t>2.1.4 “甲方”系指与中标供应商签署合同的采购人</w:t>
      </w:r>
      <w:bookmarkEnd w:id="1206"/>
      <w:r>
        <w:rPr>
          <w:rFonts w:hint="eastAsia" w:ascii="宋体" w:hAnsi="宋体" w:eastAsia="宋体" w:cs="宋体"/>
          <w:sz w:val="24"/>
          <w:szCs w:val="24"/>
        </w:rPr>
        <w:t>；采购人委托采购代理机构代表其与乙方签订合同的，采购人的授权委托书作为合同附件。</w:t>
      </w:r>
    </w:p>
    <w:p w14:paraId="1CEDD8F7">
      <w:pPr>
        <w:spacing w:line="560" w:lineRule="exact"/>
        <w:ind w:firstLine="480" w:firstLineChars="200"/>
        <w:rPr>
          <w:rFonts w:hint="eastAsia" w:ascii="宋体" w:hAnsi="宋体" w:eastAsia="宋体" w:cs="宋体"/>
          <w:sz w:val="24"/>
          <w:szCs w:val="24"/>
        </w:rPr>
      </w:pPr>
      <w:bookmarkStart w:id="1207" w:name="_Ref467379400"/>
      <w:r>
        <w:rPr>
          <w:rFonts w:hint="eastAsia" w:ascii="宋体" w:hAnsi="宋体" w:eastAsia="宋体" w:cs="宋体"/>
          <w:sz w:val="24"/>
          <w:szCs w:val="24"/>
        </w:rPr>
        <w:t>2.1.5 “乙方”系指根据合同约定提供服务的中标供应商</w:t>
      </w:r>
      <w:bookmarkEnd w:id="1207"/>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0C10CF">
      <w:pPr>
        <w:spacing w:line="560" w:lineRule="exact"/>
        <w:ind w:firstLine="480" w:firstLineChars="200"/>
        <w:rPr>
          <w:rFonts w:hint="eastAsia" w:ascii="宋体" w:hAnsi="宋体" w:eastAsia="宋体" w:cs="宋体"/>
          <w:sz w:val="24"/>
          <w:szCs w:val="24"/>
        </w:rPr>
      </w:pPr>
      <w:bookmarkStart w:id="1208" w:name="_Ref467379436"/>
      <w:r>
        <w:rPr>
          <w:rFonts w:hint="eastAsia" w:ascii="宋体" w:hAnsi="宋体" w:eastAsia="宋体" w:cs="宋体"/>
          <w:sz w:val="24"/>
          <w:szCs w:val="24"/>
        </w:rPr>
        <w:t>2.1.6 “现场”系指合同约定提供服务的地点。</w:t>
      </w:r>
      <w:bookmarkEnd w:id="1208"/>
    </w:p>
    <w:p w14:paraId="64912726">
      <w:pPr>
        <w:spacing w:line="560" w:lineRule="exact"/>
        <w:ind w:firstLine="482" w:firstLineChars="200"/>
        <w:outlineLvl w:val="0"/>
        <w:rPr>
          <w:rFonts w:hint="eastAsia" w:ascii="宋体" w:hAnsi="宋体" w:eastAsia="宋体" w:cs="宋体"/>
          <w:b/>
          <w:sz w:val="24"/>
          <w:szCs w:val="24"/>
        </w:rPr>
      </w:pPr>
      <w:bookmarkStart w:id="1209" w:name="_Toc30032"/>
      <w:bookmarkStart w:id="1210" w:name="_Toc279701241"/>
      <w:bookmarkStart w:id="1211" w:name="_Toc3769"/>
      <w:bookmarkStart w:id="1212" w:name="_Toc30998"/>
      <w:bookmarkStart w:id="1213" w:name="_Toc19539"/>
      <w:bookmarkStart w:id="1214" w:name="_Toc7473"/>
      <w:bookmarkStart w:id="1215" w:name="_Toc23289"/>
      <w:bookmarkStart w:id="1216" w:name="_Toc16752"/>
      <w:bookmarkStart w:id="1217" w:name="_Toc25747"/>
      <w:bookmarkStart w:id="1218" w:name="_Toc31402"/>
      <w:bookmarkStart w:id="1219" w:name="_Toc21986"/>
      <w:bookmarkStart w:id="1220" w:name="_Toc487900350"/>
      <w:bookmarkStart w:id="1221" w:name="_Toc259093670"/>
      <w:r>
        <w:rPr>
          <w:rFonts w:hint="eastAsia" w:ascii="宋体" w:hAnsi="宋体" w:eastAsia="宋体" w:cs="宋体"/>
          <w:b/>
          <w:sz w:val="24"/>
          <w:szCs w:val="24"/>
        </w:rPr>
        <w:t>2.2 技术规范</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16A574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C92DBB">
      <w:pPr>
        <w:spacing w:line="560" w:lineRule="exact"/>
        <w:ind w:firstLine="482" w:firstLineChars="200"/>
        <w:outlineLvl w:val="0"/>
        <w:rPr>
          <w:rFonts w:hint="eastAsia" w:ascii="宋体" w:hAnsi="宋体" w:eastAsia="宋体" w:cs="宋体"/>
          <w:b/>
          <w:sz w:val="24"/>
          <w:szCs w:val="24"/>
        </w:rPr>
      </w:pPr>
      <w:bookmarkStart w:id="1222" w:name="_Toc14743"/>
      <w:bookmarkStart w:id="1223" w:name="_Toc4133"/>
      <w:bookmarkStart w:id="1224" w:name="_Toc12412"/>
      <w:bookmarkStart w:id="1225" w:name="_Toc487900351"/>
      <w:bookmarkStart w:id="1226" w:name="_Toc26767"/>
      <w:bookmarkStart w:id="1227" w:name="_Toc22927"/>
      <w:bookmarkStart w:id="1228" w:name="_Toc13673"/>
      <w:bookmarkStart w:id="1229" w:name="_Toc279701242"/>
      <w:bookmarkStart w:id="1230" w:name="_Toc9161"/>
      <w:bookmarkStart w:id="1231" w:name="_Toc12220"/>
      <w:bookmarkStart w:id="1232" w:name="_Toc28918"/>
      <w:bookmarkStart w:id="1233" w:name="_Toc27945"/>
      <w:bookmarkStart w:id="1234" w:name="_Toc259093671"/>
      <w:r>
        <w:rPr>
          <w:rFonts w:hint="eastAsia" w:ascii="宋体" w:hAnsi="宋体" w:eastAsia="宋体" w:cs="宋体"/>
          <w:b/>
          <w:sz w:val="24"/>
          <w:szCs w:val="24"/>
        </w:rPr>
        <w:t>2.3 知识产权</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4A105D9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1CC734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1BFF89DF">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4CC1D331">
      <w:pPr>
        <w:spacing w:line="560" w:lineRule="exact"/>
        <w:ind w:firstLine="480" w:firstLineChars="200"/>
        <w:rPr>
          <w:rFonts w:hint="eastAsia" w:ascii="宋体" w:hAnsi="宋体" w:eastAsia="宋体" w:cs="宋体"/>
          <w:sz w:val="24"/>
          <w:szCs w:val="24"/>
        </w:rPr>
      </w:pPr>
      <w:bookmarkStart w:id="1235" w:name="_Ref467379657"/>
      <w:r>
        <w:rPr>
          <w:rFonts w:hint="eastAsia" w:ascii="宋体" w:hAnsi="宋体" w:eastAsia="宋体" w:cs="宋体"/>
          <w:sz w:val="24"/>
          <w:szCs w:val="24"/>
        </w:rPr>
        <w:t>2.4.1</w:t>
      </w:r>
      <w:bookmarkEnd w:id="1235"/>
      <w:bookmarkStart w:id="1236" w:name="_Toc186431854"/>
      <w:bookmarkStart w:id="1237" w:name="_Toc279701247"/>
      <w:bookmarkStart w:id="1238" w:name="_Toc487900357"/>
      <w:bookmarkStart w:id="1239" w:name="_Toc259093676"/>
      <w:bookmarkStart w:id="1240" w:name="_Ref467379807"/>
      <w:bookmarkStart w:id="1241" w:name="_Ref467379793"/>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6C24078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1236"/>
      <w:bookmarkStart w:id="1242" w:name="_Toc186431855"/>
      <w:r>
        <w:rPr>
          <w:rFonts w:hint="eastAsia" w:ascii="宋体" w:hAnsi="宋体" w:eastAsia="宋体" w:cs="宋体"/>
          <w:sz w:val="24"/>
          <w:szCs w:val="24"/>
        </w:rPr>
        <w:t>。</w:t>
      </w:r>
    </w:p>
    <w:bookmarkEnd w:id="1242"/>
    <w:p w14:paraId="3BA8578E">
      <w:pPr>
        <w:spacing w:line="560" w:lineRule="exact"/>
        <w:ind w:firstLine="482" w:firstLineChars="200"/>
        <w:outlineLvl w:val="0"/>
        <w:rPr>
          <w:rFonts w:hint="eastAsia" w:ascii="宋体" w:hAnsi="宋体" w:eastAsia="宋体" w:cs="宋体"/>
          <w:b/>
          <w:sz w:val="24"/>
          <w:szCs w:val="24"/>
        </w:rPr>
      </w:pPr>
      <w:bookmarkStart w:id="1243" w:name="_Toc19359"/>
      <w:bookmarkStart w:id="1244" w:name="_Toc22011"/>
      <w:bookmarkStart w:id="1245" w:name="_Toc17432"/>
      <w:bookmarkStart w:id="1246" w:name="_Toc17638"/>
      <w:bookmarkStart w:id="1247" w:name="_Toc31233"/>
      <w:bookmarkStart w:id="1248" w:name="_Toc12535"/>
      <w:bookmarkStart w:id="1249" w:name="_Toc15447"/>
      <w:bookmarkStart w:id="1250" w:name="_Toc3"/>
      <w:bookmarkStart w:id="1251" w:name="_Toc32670"/>
      <w:bookmarkStart w:id="1252" w:name="_Toc26555"/>
      <w:r>
        <w:rPr>
          <w:rFonts w:hint="eastAsia" w:ascii="宋体" w:hAnsi="宋体" w:eastAsia="宋体" w:cs="宋体"/>
          <w:b/>
          <w:sz w:val="24"/>
          <w:szCs w:val="24"/>
        </w:rPr>
        <w:t>2.5 结算方式和付款条件</w:t>
      </w:r>
      <w:bookmarkEnd w:id="1237"/>
      <w:bookmarkEnd w:id="1238"/>
      <w:bookmarkEnd w:id="1239"/>
      <w:bookmarkEnd w:id="1240"/>
      <w:bookmarkEnd w:id="1241"/>
      <w:bookmarkEnd w:id="1243"/>
      <w:bookmarkEnd w:id="1244"/>
      <w:bookmarkEnd w:id="1245"/>
      <w:bookmarkEnd w:id="1246"/>
      <w:bookmarkEnd w:id="1247"/>
      <w:bookmarkEnd w:id="1248"/>
      <w:bookmarkEnd w:id="1249"/>
      <w:bookmarkEnd w:id="1250"/>
      <w:bookmarkEnd w:id="1251"/>
      <w:bookmarkEnd w:id="1252"/>
    </w:p>
    <w:p w14:paraId="75B9083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5A141E4A">
      <w:pPr>
        <w:spacing w:line="560" w:lineRule="exact"/>
        <w:ind w:firstLine="482" w:firstLineChars="200"/>
        <w:outlineLvl w:val="0"/>
        <w:rPr>
          <w:rFonts w:hint="eastAsia" w:ascii="宋体" w:hAnsi="宋体" w:eastAsia="宋体" w:cs="宋体"/>
          <w:b/>
          <w:sz w:val="24"/>
          <w:szCs w:val="24"/>
        </w:rPr>
      </w:pPr>
      <w:bookmarkStart w:id="1253" w:name="_Toc279701248"/>
      <w:bookmarkStart w:id="1254" w:name="_Ref467379852"/>
      <w:bookmarkStart w:id="1255" w:name="_Ref467379923"/>
      <w:bookmarkStart w:id="1256" w:name="_Ref467379863"/>
      <w:bookmarkStart w:id="1257" w:name="_Toc487900358"/>
      <w:bookmarkStart w:id="1258" w:name="_Toc259093677"/>
      <w:bookmarkStart w:id="1259" w:name="_Toc13467"/>
      <w:bookmarkStart w:id="1260" w:name="_Toc18990"/>
      <w:bookmarkStart w:id="1261" w:name="_Toc8990"/>
      <w:bookmarkStart w:id="1262" w:name="_Toc24604"/>
      <w:bookmarkStart w:id="1263" w:name="_Toc32682"/>
      <w:bookmarkStart w:id="1264" w:name="_Toc13154"/>
      <w:bookmarkStart w:id="1265" w:name="_Toc10557"/>
      <w:r>
        <w:rPr>
          <w:rFonts w:hint="eastAsia" w:ascii="宋体" w:hAnsi="宋体" w:eastAsia="宋体" w:cs="宋体"/>
          <w:b/>
          <w:sz w:val="24"/>
          <w:szCs w:val="24"/>
        </w:rPr>
        <w:t>2.6 技术资料</w:t>
      </w:r>
      <w:bookmarkEnd w:id="1253"/>
      <w:bookmarkEnd w:id="1254"/>
      <w:bookmarkEnd w:id="1255"/>
      <w:bookmarkEnd w:id="1256"/>
      <w:bookmarkEnd w:id="1257"/>
      <w:bookmarkEnd w:id="1258"/>
      <w:r>
        <w:rPr>
          <w:rFonts w:hint="eastAsia" w:ascii="宋体" w:hAnsi="宋体" w:eastAsia="宋体" w:cs="宋体"/>
          <w:b/>
          <w:sz w:val="24"/>
          <w:szCs w:val="24"/>
        </w:rPr>
        <w:t>和保密义务</w:t>
      </w:r>
      <w:bookmarkEnd w:id="1259"/>
      <w:bookmarkEnd w:id="1260"/>
      <w:bookmarkEnd w:id="1261"/>
      <w:bookmarkEnd w:id="1262"/>
      <w:bookmarkEnd w:id="1263"/>
      <w:bookmarkEnd w:id="1264"/>
      <w:bookmarkEnd w:id="1265"/>
    </w:p>
    <w:p w14:paraId="052C072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5D07B6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2F4E512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ADB35F">
      <w:pPr>
        <w:spacing w:line="560" w:lineRule="exact"/>
        <w:ind w:firstLine="482" w:firstLineChars="200"/>
        <w:outlineLvl w:val="0"/>
        <w:rPr>
          <w:rFonts w:hint="eastAsia" w:ascii="宋体" w:hAnsi="宋体" w:eastAsia="宋体" w:cs="宋体"/>
          <w:b/>
          <w:sz w:val="24"/>
          <w:szCs w:val="24"/>
        </w:rPr>
      </w:pPr>
      <w:bookmarkStart w:id="1266" w:name="_Toc12200"/>
      <w:bookmarkStart w:id="1267" w:name="_Toc1447"/>
      <w:bookmarkStart w:id="1268" w:name="_Toc19069"/>
      <w:bookmarkStart w:id="1269" w:name="_Toc29124"/>
      <w:bookmarkStart w:id="1270" w:name="_Toc21740"/>
      <w:bookmarkStart w:id="1271" w:name="_Toc26945"/>
      <w:bookmarkStart w:id="1272" w:name="_Toc259093681"/>
      <w:bookmarkStart w:id="1273" w:name="_Toc487900362"/>
      <w:bookmarkStart w:id="1274" w:name="_Toc279701252"/>
      <w:r>
        <w:rPr>
          <w:rFonts w:hint="eastAsia" w:ascii="宋体" w:hAnsi="宋体" w:eastAsia="宋体" w:cs="宋体"/>
          <w:b/>
          <w:sz w:val="24"/>
          <w:szCs w:val="24"/>
        </w:rPr>
        <w:t>2.7 质量保证</w:t>
      </w:r>
      <w:bookmarkEnd w:id="1266"/>
      <w:bookmarkEnd w:id="1267"/>
      <w:bookmarkEnd w:id="1268"/>
      <w:bookmarkEnd w:id="1269"/>
      <w:bookmarkEnd w:id="1270"/>
      <w:bookmarkEnd w:id="1271"/>
    </w:p>
    <w:p w14:paraId="1F54470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5202A59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14184CA7">
      <w:pPr>
        <w:spacing w:line="560" w:lineRule="exact"/>
        <w:ind w:firstLine="482" w:firstLineChars="200"/>
        <w:outlineLvl w:val="0"/>
        <w:rPr>
          <w:rFonts w:hint="eastAsia" w:ascii="宋体" w:hAnsi="宋体" w:eastAsia="宋体" w:cs="宋体"/>
          <w:b/>
          <w:sz w:val="24"/>
          <w:szCs w:val="24"/>
        </w:rPr>
      </w:pPr>
      <w:bookmarkStart w:id="1275" w:name="_Toc9728"/>
      <w:bookmarkStart w:id="1276" w:name="_Toc709"/>
      <w:bookmarkStart w:id="1277" w:name="_Toc22267"/>
      <w:bookmarkStart w:id="1278" w:name="_Toc24190"/>
      <w:bookmarkStart w:id="1279" w:name="_Toc5058"/>
      <w:bookmarkStart w:id="1280" w:name="_Toc17639"/>
      <w:r>
        <w:rPr>
          <w:rFonts w:hint="eastAsia" w:ascii="宋体" w:hAnsi="宋体" w:eastAsia="宋体" w:cs="宋体"/>
          <w:b/>
          <w:sz w:val="24"/>
          <w:szCs w:val="24"/>
        </w:rPr>
        <w:t>2.8 延迟</w:t>
      </w:r>
      <w:bookmarkEnd w:id="1272"/>
      <w:bookmarkEnd w:id="1273"/>
      <w:bookmarkEnd w:id="1274"/>
      <w:r>
        <w:rPr>
          <w:rFonts w:hint="eastAsia" w:ascii="宋体" w:hAnsi="宋体" w:eastAsia="宋体" w:cs="宋体"/>
          <w:b/>
          <w:sz w:val="24"/>
          <w:szCs w:val="24"/>
        </w:rPr>
        <w:t>履行</w:t>
      </w:r>
      <w:bookmarkEnd w:id="1275"/>
      <w:bookmarkEnd w:id="1276"/>
      <w:bookmarkEnd w:id="1277"/>
      <w:bookmarkEnd w:id="1278"/>
      <w:bookmarkEnd w:id="1279"/>
      <w:bookmarkEnd w:id="1280"/>
    </w:p>
    <w:p w14:paraId="509D9C2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D02507A">
      <w:pPr>
        <w:spacing w:line="560" w:lineRule="exact"/>
        <w:ind w:firstLine="482" w:firstLineChars="200"/>
        <w:outlineLvl w:val="0"/>
        <w:rPr>
          <w:rFonts w:hint="eastAsia" w:ascii="宋体" w:hAnsi="宋体" w:eastAsia="宋体" w:cs="宋体"/>
          <w:b/>
          <w:sz w:val="24"/>
          <w:szCs w:val="24"/>
        </w:rPr>
      </w:pPr>
      <w:bookmarkStart w:id="1281" w:name="_Toc15837"/>
      <w:bookmarkStart w:id="1282" w:name="_Toc16201"/>
      <w:bookmarkStart w:id="1283" w:name="_Toc16734"/>
      <w:bookmarkStart w:id="1284" w:name="_Toc21355"/>
      <w:bookmarkStart w:id="1285" w:name="_Toc31443"/>
      <w:bookmarkStart w:id="1286" w:name="_Toc10611"/>
      <w:bookmarkStart w:id="1287" w:name="_Ref467378121"/>
      <w:bookmarkStart w:id="1288" w:name="_Toc279701254"/>
      <w:bookmarkStart w:id="1289" w:name="_Toc487900364"/>
      <w:bookmarkStart w:id="1290" w:name="_Toc259093683"/>
      <w:r>
        <w:rPr>
          <w:rFonts w:hint="eastAsia" w:ascii="宋体" w:hAnsi="宋体" w:eastAsia="宋体" w:cs="宋体"/>
          <w:b/>
          <w:sz w:val="24"/>
          <w:szCs w:val="24"/>
        </w:rPr>
        <w:t>2.9 合同变更</w:t>
      </w:r>
      <w:bookmarkEnd w:id="1281"/>
      <w:bookmarkEnd w:id="1282"/>
      <w:bookmarkEnd w:id="1283"/>
      <w:bookmarkEnd w:id="1284"/>
      <w:bookmarkEnd w:id="1285"/>
      <w:bookmarkEnd w:id="1286"/>
    </w:p>
    <w:p w14:paraId="2523288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5977FB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1291" w:name="_Toc487900369"/>
      <w:bookmarkStart w:id="1292" w:name="_Toc259093688"/>
      <w:bookmarkStart w:id="1293" w:name="_Toc279701259"/>
    </w:p>
    <w:p w14:paraId="07F8D6C9">
      <w:pPr>
        <w:spacing w:line="560" w:lineRule="exact"/>
        <w:ind w:firstLine="482" w:firstLineChars="200"/>
        <w:outlineLvl w:val="0"/>
        <w:rPr>
          <w:rFonts w:hint="eastAsia" w:ascii="宋体" w:hAnsi="宋体" w:eastAsia="宋体" w:cs="宋体"/>
          <w:b/>
          <w:sz w:val="24"/>
          <w:szCs w:val="24"/>
        </w:rPr>
      </w:pPr>
      <w:bookmarkStart w:id="1294" w:name="_Toc23368"/>
      <w:bookmarkStart w:id="1295" w:name="_Toc42"/>
      <w:bookmarkStart w:id="1296" w:name="_Toc8630"/>
      <w:bookmarkStart w:id="1297" w:name="_Toc5676"/>
      <w:bookmarkStart w:id="1298" w:name="_Toc11531"/>
      <w:bookmarkStart w:id="1299" w:name="_Toc26689"/>
      <w:bookmarkStart w:id="1300" w:name="_Toc10663"/>
      <w:bookmarkStart w:id="1301" w:name="_Toc21830"/>
      <w:bookmarkStart w:id="1302" w:name="_Toc7075"/>
      <w:bookmarkStart w:id="1303" w:name="_Toc29906"/>
      <w:r>
        <w:rPr>
          <w:rFonts w:hint="eastAsia" w:ascii="宋体" w:hAnsi="宋体" w:eastAsia="宋体" w:cs="宋体"/>
          <w:b/>
          <w:sz w:val="24"/>
          <w:szCs w:val="24"/>
        </w:rPr>
        <w:t>2.10 合同转让</w:t>
      </w:r>
      <w:bookmarkEnd w:id="1291"/>
      <w:bookmarkEnd w:id="1292"/>
      <w:bookmarkEnd w:id="1293"/>
      <w:r>
        <w:rPr>
          <w:rFonts w:hint="eastAsia" w:ascii="宋体" w:hAnsi="宋体" w:eastAsia="宋体" w:cs="宋体"/>
          <w:b/>
          <w:sz w:val="24"/>
          <w:szCs w:val="24"/>
        </w:rPr>
        <w:t>和分包</w:t>
      </w:r>
      <w:bookmarkEnd w:id="1294"/>
      <w:bookmarkEnd w:id="1295"/>
      <w:bookmarkEnd w:id="1296"/>
      <w:bookmarkEnd w:id="1297"/>
      <w:bookmarkEnd w:id="1298"/>
      <w:bookmarkEnd w:id="1299"/>
      <w:bookmarkEnd w:id="1300"/>
      <w:bookmarkEnd w:id="1301"/>
      <w:bookmarkEnd w:id="1302"/>
      <w:bookmarkEnd w:id="1303"/>
    </w:p>
    <w:p w14:paraId="1091CA3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5E3703">
      <w:pPr>
        <w:spacing w:line="560" w:lineRule="exact"/>
        <w:ind w:firstLine="482" w:firstLineChars="200"/>
        <w:outlineLvl w:val="0"/>
        <w:rPr>
          <w:rFonts w:hint="eastAsia" w:ascii="宋体" w:hAnsi="宋体" w:eastAsia="宋体" w:cs="宋体"/>
          <w:b/>
          <w:sz w:val="24"/>
          <w:szCs w:val="24"/>
        </w:rPr>
      </w:pPr>
      <w:bookmarkStart w:id="1304" w:name="_Toc8004"/>
      <w:bookmarkStart w:id="1305" w:name="_Toc5714"/>
      <w:bookmarkStart w:id="1306" w:name="_Toc19886"/>
      <w:bookmarkStart w:id="1307" w:name="_Toc4720"/>
      <w:bookmarkStart w:id="1308" w:name="_Toc17896"/>
      <w:bookmarkStart w:id="1309" w:name="_Toc25571"/>
      <w:bookmarkStart w:id="1310" w:name="_Toc14371"/>
      <w:bookmarkStart w:id="1311" w:name="_Toc26633"/>
      <w:bookmarkStart w:id="1312" w:name="_Toc13172"/>
      <w:bookmarkStart w:id="1313" w:name="_Toc32494"/>
      <w:r>
        <w:rPr>
          <w:rFonts w:hint="eastAsia" w:ascii="宋体" w:hAnsi="宋体" w:eastAsia="宋体" w:cs="宋体"/>
          <w:b/>
          <w:sz w:val="24"/>
          <w:szCs w:val="24"/>
        </w:rPr>
        <w:t>2.11 不可抗力</w:t>
      </w:r>
      <w:bookmarkEnd w:id="1304"/>
      <w:bookmarkEnd w:id="1305"/>
      <w:bookmarkEnd w:id="1306"/>
      <w:bookmarkEnd w:id="1307"/>
      <w:bookmarkEnd w:id="1308"/>
      <w:bookmarkEnd w:id="1309"/>
      <w:bookmarkEnd w:id="1310"/>
      <w:bookmarkEnd w:id="1311"/>
      <w:bookmarkEnd w:id="1312"/>
      <w:bookmarkEnd w:id="1313"/>
    </w:p>
    <w:p w14:paraId="5937505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793374A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168AA92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759A6A1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27C2301F">
      <w:pPr>
        <w:spacing w:line="560" w:lineRule="exact"/>
        <w:ind w:firstLine="482" w:firstLineChars="200"/>
        <w:outlineLvl w:val="0"/>
        <w:rPr>
          <w:rFonts w:hint="eastAsia" w:ascii="宋体" w:hAnsi="宋体" w:eastAsia="宋体" w:cs="宋体"/>
          <w:b/>
          <w:sz w:val="24"/>
          <w:szCs w:val="24"/>
        </w:rPr>
      </w:pPr>
      <w:bookmarkStart w:id="1314" w:name="_Toc3659"/>
      <w:bookmarkStart w:id="1315" w:name="_Toc487900365"/>
      <w:bookmarkStart w:id="1316" w:name="_Toc28108"/>
      <w:bookmarkStart w:id="1317" w:name="_Toc259093684"/>
      <w:bookmarkStart w:id="1318" w:name="_Toc23854"/>
      <w:bookmarkStart w:id="1319" w:name="_Toc24465"/>
      <w:bookmarkStart w:id="1320" w:name="_Toc22135"/>
      <w:bookmarkStart w:id="1321" w:name="_Toc25783"/>
      <w:bookmarkStart w:id="1322" w:name="_Toc30294"/>
      <w:bookmarkStart w:id="1323" w:name="_Toc26219"/>
      <w:bookmarkStart w:id="1324" w:name="_Toc3638"/>
      <w:bookmarkStart w:id="1325" w:name="_Toc279701255"/>
      <w:bookmarkStart w:id="1326" w:name="_Toc14115"/>
      <w:r>
        <w:rPr>
          <w:rFonts w:hint="eastAsia" w:ascii="宋体" w:hAnsi="宋体" w:eastAsia="宋体" w:cs="宋体"/>
          <w:b/>
          <w:sz w:val="24"/>
          <w:szCs w:val="24"/>
        </w:rPr>
        <w:t>2.12 税费</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57AFDB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013D7232">
      <w:pPr>
        <w:spacing w:line="560" w:lineRule="exact"/>
        <w:ind w:firstLine="482" w:firstLineChars="200"/>
        <w:outlineLvl w:val="0"/>
        <w:rPr>
          <w:rFonts w:hint="eastAsia" w:ascii="宋体" w:hAnsi="宋体" w:eastAsia="宋体" w:cs="宋体"/>
          <w:b/>
          <w:sz w:val="24"/>
          <w:szCs w:val="24"/>
        </w:rPr>
      </w:pPr>
      <w:bookmarkStart w:id="1327" w:name="_Toc23741"/>
      <w:bookmarkStart w:id="1328" w:name="_Toc23998"/>
      <w:bookmarkStart w:id="1329" w:name="_Toc24512"/>
      <w:bookmarkStart w:id="1330" w:name="_Toc14814"/>
      <w:bookmarkStart w:id="1331" w:name="_Toc7315"/>
      <w:bookmarkStart w:id="1332" w:name="_Toc9678"/>
      <w:bookmarkStart w:id="1333" w:name="_Toc26883"/>
      <w:bookmarkStart w:id="1334" w:name="_Toc259093687"/>
      <w:bookmarkStart w:id="1335" w:name="_Toc25525"/>
      <w:bookmarkStart w:id="1336" w:name="_Toc20398"/>
      <w:bookmarkStart w:id="1337" w:name="_Toc30105"/>
      <w:bookmarkStart w:id="1338" w:name="_Toc279701258"/>
      <w:bookmarkStart w:id="1339" w:name="_Toc487900368"/>
      <w:r>
        <w:rPr>
          <w:rFonts w:hint="eastAsia" w:ascii="宋体" w:hAnsi="宋体" w:eastAsia="宋体" w:cs="宋体"/>
          <w:b/>
          <w:sz w:val="24"/>
          <w:szCs w:val="24"/>
        </w:rPr>
        <w:t>2.13 乙方破产</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1DC0EF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BF568A">
      <w:pPr>
        <w:spacing w:line="560" w:lineRule="exact"/>
        <w:ind w:firstLine="482" w:firstLineChars="200"/>
        <w:outlineLvl w:val="0"/>
        <w:rPr>
          <w:rFonts w:hint="eastAsia" w:ascii="宋体" w:hAnsi="宋体" w:eastAsia="宋体" w:cs="宋体"/>
          <w:b/>
          <w:sz w:val="24"/>
          <w:szCs w:val="24"/>
        </w:rPr>
      </w:pPr>
      <w:bookmarkStart w:id="1340" w:name="_Toc10101"/>
      <w:bookmarkStart w:id="1341" w:name="_Toc23323"/>
      <w:bookmarkStart w:id="1342" w:name="_Toc1123"/>
      <w:bookmarkStart w:id="1343" w:name="_Toc24725"/>
      <w:bookmarkStart w:id="1344" w:name="_Toc26471"/>
      <w:bookmarkStart w:id="1345" w:name="_Toc32431"/>
      <w:bookmarkStart w:id="1346" w:name="_Toc2016"/>
      <w:bookmarkStart w:id="1347" w:name="_Toc25067"/>
      <w:r>
        <w:rPr>
          <w:rFonts w:hint="eastAsia" w:ascii="宋体" w:hAnsi="宋体" w:eastAsia="宋体" w:cs="宋体"/>
          <w:b/>
          <w:sz w:val="24"/>
          <w:szCs w:val="24"/>
        </w:rPr>
        <w:t>2.14 合同中止、终止</w:t>
      </w:r>
      <w:bookmarkEnd w:id="1340"/>
      <w:bookmarkEnd w:id="1341"/>
      <w:bookmarkEnd w:id="1342"/>
      <w:bookmarkEnd w:id="1343"/>
      <w:bookmarkEnd w:id="1344"/>
      <w:bookmarkEnd w:id="1345"/>
      <w:bookmarkEnd w:id="1346"/>
      <w:bookmarkEnd w:id="1347"/>
    </w:p>
    <w:p w14:paraId="567298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6E1DAA6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065A9868">
      <w:pPr>
        <w:spacing w:line="560" w:lineRule="exact"/>
        <w:ind w:firstLine="482" w:firstLineChars="200"/>
        <w:outlineLvl w:val="0"/>
        <w:rPr>
          <w:rFonts w:hint="eastAsia" w:ascii="宋体" w:hAnsi="宋体" w:eastAsia="宋体" w:cs="宋体"/>
          <w:b/>
          <w:sz w:val="24"/>
          <w:szCs w:val="24"/>
        </w:rPr>
      </w:pPr>
      <w:bookmarkStart w:id="1348" w:name="_Toc17363"/>
      <w:bookmarkStart w:id="1349" w:name="_Toc7756"/>
      <w:bookmarkStart w:id="1350" w:name="_Toc10354"/>
      <w:bookmarkStart w:id="1351" w:name="_Toc1969"/>
      <w:bookmarkStart w:id="1352" w:name="_Toc14525"/>
      <w:bookmarkStart w:id="1353" w:name="_Toc4029"/>
      <w:bookmarkStart w:id="1354" w:name="_Toc23177"/>
      <w:bookmarkStart w:id="1355" w:name="_Toc6285"/>
      <w:r>
        <w:rPr>
          <w:rFonts w:hint="eastAsia" w:ascii="宋体" w:hAnsi="宋体" w:eastAsia="宋体" w:cs="宋体"/>
          <w:b/>
          <w:sz w:val="24"/>
          <w:szCs w:val="24"/>
        </w:rPr>
        <w:t>2.15 检验和验收</w:t>
      </w:r>
      <w:bookmarkEnd w:id="1348"/>
      <w:bookmarkEnd w:id="1349"/>
      <w:bookmarkEnd w:id="1350"/>
      <w:bookmarkEnd w:id="1351"/>
      <w:bookmarkEnd w:id="1352"/>
      <w:bookmarkEnd w:id="1353"/>
      <w:bookmarkEnd w:id="1354"/>
      <w:bookmarkEnd w:id="1355"/>
    </w:p>
    <w:p w14:paraId="521CB2CC">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4EF015A4">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174A8E">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1287"/>
    <w:bookmarkEnd w:id="1288"/>
    <w:bookmarkEnd w:id="1289"/>
    <w:bookmarkEnd w:id="1290"/>
    <w:p w14:paraId="182A31BD">
      <w:pPr>
        <w:spacing w:line="560" w:lineRule="exact"/>
        <w:ind w:firstLine="482" w:firstLineChars="200"/>
        <w:outlineLvl w:val="0"/>
        <w:rPr>
          <w:rFonts w:hint="eastAsia" w:ascii="宋体" w:hAnsi="宋体" w:eastAsia="宋体" w:cs="宋体"/>
          <w:b/>
          <w:sz w:val="24"/>
          <w:szCs w:val="24"/>
        </w:rPr>
      </w:pPr>
      <w:bookmarkStart w:id="1356" w:name="_Toc259093690"/>
      <w:bookmarkStart w:id="1357" w:name="_Toc279701261"/>
      <w:bookmarkStart w:id="1358" w:name="_Toc487900371"/>
      <w:bookmarkStart w:id="1359" w:name="_Toc28291"/>
      <w:bookmarkStart w:id="1360" w:name="_Toc11667"/>
      <w:bookmarkStart w:id="1361" w:name="_Toc21710"/>
      <w:bookmarkStart w:id="1362" w:name="_Toc12666"/>
      <w:bookmarkStart w:id="1363" w:name="_Toc2372"/>
      <w:bookmarkStart w:id="1364" w:name="_Toc21947"/>
      <w:bookmarkStart w:id="1365" w:name="_Toc2308"/>
      <w:bookmarkStart w:id="1366" w:name="_Toc31892"/>
      <w:bookmarkStart w:id="1367" w:name="_Toc25198"/>
      <w:r>
        <w:rPr>
          <w:rFonts w:hint="eastAsia" w:ascii="宋体" w:hAnsi="宋体" w:eastAsia="宋体" w:cs="宋体"/>
          <w:b/>
          <w:sz w:val="24"/>
          <w:szCs w:val="24"/>
        </w:rPr>
        <w:t>2.16 通知</w:t>
      </w:r>
      <w:bookmarkEnd w:id="1356"/>
      <w:bookmarkEnd w:id="1357"/>
      <w:bookmarkEnd w:id="1358"/>
      <w:r>
        <w:rPr>
          <w:rFonts w:hint="eastAsia" w:ascii="宋体" w:hAnsi="宋体" w:eastAsia="宋体" w:cs="宋体"/>
          <w:b/>
          <w:sz w:val="24"/>
          <w:szCs w:val="24"/>
        </w:rPr>
        <w:t>和送达</w:t>
      </w:r>
      <w:bookmarkEnd w:id="1359"/>
      <w:bookmarkEnd w:id="1360"/>
      <w:bookmarkEnd w:id="1361"/>
      <w:bookmarkEnd w:id="1362"/>
      <w:bookmarkEnd w:id="1363"/>
      <w:bookmarkEnd w:id="1364"/>
      <w:bookmarkEnd w:id="1365"/>
      <w:bookmarkEnd w:id="1366"/>
      <w:bookmarkEnd w:id="1367"/>
    </w:p>
    <w:p w14:paraId="0BC6120D">
      <w:pPr>
        <w:spacing w:line="560" w:lineRule="exact"/>
        <w:ind w:firstLine="480" w:firstLineChars="200"/>
        <w:rPr>
          <w:rFonts w:hint="eastAsia" w:ascii="宋体" w:hAnsi="宋体" w:eastAsia="宋体" w:cs="宋体"/>
          <w:sz w:val="24"/>
          <w:szCs w:val="24"/>
        </w:rPr>
      </w:pPr>
      <w:bookmarkStart w:id="1368" w:name="_Toc7073"/>
      <w:bookmarkStart w:id="1369" w:name="_Toc29220"/>
      <w:bookmarkStart w:id="1370" w:name="_Toc487900372"/>
      <w:bookmarkStart w:id="1371" w:name="_Toc279701262"/>
      <w:bookmarkStart w:id="1372" w:name="_Toc259093691"/>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1368"/>
      <w:bookmarkEnd w:id="1369"/>
    </w:p>
    <w:p w14:paraId="018C4E70">
      <w:pPr>
        <w:spacing w:line="560" w:lineRule="exact"/>
        <w:ind w:firstLine="480" w:firstLineChars="200"/>
        <w:rPr>
          <w:rFonts w:hint="eastAsia" w:ascii="宋体" w:hAnsi="宋体" w:eastAsia="宋体" w:cs="宋体"/>
          <w:sz w:val="24"/>
          <w:szCs w:val="24"/>
        </w:rPr>
      </w:pPr>
      <w:bookmarkStart w:id="1373" w:name="_Toc18401"/>
      <w:bookmarkStart w:id="1374" w:name="_Toc27674"/>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73"/>
      <w:bookmarkEnd w:id="1374"/>
    </w:p>
    <w:bookmarkEnd w:id="1370"/>
    <w:bookmarkEnd w:id="1371"/>
    <w:bookmarkEnd w:id="1372"/>
    <w:p w14:paraId="21FD704F">
      <w:pPr>
        <w:spacing w:line="560" w:lineRule="exact"/>
        <w:ind w:firstLine="482" w:firstLineChars="200"/>
        <w:outlineLvl w:val="0"/>
        <w:rPr>
          <w:rFonts w:hint="eastAsia" w:ascii="宋体" w:hAnsi="宋体" w:eastAsia="宋体" w:cs="宋体"/>
          <w:b/>
          <w:sz w:val="24"/>
          <w:szCs w:val="24"/>
        </w:rPr>
      </w:pPr>
      <w:bookmarkStart w:id="1375" w:name="_Toc5063"/>
      <w:bookmarkStart w:id="1376" w:name="_Toc259093692"/>
      <w:bookmarkStart w:id="1377" w:name="_Toc26014"/>
      <w:bookmarkStart w:id="1378" w:name="_Toc279701263"/>
      <w:bookmarkStart w:id="1379" w:name="_Toc487900373"/>
      <w:bookmarkStart w:id="1380" w:name="_Toc14232"/>
      <w:bookmarkStart w:id="1381" w:name="_Toc24943"/>
      <w:bookmarkStart w:id="1382" w:name="_Toc12254"/>
      <w:bookmarkStart w:id="1383" w:name="_Toc14037"/>
      <w:bookmarkStart w:id="1384" w:name="_Toc28906"/>
      <w:bookmarkStart w:id="1385" w:name="_Toc1929"/>
      <w:bookmarkStart w:id="1386" w:name="_Toc20808"/>
      <w:r>
        <w:rPr>
          <w:rFonts w:hint="eastAsia" w:ascii="宋体" w:hAnsi="宋体" w:eastAsia="宋体" w:cs="宋体"/>
          <w:b/>
          <w:sz w:val="24"/>
          <w:szCs w:val="24"/>
        </w:rPr>
        <w:t>2.17 合同使用的文字和适用的法律</w:t>
      </w:r>
      <w:bookmarkEnd w:id="1375"/>
      <w:bookmarkEnd w:id="1376"/>
      <w:bookmarkEnd w:id="1377"/>
      <w:bookmarkEnd w:id="1378"/>
      <w:bookmarkEnd w:id="1379"/>
      <w:bookmarkEnd w:id="1380"/>
      <w:bookmarkEnd w:id="1381"/>
      <w:bookmarkEnd w:id="1382"/>
      <w:bookmarkEnd w:id="1383"/>
      <w:bookmarkEnd w:id="1384"/>
      <w:bookmarkEnd w:id="1385"/>
      <w:bookmarkEnd w:id="1386"/>
    </w:p>
    <w:p w14:paraId="2D80F6D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0CE34F9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6B0911AF">
      <w:pPr>
        <w:spacing w:line="560" w:lineRule="exact"/>
        <w:ind w:firstLine="482" w:firstLineChars="200"/>
        <w:outlineLvl w:val="0"/>
        <w:rPr>
          <w:rFonts w:hint="eastAsia" w:ascii="宋体" w:hAnsi="宋体" w:eastAsia="宋体" w:cs="宋体"/>
          <w:b/>
          <w:sz w:val="24"/>
          <w:szCs w:val="24"/>
        </w:rPr>
      </w:pPr>
      <w:bookmarkStart w:id="1387" w:name="_Toc27127"/>
      <w:bookmarkStart w:id="1388" w:name="_Toc1492"/>
      <w:bookmarkStart w:id="1389" w:name="_Toc31003"/>
      <w:bookmarkStart w:id="1390" w:name="_Toc28232"/>
      <w:bookmarkStart w:id="1391" w:name="_Toc279701264"/>
      <w:bookmarkStart w:id="1392" w:name="_Toc21507"/>
      <w:bookmarkStart w:id="1393" w:name="_Toc259093693"/>
      <w:bookmarkStart w:id="1394" w:name="_Toc1493"/>
      <w:bookmarkStart w:id="1395" w:name="_Toc27403"/>
      <w:bookmarkStart w:id="1396" w:name="_Toc27158"/>
      <w:bookmarkStart w:id="1397" w:name="_Toc22266"/>
      <w:bookmarkStart w:id="1398" w:name="_Toc30096"/>
      <w:bookmarkStart w:id="1399" w:name="_Toc487900374"/>
      <w:r>
        <w:rPr>
          <w:rFonts w:hint="eastAsia" w:ascii="宋体" w:hAnsi="宋体" w:eastAsia="宋体" w:cs="宋体"/>
          <w:b/>
          <w:sz w:val="24"/>
          <w:szCs w:val="24"/>
        </w:rPr>
        <w:t>2.18 履约保证金</w:t>
      </w:r>
      <w:bookmarkEnd w:id="1387"/>
      <w:bookmarkEnd w:id="1388"/>
      <w:bookmarkEnd w:id="1389"/>
      <w:bookmarkEnd w:id="1390"/>
      <w:bookmarkEnd w:id="1391"/>
      <w:bookmarkEnd w:id="1392"/>
      <w:bookmarkEnd w:id="1393"/>
      <w:bookmarkEnd w:id="1394"/>
      <w:bookmarkEnd w:id="1395"/>
      <w:bookmarkEnd w:id="1396"/>
      <w:bookmarkEnd w:id="1397"/>
      <w:bookmarkEnd w:id="1398"/>
    </w:p>
    <w:p w14:paraId="28A9284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1D1247C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4C8C67B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399"/>
    <w:p w14:paraId="7018F073">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26328AB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24B89057">
      <w:pPr>
        <w:pStyle w:val="35"/>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1400" w:name="_Toc331685784"/>
      <w:r>
        <w:rPr>
          <w:rFonts w:hint="eastAsia" w:ascii="宋体" w:hAnsi="宋体" w:eastAsia="宋体" w:cs="宋体"/>
          <w:b/>
          <w:szCs w:val="24"/>
        </w:rPr>
        <w:t>第三部分  合同专用条款</w:t>
      </w:r>
      <w:bookmarkEnd w:id="1400"/>
    </w:p>
    <w:p w14:paraId="3A003F14">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6"/>
        <w:gridCol w:w="7477"/>
      </w:tblGrid>
      <w:tr w14:paraId="5B2C3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426" w:type="dxa"/>
            <w:tcBorders>
              <w:left w:val="single" w:color="auto" w:sz="4" w:space="0"/>
            </w:tcBorders>
            <w:noWrap w:val="0"/>
            <w:vAlign w:val="center"/>
          </w:tcPr>
          <w:p w14:paraId="0FB96E15">
            <w:pPr>
              <w:spacing w:line="560" w:lineRule="exact"/>
              <w:jc w:val="center"/>
              <w:rPr>
                <w:rFonts w:ascii="楷体" w:hAnsi="楷体" w:eastAsia="楷体"/>
                <w:b/>
                <w:sz w:val="24"/>
              </w:rPr>
            </w:pPr>
            <w:r>
              <w:rPr>
                <w:rFonts w:ascii="楷体" w:hAnsi="楷体" w:eastAsia="楷体"/>
                <w:b/>
                <w:sz w:val="24"/>
              </w:rPr>
              <w:t>条款号</w:t>
            </w:r>
          </w:p>
        </w:tc>
        <w:tc>
          <w:tcPr>
            <w:tcW w:w="7477" w:type="dxa"/>
            <w:noWrap w:val="0"/>
            <w:vAlign w:val="center"/>
          </w:tcPr>
          <w:p w14:paraId="0716889E">
            <w:pPr>
              <w:spacing w:line="560" w:lineRule="exact"/>
              <w:jc w:val="center"/>
              <w:rPr>
                <w:rFonts w:ascii="楷体" w:hAnsi="楷体" w:eastAsia="楷体"/>
                <w:b/>
                <w:sz w:val="24"/>
              </w:rPr>
            </w:pPr>
            <w:r>
              <w:rPr>
                <w:rFonts w:ascii="楷体" w:hAnsi="楷体" w:eastAsia="楷体"/>
                <w:b/>
                <w:sz w:val="24"/>
              </w:rPr>
              <w:t>约定内容</w:t>
            </w:r>
          </w:p>
        </w:tc>
      </w:tr>
      <w:tr w14:paraId="0B4D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426" w:type="dxa"/>
            <w:tcBorders>
              <w:left w:val="single" w:color="auto" w:sz="4" w:space="0"/>
            </w:tcBorders>
            <w:noWrap w:val="0"/>
            <w:vAlign w:val="center"/>
          </w:tcPr>
          <w:p w14:paraId="5362E8C0">
            <w:pPr>
              <w:spacing w:line="560" w:lineRule="exact"/>
              <w:rPr>
                <w:rFonts w:ascii="楷体" w:hAnsi="楷体" w:eastAsia="楷体"/>
                <w:sz w:val="24"/>
              </w:rPr>
            </w:pPr>
          </w:p>
        </w:tc>
        <w:tc>
          <w:tcPr>
            <w:tcW w:w="7477" w:type="dxa"/>
            <w:noWrap w:val="0"/>
            <w:vAlign w:val="center"/>
          </w:tcPr>
          <w:p w14:paraId="59EF88DA">
            <w:pPr>
              <w:spacing w:line="560" w:lineRule="exact"/>
              <w:rPr>
                <w:rFonts w:ascii="楷体" w:hAnsi="楷体" w:eastAsia="楷体"/>
                <w:sz w:val="24"/>
              </w:rPr>
            </w:pPr>
          </w:p>
        </w:tc>
      </w:tr>
      <w:tr w14:paraId="0447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0265BBC4">
            <w:pPr>
              <w:spacing w:line="560" w:lineRule="exact"/>
              <w:rPr>
                <w:rFonts w:ascii="楷体" w:hAnsi="楷体" w:eastAsia="楷体"/>
                <w:sz w:val="24"/>
              </w:rPr>
            </w:pPr>
          </w:p>
        </w:tc>
        <w:tc>
          <w:tcPr>
            <w:tcW w:w="7477" w:type="dxa"/>
            <w:noWrap w:val="0"/>
            <w:vAlign w:val="center"/>
          </w:tcPr>
          <w:p w14:paraId="5300DFD7">
            <w:pPr>
              <w:spacing w:line="560" w:lineRule="exact"/>
              <w:rPr>
                <w:rFonts w:ascii="楷体" w:hAnsi="楷体" w:eastAsia="楷体"/>
                <w:sz w:val="24"/>
              </w:rPr>
            </w:pPr>
          </w:p>
        </w:tc>
      </w:tr>
      <w:tr w14:paraId="41D4E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6B4ADA05">
            <w:pPr>
              <w:spacing w:line="560" w:lineRule="exact"/>
              <w:rPr>
                <w:rFonts w:ascii="楷体" w:hAnsi="楷体" w:eastAsia="楷体"/>
                <w:sz w:val="24"/>
              </w:rPr>
            </w:pPr>
          </w:p>
        </w:tc>
        <w:tc>
          <w:tcPr>
            <w:tcW w:w="7477" w:type="dxa"/>
            <w:noWrap w:val="0"/>
            <w:vAlign w:val="center"/>
          </w:tcPr>
          <w:p w14:paraId="435A8D20">
            <w:pPr>
              <w:spacing w:line="560" w:lineRule="exact"/>
              <w:rPr>
                <w:rFonts w:ascii="楷体" w:hAnsi="楷体" w:eastAsia="楷体"/>
                <w:sz w:val="24"/>
              </w:rPr>
            </w:pPr>
          </w:p>
        </w:tc>
      </w:tr>
      <w:tr w14:paraId="2C947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64C02422">
            <w:pPr>
              <w:spacing w:line="560" w:lineRule="exact"/>
              <w:rPr>
                <w:rFonts w:ascii="楷体" w:hAnsi="楷体" w:eastAsia="楷体"/>
                <w:sz w:val="24"/>
              </w:rPr>
            </w:pPr>
          </w:p>
        </w:tc>
        <w:tc>
          <w:tcPr>
            <w:tcW w:w="7477" w:type="dxa"/>
            <w:noWrap w:val="0"/>
            <w:vAlign w:val="center"/>
          </w:tcPr>
          <w:p w14:paraId="05A17252">
            <w:pPr>
              <w:spacing w:line="560" w:lineRule="exact"/>
              <w:rPr>
                <w:rFonts w:ascii="楷体" w:hAnsi="楷体" w:eastAsia="楷体"/>
                <w:sz w:val="24"/>
              </w:rPr>
            </w:pPr>
          </w:p>
        </w:tc>
      </w:tr>
      <w:tr w14:paraId="0458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72E685CF">
            <w:pPr>
              <w:spacing w:line="560" w:lineRule="exact"/>
              <w:rPr>
                <w:rFonts w:ascii="楷体" w:hAnsi="楷体" w:eastAsia="楷体"/>
                <w:sz w:val="24"/>
              </w:rPr>
            </w:pPr>
          </w:p>
        </w:tc>
        <w:tc>
          <w:tcPr>
            <w:tcW w:w="7477" w:type="dxa"/>
            <w:noWrap w:val="0"/>
            <w:vAlign w:val="center"/>
          </w:tcPr>
          <w:p w14:paraId="151477DE">
            <w:pPr>
              <w:spacing w:line="560" w:lineRule="exact"/>
              <w:rPr>
                <w:rFonts w:ascii="楷体" w:hAnsi="楷体" w:eastAsia="楷体"/>
                <w:sz w:val="24"/>
                <w:u w:val="single"/>
              </w:rPr>
            </w:pPr>
          </w:p>
        </w:tc>
      </w:tr>
      <w:tr w14:paraId="40F0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2DBCCD84">
            <w:pPr>
              <w:spacing w:line="560" w:lineRule="exact"/>
              <w:rPr>
                <w:rFonts w:ascii="楷体" w:hAnsi="楷体" w:eastAsia="楷体"/>
                <w:sz w:val="24"/>
              </w:rPr>
            </w:pPr>
          </w:p>
        </w:tc>
        <w:tc>
          <w:tcPr>
            <w:tcW w:w="7477" w:type="dxa"/>
            <w:noWrap w:val="0"/>
            <w:vAlign w:val="center"/>
          </w:tcPr>
          <w:p w14:paraId="337ED0D0">
            <w:pPr>
              <w:spacing w:line="560" w:lineRule="exact"/>
              <w:rPr>
                <w:rFonts w:ascii="楷体" w:hAnsi="楷体" w:eastAsia="楷体"/>
                <w:sz w:val="24"/>
              </w:rPr>
            </w:pPr>
          </w:p>
        </w:tc>
      </w:tr>
      <w:tr w14:paraId="7B73B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14:paraId="15EC1B76">
            <w:pPr>
              <w:spacing w:line="560" w:lineRule="exact"/>
              <w:rPr>
                <w:rFonts w:ascii="楷体" w:hAnsi="楷体" w:eastAsia="楷体"/>
                <w:sz w:val="24"/>
              </w:rPr>
            </w:pPr>
          </w:p>
        </w:tc>
        <w:tc>
          <w:tcPr>
            <w:tcW w:w="7477" w:type="dxa"/>
            <w:noWrap w:val="0"/>
            <w:vAlign w:val="center"/>
          </w:tcPr>
          <w:p w14:paraId="39C07693">
            <w:pPr>
              <w:spacing w:line="560" w:lineRule="exact"/>
              <w:rPr>
                <w:rFonts w:ascii="楷体" w:hAnsi="楷体" w:eastAsia="楷体"/>
                <w:sz w:val="24"/>
                <w:u w:val="single"/>
              </w:rPr>
            </w:pPr>
          </w:p>
        </w:tc>
      </w:tr>
      <w:tr w14:paraId="3D30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5ADC54A1">
            <w:pPr>
              <w:spacing w:line="560" w:lineRule="exact"/>
              <w:rPr>
                <w:rFonts w:ascii="楷体" w:hAnsi="楷体" w:eastAsia="楷体"/>
                <w:sz w:val="24"/>
              </w:rPr>
            </w:pPr>
          </w:p>
        </w:tc>
        <w:tc>
          <w:tcPr>
            <w:tcW w:w="7477" w:type="dxa"/>
            <w:noWrap w:val="0"/>
            <w:vAlign w:val="center"/>
          </w:tcPr>
          <w:p w14:paraId="3930DE8D">
            <w:pPr>
              <w:spacing w:line="560" w:lineRule="exact"/>
              <w:rPr>
                <w:rFonts w:ascii="楷体" w:hAnsi="楷体" w:eastAsia="楷体"/>
                <w:sz w:val="24"/>
              </w:rPr>
            </w:pPr>
          </w:p>
        </w:tc>
      </w:tr>
      <w:tr w14:paraId="77898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1B6E0AA0">
            <w:pPr>
              <w:spacing w:line="560" w:lineRule="exact"/>
              <w:rPr>
                <w:rFonts w:ascii="楷体" w:hAnsi="楷体" w:eastAsia="楷体"/>
                <w:sz w:val="24"/>
              </w:rPr>
            </w:pPr>
          </w:p>
        </w:tc>
        <w:tc>
          <w:tcPr>
            <w:tcW w:w="7477" w:type="dxa"/>
            <w:noWrap w:val="0"/>
            <w:vAlign w:val="center"/>
          </w:tcPr>
          <w:p w14:paraId="05E9CB1F">
            <w:pPr>
              <w:spacing w:line="560" w:lineRule="exact"/>
              <w:rPr>
                <w:rFonts w:ascii="楷体" w:hAnsi="楷体" w:eastAsia="楷体"/>
                <w:sz w:val="24"/>
              </w:rPr>
            </w:pPr>
          </w:p>
        </w:tc>
      </w:tr>
      <w:tr w14:paraId="46E0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14:paraId="4142FA4B">
            <w:pPr>
              <w:spacing w:line="560" w:lineRule="exact"/>
              <w:rPr>
                <w:rFonts w:ascii="楷体" w:hAnsi="楷体" w:eastAsia="楷体"/>
                <w:sz w:val="24"/>
              </w:rPr>
            </w:pPr>
          </w:p>
        </w:tc>
        <w:tc>
          <w:tcPr>
            <w:tcW w:w="7477" w:type="dxa"/>
            <w:noWrap w:val="0"/>
            <w:vAlign w:val="center"/>
          </w:tcPr>
          <w:p w14:paraId="020AE052">
            <w:pPr>
              <w:spacing w:line="560" w:lineRule="exact"/>
              <w:rPr>
                <w:rFonts w:ascii="楷体" w:hAnsi="楷体" w:eastAsia="楷体"/>
                <w:sz w:val="24"/>
              </w:rPr>
            </w:pPr>
          </w:p>
        </w:tc>
      </w:tr>
      <w:tr w14:paraId="15B65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top w:val="single" w:color="auto" w:sz="6" w:space="0"/>
              <w:left w:val="single" w:color="auto" w:sz="4" w:space="0"/>
              <w:bottom w:val="single" w:color="auto" w:sz="6" w:space="0"/>
              <w:right w:val="single" w:color="auto" w:sz="6" w:space="0"/>
            </w:tcBorders>
            <w:noWrap w:val="0"/>
            <w:vAlign w:val="center"/>
          </w:tcPr>
          <w:p w14:paraId="436E8020">
            <w:pPr>
              <w:spacing w:line="560" w:lineRule="exact"/>
              <w:rPr>
                <w:rFonts w:ascii="楷体" w:hAnsi="楷体" w:eastAsia="楷体"/>
                <w:sz w:val="24"/>
              </w:rPr>
            </w:pPr>
          </w:p>
        </w:tc>
        <w:tc>
          <w:tcPr>
            <w:tcW w:w="7477" w:type="dxa"/>
            <w:tcBorders>
              <w:top w:val="single" w:color="auto" w:sz="6" w:space="0"/>
              <w:left w:val="single" w:color="auto" w:sz="6" w:space="0"/>
              <w:bottom w:val="single" w:color="auto" w:sz="6" w:space="0"/>
              <w:right w:val="single" w:color="auto" w:sz="6" w:space="0"/>
            </w:tcBorders>
            <w:noWrap w:val="0"/>
            <w:vAlign w:val="center"/>
          </w:tcPr>
          <w:p w14:paraId="183D8230">
            <w:pPr>
              <w:spacing w:line="560" w:lineRule="exact"/>
              <w:rPr>
                <w:rFonts w:ascii="楷体" w:hAnsi="楷体" w:eastAsia="楷体"/>
                <w:sz w:val="24"/>
              </w:rPr>
            </w:pPr>
          </w:p>
        </w:tc>
      </w:tr>
      <w:tr w14:paraId="6660C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top w:val="single" w:color="auto" w:sz="6" w:space="0"/>
              <w:left w:val="single" w:color="auto" w:sz="4" w:space="0"/>
              <w:bottom w:val="single" w:color="auto" w:sz="6" w:space="0"/>
              <w:right w:val="single" w:color="auto" w:sz="6" w:space="0"/>
            </w:tcBorders>
            <w:noWrap w:val="0"/>
            <w:vAlign w:val="center"/>
          </w:tcPr>
          <w:p w14:paraId="7AE47D6A">
            <w:pPr>
              <w:spacing w:line="560" w:lineRule="exact"/>
              <w:rPr>
                <w:rFonts w:ascii="楷体" w:hAnsi="楷体" w:eastAsia="楷体"/>
                <w:sz w:val="24"/>
              </w:rPr>
            </w:pPr>
          </w:p>
        </w:tc>
        <w:tc>
          <w:tcPr>
            <w:tcW w:w="7477" w:type="dxa"/>
            <w:tcBorders>
              <w:top w:val="single" w:color="auto" w:sz="6" w:space="0"/>
              <w:left w:val="single" w:color="auto" w:sz="6" w:space="0"/>
              <w:bottom w:val="single" w:color="auto" w:sz="6" w:space="0"/>
              <w:right w:val="single" w:color="auto" w:sz="6" w:space="0"/>
            </w:tcBorders>
            <w:noWrap w:val="0"/>
            <w:vAlign w:val="center"/>
          </w:tcPr>
          <w:p w14:paraId="616C20A0">
            <w:pPr>
              <w:spacing w:line="560" w:lineRule="exact"/>
              <w:rPr>
                <w:rFonts w:ascii="楷体" w:hAnsi="楷体" w:eastAsia="楷体"/>
                <w:sz w:val="24"/>
              </w:rPr>
            </w:pPr>
          </w:p>
        </w:tc>
      </w:tr>
    </w:tbl>
    <w:p w14:paraId="6668D1F7">
      <w:pPr>
        <w:pStyle w:val="4"/>
        <w:numPr>
          <w:ilvl w:val="0"/>
          <w:numId w:val="0"/>
        </w:numPr>
        <w:jc w:val="left"/>
        <w:rPr>
          <w:rFonts w:hint="eastAsia" w:ascii="宋体" w:hAnsi="宋体" w:eastAsia="宋体" w:cs="宋体"/>
          <w:b/>
          <w:bCs/>
          <w:color w:val="FF0000"/>
          <w:sz w:val="21"/>
          <w:szCs w:val="21"/>
          <w:lang w:val="en-US" w:eastAsia="zh-CN"/>
        </w:rPr>
      </w:pPr>
    </w:p>
    <w:p w14:paraId="25BBFA4C">
      <w:pPr>
        <w:shd w:val="clear" w:color="auto" w:fill="FFFFFF"/>
        <w:bidi w:val="0"/>
        <w:snapToGrid w:val="0"/>
        <w:spacing w:line="440" w:lineRule="exact"/>
        <w:ind w:left="0" w:leftChars="0" w:firstLine="0" w:firstLineChars="0"/>
        <w:rPr>
          <w:rFonts w:hint="eastAsia" w:ascii="宋体" w:hAnsi="宋体" w:cs="宋体"/>
          <w:color w:val="000000"/>
          <w:sz w:val="24"/>
        </w:rPr>
      </w:pPr>
    </w:p>
    <w:p w14:paraId="257953D5">
      <w:pPr>
        <w:pStyle w:val="3"/>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6FFDE5A2">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24269A02">
      <w:pPr>
        <w:rPr>
          <w:rFonts w:hint="default" w:ascii="Calibri" w:hAnsi="Calibri" w:eastAsia="仿宋" w:cs="Calibri"/>
          <w:color w:val="auto"/>
          <w:sz w:val="21"/>
          <w:szCs w:val="21"/>
        </w:rPr>
      </w:pPr>
    </w:p>
    <w:p w14:paraId="620F56CE">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23C262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6AAB18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E6361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61D4A2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26"/>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3E79CDEA">
      <w:pPr>
        <w:pStyle w:val="33"/>
        <w:rPr>
          <w:rFonts w:hint="eastAsia"/>
        </w:rPr>
      </w:pPr>
    </w:p>
    <w:p w14:paraId="5F94717E">
      <w:pPr>
        <w:pStyle w:val="33"/>
        <w:rPr>
          <w:rFonts w:hint="eastAsia"/>
        </w:rPr>
      </w:pPr>
    </w:p>
    <w:p w14:paraId="2C1BF162">
      <w:pPr>
        <w:pStyle w:val="21"/>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3655BD9B">
      <w:pPr>
        <w:pStyle w:val="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43BEB13E">
      <w:pPr>
        <w:pStyle w:val="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3F99D422">
      <w:pPr>
        <w:pStyle w:val="6"/>
        <w:numPr>
          <w:ilvl w:val="0"/>
          <w:numId w:val="0"/>
        </w:numPr>
        <w:spacing w:before="120" w:beforeLines="0" w:after="120" w:afterLines="0" w:line="400" w:lineRule="exact"/>
        <w:ind w:leftChars="0" w:firstLine="1405" w:firstLineChars="500"/>
        <w:jc w:val="both"/>
        <w:rPr>
          <w:rFonts w:hint="eastAsia" w:ascii="宋体" w:hAnsi="宋体" w:cs="宋体"/>
          <w:color w:val="auto"/>
          <w:sz w:val="28"/>
          <w:szCs w:val="28"/>
          <w:lang w:val="en-US" w:eastAsia="zh-CN"/>
        </w:rPr>
      </w:pPr>
    </w:p>
    <w:p w14:paraId="3B4BBAC3">
      <w:pPr>
        <w:rPr>
          <w:rFonts w:hint="eastAsia" w:ascii="宋体" w:hAnsi="宋体" w:cs="宋体"/>
          <w:color w:val="auto"/>
          <w:sz w:val="28"/>
          <w:szCs w:val="28"/>
          <w:lang w:val="en-US" w:eastAsia="zh-CN"/>
        </w:rPr>
      </w:pPr>
    </w:p>
    <w:p w14:paraId="3A343B05">
      <w:pPr>
        <w:pStyle w:val="2"/>
        <w:rPr>
          <w:rFonts w:hint="eastAsia" w:ascii="宋体" w:hAnsi="宋体" w:cs="宋体"/>
          <w:color w:val="auto"/>
          <w:sz w:val="28"/>
          <w:szCs w:val="28"/>
          <w:lang w:val="en-US" w:eastAsia="zh-CN"/>
        </w:rPr>
      </w:pPr>
    </w:p>
    <w:p w14:paraId="114B70C3">
      <w:pPr>
        <w:pStyle w:val="4"/>
        <w:rPr>
          <w:rFonts w:hint="eastAsia" w:ascii="宋体" w:hAnsi="宋体" w:cs="宋体"/>
          <w:color w:val="auto"/>
          <w:sz w:val="28"/>
          <w:szCs w:val="28"/>
          <w:lang w:val="en-US" w:eastAsia="zh-CN"/>
        </w:rPr>
      </w:pPr>
    </w:p>
    <w:p w14:paraId="4188A797">
      <w:pPr>
        <w:rPr>
          <w:rFonts w:hint="eastAsia"/>
          <w:lang w:val="en-US" w:eastAsia="zh-CN"/>
        </w:rPr>
      </w:pPr>
    </w:p>
    <w:bookmarkEnd w:id="1098"/>
    <w:p w14:paraId="2649BB3D">
      <w:pPr>
        <w:pStyle w:val="22"/>
        <w:numPr>
          <w:ilvl w:val="0"/>
          <w:numId w:val="3"/>
        </w:numPr>
        <w:spacing w:line="400" w:lineRule="exact"/>
        <w:ind w:firstLine="643"/>
        <w:outlineLvl w:val="0"/>
        <w:rPr>
          <w:rFonts w:hint="eastAsia" w:ascii="宋体" w:hAnsi="宋体" w:eastAsia="宋体" w:cs="宋体"/>
          <w:color w:val="000000"/>
          <w:highlight w:val="none"/>
        </w:rPr>
      </w:pPr>
      <w:bookmarkStart w:id="1401" w:name="_Toc21122"/>
      <w:bookmarkStart w:id="1402" w:name="_Toc31498"/>
      <w:r>
        <w:rPr>
          <w:rFonts w:hint="eastAsia" w:ascii="宋体" w:hAnsi="宋体" w:eastAsia="宋体" w:cs="宋体"/>
          <w:color w:val="000000"/>
          <w:highlight w:val="none"/>
        </w:rPr>
        <w:t>采购需求</w:t>
      </w:r>
      <w:bookmarkEnd w:id="1401"/>
      <w:bookmarkEnd w:id="1402"/>
    </w:p>
    <w:bookmarkEnd w:id="1099"/>
    <w:bookmarkEnd w:id="1100"/>
    <w:bookmarkEnd w:id="1101"/>
    <w:p w14:paraId="421969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27D9EE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（一）高铁站区概念性城市设计</w:t>
      </w:r>
    </w:p>
    <w:p w14:paraId="7DF533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新国土空间规划体制下，通过编制相关高铁站前区概念性城市设计方案，为下一步广场方案设计提供参考借鉴。同时，通过站前区概念性城市设计的编制，对站前区控制建设用地性质，使用强度和空间环境进行引导，保证站区合理有序开发。研究内容包括站区功能定位、开发策略及目标、城市设计总图、高度及色彩控制、建筑控制、街区控制等，合理建议及安排站区实施等内容。</w:t>
      </w:r>
    </w:p>
    <w:p w14:paraId="597E7E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（二）站前广场概念性方案研究</w:t>
      </w:r>
    </w:p>
    <w:p w14:paraId="134914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对建设条件分析、站前广场规模论证分析，结合铁路线路及息县南站铁路站场段设计方案，确保站前广场及周边地块在功能、竖向、 给排水等各方面与铁路设计做好衔接。对包括广场及广场内部建筑、道路、 绿化等的空间布局和竖向规划进行研究分析，完成总平面设计及相关分析等。</w:t>
      </w:r>
    </w:p>
    <w:p w14:paraId="7A06BB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（三）涉铁通道专题研究</w:t>
      </w:r>
    </w:p>
    <w:p w14:paraId="25B80B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结合铁路规划桥梁、涵洞等相关设计数据，通过对现状、规划道路与铁路的关系进行梳理，整理出县域涉铁通道条数，并对相关道路线位及竖向进行规划调整，以满足道路涉铁要求，并形成专题研究报告内容。</w:t>
      </w:r>
    </w:p>
    <w:p w14:paraId="27230DEE">
      <w:pPr>
        <w:rPr>
          <w:rFonts w:hint="eastAsia" w:ascii="宋体" w:hAnsi="宋体" w:cs="宋体"/>
          <w:bCs w:val="0"/>
          <w:color w:val="auto"/>
          <w:sz w:val="28"/>
          <w:szCs w:val="28"/>
        </w:rPr>
        <w:sectPr>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p>
    <w:p w14:paraId="2C345774">
      <w:pPr>
        <w:pStyle w:val="22"/>
        <w:spacing w:line="400" w:lineRule="exact"/>
        <w:ind w:firstLine="643"/>
        <w:outlineLvl w:val="0"/>
        <w:rPr>
          <w:rFonts w:hint="eastAsia" w:ascii="宋体" w:hAnsi="宋体" w:eastAsia="宋体" w:cs="宋体"/>
          <w:color w:val="000000"/>
          <w:highlight w:val="none"/>
          <w:lang w:eastAsia="zh-CN"/>
        </w:rPr>
      </w:pPr>
      <w:bookmarkStart w:id="1403" w:name="_Toc21882"/>
      <w:r>
        <w:rPr>
          <w:rFonts w:hint="eastAsia" w:ascii="宋体" w:hAnsi="宋体" w:eastAsia="宋体" w:cs="宋体"/>
          <w:color w:val="000000"/>
          <w:highlight w:val="none"/>
        </w:rPr>
        <w:t xml:space="preserve">第六章  </w:t>
      </w:r>
      <w:r>
        <w:rPr>
          <w:rFonts w:hint="eastAsia" w:ascii="宋体" w:hAnsi="宋体" w:eastAsia="宋体" w:cs="宋体"/>
          <w:color w:val="000000"/>
          <w:highlight w:val="none"/>
          <w:lang w:eastAsia="zh-CN"/>
        </w:rPr>
        <w:t>竞争性磋商响应文件格式</w:t>
      </w:r>
      <w:bookmarkEnd w:id="1403"/>
    </w:p>
    <w:p w14:paraId="6AA500FE">
      <w:pPr>
        <w:spacing w:line="400" w:lineRule="exact"/>
        <w:rPr>
          <w:rFonts w:hint="eastAsia" w:ascii="宋体" w:hAnsi="宋体" w:cs="宋体"/>
          <w:color w:val="auto"/>
        </w:rPr>
      </w:pPr>
    </w:p>
    <w:p w14:paraId="601BA421">
      <w:pPr>
        <w:spacing w:line="440" w:lineRule="exact"/>
        <w:jc w:val="right"/>
        <w:rPr>
          <w:rFonts w:hint="eastAsia" w:ascii="宋体" w:hAnsi="宋体" w:cs="宋体"/>
          <w:color w:val="auto"/>
          <w:sz w:val="24"/>
          <w:bdr w:val="single" w:color="auto" w:sz="4" w:space="0"/>
        </w:rPr>
      </w:pPr>
    </w:p>
    <w:p w14:paraId="16787549">
      <w:pPr>
        <w:spacing w:line="440" w:lineRule="exact"/>
        <w:rPr>
          <w:rFonts w:hint="eastAsia" w:ascii="宋体" w:hAnsi="宋体" w:cs="宋体"/>
          <w:color w:val="auto"/>
          <w:sz w:val="24"/>
        </w:rPr>
      </w:pPr>
    </w:p>
    <w:p w14:paraId="6E1E7F8F">
      <w:pPr>
        <w:jc w:val="center"/>
        <w:rPr>
          <w:rFonts w:hint="eastAsia" w:ascii="宋体" w:hAnsi="宋体" w:eastAsia="宋体" w:cs="宋体"/>
          <w:b/>
          <w:bCs/>
          <w:color w:val="auto"/>
          <w:sz w:val="30"/>
          <w:szCs w:val="30"/>
          <w:lang w:eastAsia="zh-CN"/>
        </w:rPr>
      </w:pPr>
      <w:r>
        <w:rPr>
          <w:rFonts w:hint="eastAsia" w:ascii="宋体" w:hAnsi="宋体" w:cs="宋体"/>
          <w:b/>
          <w:bCs/>
          <w:color w:val="auto"/>
          <w:sz w:val="30"/>
          <w:szCs w:val="30"/>
          <w:u w:val="single"/>
        </w:rPr>
        <w:t xml:space="preserve">                     </w:t>
      </w:r>
      <w:r>
        <w:rPr>
          <w:rFonts w:hint="eastAsia" w:ascii="宋体" w:hAnsi="宋体" w:cs="宋体"/>
          <w:b/>
          <w:bCs/>
          <w:color w:val="auto"/>
          <w:sz w:val="30"/>
          <w:szCs w:val="30"/>
        </w:rPr>
        <w:t>（项目名称）</w:t>
      </w:r>
    </w:p>
    <w:p w14:paraId="021F04ED">
      <w:pPr>
        <w:jc w:val="center"/>
        <w:rPr>
          <w:rFonts w:hint="eastAsia" w:ascii="宋体" w:hAnsi="宋体" w:cs="宋体"/>
          <w:color w:val="auto"/>
          <w:sz w:val="28"/>
          <w:szCs w:val="28"/>
        </w:rPr>
      </w:pPr>
    </w:p>
    <w:p w14:paraId="6DD0516B">
      <w:pPr>
        <w:jc w:val="center"/>
        <w:rPr>
          <w:rFonts w:hint="eastAsia" w:ascii="宋体" w:hAnsi="宋体" w:cs="宋体"/>
          <w:color w:val="auto"/>
          <w:sz w:val="28"/>
          <w:szCs w:val="28"/>
        </w:rPr>
      </w:pPr>
    </w:p>
    <w:p w14:paraId="303D8635">
      <w:pPr>
        <w:spacing w:line="720" w:lineRule="auto"/>
        <w:jc w:val="center"/>
        <w:rPr>
          <w:rFonts w:hint="eastAsia" w:ascii="宋体" w:hAnsi="宋体" w:cs="宋体"/>
          <w:b/>
          <w:bCs/>
          <w:color w:val="auto"/>
          <w:sz w:val="72"/>
          <w:szCs w:val="84"/>
        </w:rPr>
      </w:pPr>
    </w:p>
    <w:p w14:paraId="1F03F503">
      <w:pPr>
        <w:spacing w:line="720" w:lineRule="auto"/>
        <w:jc w:val="center"/>
        <w:rPr>
          <w:rFonts w:hint="eastAsia" w:ascii="宋体" w:hAnsi="宋体" w:cs="宋体"/>
          <w:b/>
          <w:bCs/>
          <w:color w:val="auto"/>
          <w:sz w:val="72"/>
          <w:szCs w:val="84"/>
        </w:rPr>
      </w:pPr>
    </w:p>
    <w:p w14:paraId="7610DC6F">
      <w:pPr>
        <w:spacing w:line="720" w:lineRule="auto"/>
        <w:jc w:val="center"/>
        <w:rPr>
          <w:rFonts w:hint="eastAsia" w:ascii="宋体" w:hAnsi="宋体" w:cs="宋体"/>
          <w:color w:val="auto"/>
          <w:sz w:val="72"/>
          <w:szCs w:val="84"/>
        </w:rPr>
      </w:pPr>
      <w:r>
        <w:rPr>
          <w:rFonts w:hint="eastAsia" w:ascii="宋体" w:hAnsi="宋体" w:cs="宋体"/>
          <w:b/>
          <w:bCs/>
          <w:color w:val="auto"/>
          <w:sz w:val="72"/>
          <w:szCs w:val="84"/>
        </w:rPr>
        <w:t>响 应 文 件</w:t>
      </w:r>
    </w:p>
    <w:p w14:paraId="2F96899D">
      <w:pPr>
        <w:spacing w:line="400" w:lineRule="exact"/>
        <w:rPr>
          <w:rFonts w:hint="eastAsia" w:ascii="宋体" w:hAnsi="宋体" w:cs="宋体"/>
          <w:color w:val="auto"/>
          <w:sz w:val="28"/>
          <w:szCs w:val="28"/>
        </w:rPr>
      </w:pPr>
    </w:p>
    <w:p w14:paraId="31B1F7D6">
      <w:pPr>
        <w:spacing w:line="400" w:lineRule="exact"/>
        <w:rPr>
          <w:rFonts w:hint="eastAsia" w:ascii="宋体" w:hAnsi="宋体" w:cs="宋体"/>
          <w:color w:val="auto"/>
          <w:sz w:val="28"/>
          <w:szCs w:val="28"/>
        </w:rPr>
      </w:pPr>
    </w:p>
    <w:p w14:paraId="7EA9ADEE">
      <w:pPr>
        <w:spacing w:line="400" w:lineRule="exact"/>
        <w:rPr>
          <w:rFonts w:hint="eastAsia" w:ascii="宋体" w:hAnsi="宋体" w:cs="宋体"/>
          <w:color w:val="auto"/>
          <w:sz w:val="28"/>
          <w:szCs w:val="28"/>
        </w:rPr>
      </w:pPr>
    </w:p>
    <w:p w14:paraId="4AC8EFA1">
      <w:pPr>
        <w:spacing w:line="400" w:lineRule="exact"/>
        <w:rPr>
          <w:rFonts w:hint="eastAsia" w:ascii="宋体" w:hAnsi="宋体" w:cs="宋体"/>
          <w:color w:val="auto"/>
          <w:sz w:val="28"/>
          <w:szCs w:val="28"/>
        </w:rPr>
      </w:pPr>
    </w:p>
    <w:p w14:paraId="47ACA122">
      <w:pPr>
        <w:spacing w:line="400" w:lineRule="exact"/>
        <w:rPr>
          <w:rFonts w:hint="eastAsia" w:ascii="宋体" w:hAnsi="宋体" w:cs="宋体"/>
          <w:color w:val="auto"/>
          <w:sz w:val="28"/>
          <w:szCs w:val="28"/>
        </w:rPr>
      </w:pPr>
    </w:p>
    <w:p w14:paraId="13F75533">
      <w:pPr>
        <w:spacing w:line="400" w:lineRule="exact"/>
        <w:rPr>
          <w:rFonts w:hint="eastAsia" w:ascii="宋体" w:hAnsi="宋体" w:cs="宋体"/>
          <w:color w:val="auto"/>
          <w:sz w:val="28"/>
          <w:szCs w:val="28"/>
        </w:rPr>
      </w:pPr>
    </w:p>
    <w:p w14:paraId="21247F4D">
      <w:pPr>
        <w:spacing w:line="400" w:lineRule="exact"/>
        <w:rPr>
          <w:rFonts w:hint="eastAsia" w:ascii="宋体" w:hAnsi="宋体" w:cs="宋体"/>
          <w:color w:val="auto"/>
          <w:sz w:val="28"/>
          <w:szCs w:val="28"/>
        </w:rPr>
      </w:pPr>
    </w:p>
    <w:p w14:paraId="0DA40D93">
      <w:pPr>
        <w:spacing w:line="400" w:lineRule="exact"/>
        <w:rPr>
          <w:rFonts w:hint="eastAsia" w:ascii="宋体" w:hAnsi="宋体" w:cs="宋体"/>
          <w:color w:val="auto"/>
          <w:sz w:val="28"/>
          <w:szCs w:val="28"/>
        </w:rPr>
      </w:pPr>
    </w:p>
    <w:p w14:paraId="41BD5517">
      <w:pPr>
        <w:spacing w:line="400" w:lineRule="exact"/>
        <w:rPr>
          <w:rFonts w:hint="eastAsia" w:ascii="宋体" w:hAnsi="宋体" w:cs="宋体"/>
          <w:color w:val="auto"/>
          <w:sz w:val="28"/>
          <w:szCs w:val="28"/>
        </w:rPr>
      </w:pPr>
    </w:p>
    <w:p w14:paraId="7E077995">
      <w:pPr>
        <w:spacing w:line="480" w:lineRule="auto"/>
        <w:jc w:val="center"/>
        <w:rPr>
          <w:rFonts w:hint="eastAsia" w:ascii="宋体" w:hAnsi="宋体" w:cs="宋体"/>
          <w:color w:val="auto"/>
          <w:sz w:val="24"/>
        </w:rPr>
      </w:pPr>
      <w:r>
        <w:rPr>
          <w:rFonts w:hint="eastAsia" w:ascii="宋体" w:hAnsi="宋体" w:cs="宋体"/>
          <w:color w:val="auto"/>
          <w:sz w:val="24"/>
          <w:lang w:eastAsia="zh-CN"/>
        </w:rPr>
        <w:t>投标</w:t>
      </w: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 xml:space="preserve"> （单位电子签章）</w:t>
      </w:r>
    </w:p>
    <w:p w14:paraId="25D745D7">
      <w:pPr>
        <w:spacing w:line="480" w:lineRule="auto"/>
        <w:jc w:val="center"/>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（电子签名或盖章）</w:t>
      </w:r>
    </w:p>
    <w:p w14:paraId="1644E140">
      <w:pPr>
        <w:spacing w:line="480" w:lineRule="auto"/>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4495E65">
      <w:pPr>
        <w:spacing w:line="400" w:lineRule="exact"/>
        <w:rPr>
          <w:rFonts w:hint="eastAsia" w:ascii="宋体" w:hAnsi="宋体" w:cs="宋体"/>
          <w:color w:val="auto"/>
          <w:sz w:val="22"/>
          <w:szCs w:val="28"/>
        </w:rPr>
      </w:pPr>
    </w:p>
    <w:p w14:paraId="0A329CEF">
      <w:pPr>
        <w:pStyle w:val="31"/>
        <w:jc w:val="center"/>
        <w:rPr>
          <w:rFonts w:hint="eastAsia" w:ascii="宋体" w:hAnsi="宋体" w:eastAsia="宋体"/>
          <w:color w:val="auto"/>
          <w:sz w:val="32"/>
          <w:szCs w:val="32"/>
        </w:rPr>
      </w:pPr>
      <w:bookmarkStart w:id="1404" w:name="_Toc152042576"/>
      <w:bookmarkStart w:id="1405" w:name="_Toc152045787"/>
      <w:bookmarkStart w:id="1406" w:name="_Toc466298157"/>
      <w:bookmarkStart w:id="1407" w:name="_Toc20198"/>
      <w:bookmarkStart w:id="1408" w:name="_Toc9509"/>
      <w:bookmarkStart w:id="1409" w:name="_Toc8978"/>
      <w:bookmarkStart w:id="1410" w:name="_Toc144974856"/>
      <w:bookmarkStart w:id="1411" w:name="_Toc788"/>
      <w:r>
        <w:rPr>
          <w:rFonts w:hint="eastAsia" w:ascii="宋体" w:hAnsi="宋体" w:eastAsia="宋体"/>
          <w:color w:val="auto"/>
          <w:sz w:val="32"/>
          <w:szCs w:val="32"/>
        </w:rPr>
        <w:t>目    录</w:t>
      </w:r>
      <w:bookmarkEnd w:id="1404"/>
      <w:bookmarkEnd w:id="1405"/>
      <w:bookmarkEnd w:id="1406"/>
      <w:bookmarkEnd w:id="1407"/>
      <w:bookmarkEnd w:id="1408"/>
      <w:bookmarkEnd w:id="1409"/>
      <w:bookmarkEnd w:id="1410"/>
      <w:bookmarkEnd w:id="1411"/>
    </w:p>
    <w:p w14:paraId="3AD4BA7D">
      <w:pPr>
        <w:spacing w:line="540" w:lineRule="exact"/>
        <w:rPr>
          <w:rFonts w:hint="eastAsia" w:ascii="宋体" w:hAnsi="宋体" w:cs="宋体"/>
          <w:color w:val="auto"/>
          <w:sz w:val="24"/>
          <w:szCs w:val="32"/>
        </w:rPr>
      </w:pPr>
    </w:p>
    <w:p w14:paraId="54C9CCF1">
      <w:pPr>
        <w:spacing w:line="360" w:lineRule="auto"/>
        <w:rPr>
          <w:rFonts w:hint="eastAsia" w:ascii="宋体" w:hAnsi="宋体" w:cs="宋体"/>
          <w:color w:val="auto"/>
          <w:sz w:val="24"/>
          <w:szCs w:val="28"/>
        </w:rPr>
      </w:pPr>
      <w:r>
        <w:rPr>
          <w:rFonts w:hint="eastAsia" w:ascii="宋体" w:hAnsi="宋体" w:cs="宋体"/>
          <w:color w:val="auto"/>
          <w:sz w:val="24"/>
          <w:szCs w:val="28"/>
        </w:rPr>
        <w:t>一、响应函及响应函附录</w:t>
      </w:r>
    </w:p>
    <w:p w14:paraId="1087BD2A">
      <w:pPr>
        <w:spacing w:line="360" w:lineRule="auto"/>
        <w:rPr>
          <w:rFonts w:hint="eastAsia" w:ascii="宋体" w:hAnsi="宋体" w:cs="宋体"/>
          <w:color w:val="auto"/>
          <w:sz w:val="24"/>
          <w:szCs w:val="28"/>
        </w:rPr>
      </w:pPr>
      <w:r>
        <w:rPr>
          <w:rFonts w:hint="eastAsia" w:ascii="宋体" w:hAnsi="宋体" w:cs="宋体"/>
          <w:color w:val="auto"/>
          <w:sz w:val="24"/>
          <w:szCs w:val="28"/>
        </w:rPr>
        <w:t>二、法定代表</w:t>
      </w:r>
      <w:r>
        <w:rPr>
          <w:rFonts w:hint="eastAsia" w:ascii="宋体" w:hAnsi="宋体" w:cs="宋体"/>
          <w:color w:val="auto"/>
          <w:sz w:val="24"/>
          <w:szCs w:val="28"/>
          <w:lang w:eastAsia="zh-CN"/>
        </w:rPr>
        <w:t>人</w:t>
      </w:r>
      <w:r>
        <w:rPr>
          <w:rFonts w:hint="eastAsia" w:ascii="宋体" w:hAnsi="宋体" w:cs="宋体"/>
          <w:color w:val="auto"/>
          <w:sz w:val="24"/>
          <w:szCs w:val="28"/>
        </w:rPr>
        <w:t>身份证明</w:t>
      </w:r>
      <w:r>
        <w:rPr>
          <w:rFonts w:hint="eastAsia" w:ascii="宋体" w:hAnsi="宋体" w:cs="宋体"/>
          <w:color w:val="auto"/>
          <w:sz w:val="24"/>
          <w:szCs w:val="28"/>
        </w:rPr>
        <w:tab/>
      </w:r>
    </w:p>
    <w:p w14:paraId="1CB477C1">
      <w:pPr>
        <w:spacing w:line="360" w:lineRule="auto"/>
        <w:rPr>
          <w:rFonts w:hint="eastAsia" w:ascii="宋体" w:hAnsi="宋体" w:cs="宋体"/>
          <w:color w:val="auto"/>
          <w:sz w:val="24"/>
          <w:szCs w:val="28"/>
        </w:rPr>
      </w:pPr>
      <w:r>
        <w:rPr>
          <w:rFonts w:hint="eastAsia" w:ascii="宋体" w:hAnsi="宋体" w:cs="宋体"/>
          <w:color w:val="auto"/>
          <w:sz w:val="24"/>
          <w:szCs w:val="28"/>
        </w:rPr>
        <w:t>三、授权委托书</w:t>
      </w:r>
      <w:r>
        <w:rPr>
          <w:rFonts w:hint="eastAsia" w:ascii="宋体" w:hAnsi="宋体" w:cs="宋体"/>
          <w:color w:val="auto"/>
          <w:sz w:val="24"/>
          <w:szCs w:val="28"/>
        </w:rPr>
        <w:tab/>
      </w:r>
    </w:p>
    <w:p w14:paraId="3A4E6694">
      <w:pPr>
        <w:spacing w:line="360" w:lineRule="auto"/>
        <w:rPr>
          <w:rFonts w:hint="eastAsia" w:ascii="宋体" w:hAnsi="宋体" w:cs="宋体"/>
          <w:color w:val="auto"/>
          <w:sz w:val="24"/>
          <w:szCs w:val="28"/>
        </w:rPr>
      </w:pPr>
      <w:r>
        <w:rPr>
          <w:rFonts w:hint="eastAsia" w:ascii="宋体" w:hAnsi="宋体" w:cs="宋体"/>
          <w:color w:val="auto"/>
          <w:sz w:val="24"/>
          <w:szCs w:val="28"/>
        </w:rPr>
        <w:t>四、商务及技术偏差表</w:t>
      </w:r>
    </w:p>
    <w:p w14:paraId="75942267">
      <w:pPr>
        <w:spacing w:line="360" w:lineRule="auto"/>
        <w:rPr>
          <w:rFonts w:hint="eastAsia" w:ascii="宋体" w:hAnsi="宋体" w:cs="宋体"/>
          <w:color w:val="auto"/>
          <w:sz w:val="24"/>
          <w:szCs w:val="28"/>
        </w:rPr>
      </w:pPr>
      <w:r>
        <w:rPr>
          <w:rFonts w:hint="eastAsia" w:ascii="宋体" w:hAnsi="宋体" w:cs="宋体"/>
          <w:color w:val="auto"/>
          <w:sz w:val="24"/>
          <w:szCs w:val="28"/>
        </w:rPr>
        <w:t>五、资格审查资料</w:t>
      </w:r>
      <w:r>
        <w:rPr>
          <w:rFonts w:hint="eastAsia" w:ascii="宋体" w:hAnsi="宋体" w:cs="宋体"/>
          <w:color w:val="auto"/>
          <w:sz w:val="24"/>
          <w:szCs w:val="28"/>
        </w:rPr>
        <w:tab/>
      </w:r>
    </w:p>
    <w:p w14:paraId="170AA8C4">
      <w:pPr>
        <w:spacing w:line="360" w:lineRule="auto"/>
        <w:rPr>
          <w:rFonts w:hint="eastAsia" w:ascii="宋体" w:hAnsi="宋体" w:cs="宋体"/>
          <w:color w:val="auto"/>
          <w:sz w:val="24"/>
          <w:szCs w:val="28"/>
        </w:rPr>
      </w:pPr>
      <w:r>
        <w:rPr>
          <w:rFonts w:hint="eastAsia" w:ascii="宋体" w:hAnsi="宋体" w:cs="宋体"/>
          <w:color w:val="auto"/>
          <w:sz w:val="24"/>
          <w:szCs w:val="28"/>
        </w:rPr>
        <w:t>六、中小企业声明函（服务类）</w:t>
      </w:r>
    </w:p>
    <w:p w14:paraId="228569DB">
      <w:pPr>
        <w:spacing w:line="360" w:lineRule="auto"/>
        <w:rPr>
          <w:rFonts w:hint="eastAsia" w:ascii="宋体" w:hAnsi="宋体" w:cs="宋体"/>
          <w:color w:val="auto"/>
          <w:sz w:val="24"/>
          <w:szCs w:val="28"/>
        </w:rPr>
      </w:pPr>
      <w:r>
        <w:rPr>
          <w:rFonts w:hint="eastAsia" w:ascii="宋体" w:hAnsi="宋体" w:cs="宋体"/>
          <w:color w:val="auto"/>
          <w:sz w:val="24"/>
          <w:szCs w:val="28"/>
        </w:rPr>
        <w:t>七、残疾人福利性单位声明函</w:t>
      </w:r>
      <w:r>
        <w:rPr>
          <w:rFonts w:hint="eastAsia" w:ascii="宋体" w:hAnsi="宋体" w:cs="宋体"/>
          <w:color w:val="auto"/>
          <w:sz w:val="24"/>
          <w:szCs w:val="28"/>
        </w:rPr>
        <w:tab/>
      </w:r>
    </w:p>
    <w:p w14:paraId="44A769B3">
      <w:pPr>
        <w:spacing w:line="360" w:lineRule="auto"/>
        <w:rPr>
          <w:rFonts w:hint="eastAsia" w:ascii="宋体" w:hAnsi="宋体" w:cs="宋体"/>
          <w:color w:val="auto"/>
          <w:sz w:val="24"/>
          <w:szCs w:val="28"/>
        </w:rPr>
      </w:pPr>
      <w:r>
        <w:rPr>
          <w:rFonts w:hint="eastAsia" w:ascii="宋体" w:hAnsi="宋体" w:cs="宋体"/>
          <w:color w:val="auto"/>
          <w:sz w:val="24"/>
          <w:szCs w:val="28"/>
        </w:rPr>
        <w:t>八、监狱企业证明文件（如有）</w:t>
      </w:r>
    </w:p>
    <w:p w14:paraId="26BA2CB3">
      <w:pPr>
        <w:spacing w:line="360" w:lineRule="auto"/>
        <w:rPr>
          <w:rFonts w:hint="eastAsia" w:ascii="宋体" w:hAnsi="宋体" w:cs="宋体"/>
          <w:color w:val="auto"/>
          <w:sz w:val="24"/>
          <w:szCs w:val="28"/>
        </w:rPr>
      </w:pPr>
      <w:r>
        <w:rPr>
          <w:rFonts w:hint="eastAsia" w:ascii="宋体" w:hAnsi="宋体" w:cs="宋体"/>
          <w:color w:val="auto"/>
          <w:sz w:val="24"/>
          <w:szCs w:val="28"/>
        </w:rPr>
        <w:t>九、反商业贿赂承诺书</w:t>
      </w:r>
    </w:p>
    <w:p w14:paraId="6EF3AF3E">
      <w:pPr>
        <w:spacing w:line="360" w:lineRule="auto"/>
        <w:rPr>
          <w:rFonts w:hint="eastAsia" w:ascii="宋体" w:hAnsi="宋体" w:cs="宋体"/>
          <w:color w:val="auto"/>
          <w:sz w:val="24"/>
          <w:szCs w:val="28"/>
        </w:rPr>
      </w:pPr>
      <w:r>
        <w:rPr>
          <w:rFonts w:hint="eastAsia" w:ascii="宋体" w:hAnsi="宋体" w:cs="宋体"/>
          <w:color w:val="auto"/>
          <w:sz w:val="24"/>
          <w:szCs w:val="28"/>
        </w:rPr>
        <w:t>十、其他材料</w:t>
      </w:r>
      <w:r>
        <w:rPr>
          <w:rFonts w:hint="eastAsia" w:ascii="宋体" w:hAnsi="宋体" w:cs="宋体"/>
          <w:color w:val="auto"/>
          <w:sz w:val="24"/>
          <w:szCs w:val="28"/>
        </w:rPr>
        <w:tab/>
      </w:r>
    </w:p>
    <w:p w14:paraId="6B5C9D1E">
      <w:pPr>
        <w:spacing w:line="540" w:lineRule="exact"/>
        <w:rPr>
          <w:rFonts w:hint="eastAsia" w:ascii="宋体" w:hAnsi="宋体" w:cs="宋体"/>
          <w:color w:val="auto"/>
        </w:rPr>
      </w:pPr>
    </w:p>
    <w:p w14:paraId="2A33E040">
      <w:pPr>
        <w:spacing w:line="540" w:lineRule="exact"/>
        <w:rPr>
          <w:rFonts w:hint="eastAsia" w:ascii="宋体" w:hAnsi="宋体" w:cs="宋体"/>
          <w:color w:val="auto"/>
        </w:rPr>
      </w:pPr>
    </w:p>
    <w:p w14:paraId="02A18A1E">
      <w:pPr>
        <w:spacing w:line="540" w:lineRule="exact"/>
        <w:rPr>
          <w:rFonts w:hint="eastAsia" w:ascii="宋体" w:hAnsi="宋体" w:cs="宋体"/>
          <w:color w:val="auto"/>
        </w:rPr>
      </w:pPr>
    </w:p>
    <w:p w14:paraId="6BC0826F">
      <w:pPr>
        <w:pStyle w:val="2"/>
        <w:rPr>
          <w:rFonts w:hint="eastAsia"/>
        </w:rPr>
      </w:pPr>
    </w:p>
    <w:p w14:paraId="3ABD236E">
      <w:pPr>
        <w:pStyle w:val="4"/>
        <w:rPr>
          <w:rFonts w:hint="eastAsia"/>
        </w:rPr>
      </w:pPr>
    </w:p>
    <w:p w14:paraId="64AF62F2">
      <w:pPr>
        <w:rPr>
          <w:rFonts w:hint="eastAsia"/>
        </w:rPr>
      </w:pPr>
    </w:p>
    <w:p w14:paraId="46A80957">
      <w:pPr>
        <w:pStyle w:val="2"/>
        <w:rPr>
          <w:rFonts w:hint="eastAsia"/>
        </w:rPr>
      </w:pPr>
    </w:p>
    <w:p w14:paraId="13FCF9D5">
      <w:pPr>
        <w:pStyle w:val="4"/>
        <w:rPr>
          <w:rFonts w:hint="eastAsia"/>
        </w:rPr>
      </w:pPr>
    </w:p>
    <w:p w14:paraId="63B36FDA">
      <w:pPr>
        <w:rPr>
          <w:rFonts w:hint="eastAsia"/>
        </w:rPr>
      </w:pPr>
    </w:p>
    <w:p w14:paraId="52C6A475">
      <w:pPr>
        <w:pStyle w:val="2"/>
        <w:rPr>
          <w:rFonts w:hint="eastAsia"/>
        </w:rPr>
      </w:pPr>
    </w:p>
    <w:p w14:paraId="2940D475">
      <w:pPr>
        <w:pStyle w:val="4"/>
        <w:rPr>
          <w:rFonts w:hint="eastAsia"/>
        </w:rPr>
      </w:pPr>
    </w:p>
    <w:p w14:paraId="538ACB94">
      <w:pPr>
        <w:pStyle w:val="31"/>
        <w:numPr>
          <w:ilvl w:val="0"/>
          <w:numId w:val="4"/>
        </w:numPr>
        <w:spacing w:line="360" w:lineRule="auto"/>
        <w:jc w:val="center"/>
        <w:outlineLvl w:val="1"/>
        <w:rPr>
          <w:rFonts w:hint="eastAsia" w:ascii="宋体" w:hAnsi="宋体" w:eastAsia="宋体"/>
          <w:b/>
          <w:color w:val="auto"/>
          <w:szCs w:val="28"/>
        </w:rPr>
      </w:pPr>
      <w:bookmarkStart w:id="1412" w:name="_Toc152045788"/>
      <w:bookmarkStart w:id="1413" w:name="_Toc152042577"/>
      <w:bookmarkStart w:id="1414" w:name="_Toc144974857"/>
      <w:bookmarkStart w:id="1415" w:name="_Toc466298158"/>
      <w:bookmarkStart w:id="1416" w:name="_Toc23074"/>
      <w:bookmarkStart w:id="1417" w:name="_Toc9911"/>
      <w:bookmarkStart w:id="1418" w:name="_Toc8095"/>
      <w:r>
        <w:rPr>
          <w:rFonts w:hint="eastAsia" w:ascii="宋体" w:hAnsi="宋体" w:eastAsia="宋体"/>
          <w:b/>
          <w:color w:val="auto"/>
          <w:szCs w:val="28"/>
          <w:lang w:eastAsia="zh-CN"/>
        </w:rPr>
        <w:t>响应函</w:t>
      </w:r>
      <w:r>
        <w:rPr>
          <w:rFonts w:hint="eastAsia" w:ascii="宋体" w:hAnsi="宋体" w:eastAsia="宋体"/>
          <w:b/>
          <w:color w:val="auto"/>
          <w:szCs w:val="28"/>
        </w:rPr>
        <w:t>及</w:t>
      </w:r>
      <w:bookmarkEnd w:id="1412"/>
      <w:bookmarkEnd w:id="1413"/>
      <w:bookmarkEnd w:id="1414"/>
      <w:r>
        <w:rPr>
          <w:rFonts w:hint="eastAsia" w:ascii="宋体" w:hAnsi="宋体" w:eastAsia="宋体"/>
          <w:b/>
          <w:color w:val="auto"/>
          <w:szCs w:val="28"/>
          <w:lang w:eastAsia="zh-CN"/>
        </w:rPr>
        <w:t>响应函</w:t>
      </w:r>
      <w:r>
        <w:rPr>
          <w:rFonts w:hint="eastAsia" w:ascii="宋体" w:hAnsi="宋体" w:eastAsia="宋体"/>
          <w:b/>
          <w:color w:val="auto"/>
          <w:szCs w:val="28"/>
        </w:rPr>
        <w:t>附录</w:t>
      </w:r>
      <w:bookmarkEnd w:id="1415"/>
      <w:bookmarkEnd w:id="1416"/>
      <w:bookmarkEnd w:id="1417"/>
      <w:bookmarkEnd w:id="1418"/>
    </w:p>
    <w:p w14:paraId="53B70952">
      <w:pPr>
        <w:pStyle w:val="34"/>
        <w:numPr>
          <w:ilvl w:val="0"/>
          <w:numId w:val="5"/>
        </w:numPr>
        <w:spacing w:line="360" w:lineRule="auto"/>
        <w:jc w:val="center"/>
        <w:outlineLvl w:val="0"/>
        <w:rPr>
          <w:rFonts w:hint="eastAsia" w:ascii="宋体" w:hAnsi="宋体" w:eastAsia="宋体"/>
          <w:b/>
          <w:color w:val="auto"/>
          <w:szCs w:val="23"/>
        </w:rPr>
      </w:pPr>
      <w:bookmarkStart w:id="1419" w:name="_Toc22691"/>
      <w:bookmarkStart w:id="1420" w:name="_Toc19555"/>
      <w:r>
        <w:rPr>
          <w:rFonts w:hint="eastAsia" w:ascii="宋体" w:hAnsi="宋体" w:eastAsia="宋体"/>
          <w:b/>
          <w:color w:val="auto"/>
          <w:szCs w:val="23"/>
          <w:lang w:eastAsia="zh-CN"/>
        </w:rPr>
        <w:t>响应函</w:t>
      </w:r>
      <w:bookmarkEnd w:id="1419"/>
      <w:bookmarkEnd w:id="1420"/>
    </w:p>
    <w:p w14:paraId="1ACAA0FD">
      <w:pPr>
        <w:pStyle w:val="12"/>
        <w:spacing w:line="360" w:lineRule="auto"/>
        <w:ind w:left="112" w:leftChars="0" w:hanging="112" w:hangingChars="47"/>
        <w:rPr>
          <w:rFonts w:hint="eastAsia" w:ascii="宋体" w:hAnsi="宋体" w:eastAsia="宋体" w:cs="宋体"/>
          <w:color w:val="auto"/>
          <w:sz w:val="24"/>
          <w:szCs w:val="24"/>
        </w:rPr>
      </w:pPr>
      <w:bookmarkStart w:id="1421" w:name="_Toc447888814"/>
      <w:bookmarkStart w:id="1422" w:name="_Toc466298160"/>
      <w:bookmarkStart w:id="1423" w:name="_Toc19056"/>
      <w:bookmarkStart w:id="1424" w:name="_Toc490667893"/>
      <w:r>
        <w:rPr>
          <w:rFonts w:hint="eastAsia" w:ascii="宋体" w:hAnsi="宋体" w:eastAsia="宋体" w:cs="宋体"/>
          <w:color w:val="auto"/>
          <w:sz w:val="24"/>
          <w:szCs w:val="24"/>
        </w:rPr>
        <w:t>致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（采购人）</w:t>
      </w:r>
    </w:p>
    <w:p w14:paraId="2FF67F7F">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1．根据已收到的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，遵照《中华人民共和国政府采购法》等有关规定，经考察和认真研究本项目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及其它有关文件后，愿以人民币（大写</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）的磋商总报价作为第一次磋商报价，按合同约定实施和完成本项目，并承担其任何质量缺陷等问题所造成的任何损失。</w:t>
      </w:r>
    </w:p>
    <w:p w14:paraId="3224485F">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2．我方已详细检查全部</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包括澄清文件、补充通知（如有的话）及有关附件，并完全理解我方必须放弃提出含糊不清或误解的权力，愿按照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中的条款和要求按最后一次的报价做为最后报价。</w:t>
      </w:r>
    </w:p>
    <w:p w14:paraId="0B120D58">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3．我方在此承诺，我方若能成交，保证在服务期限内，全面履行</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中规定的职责和义务。</w:t>
      </w:r>
    </w:p>
    <w:p w14:paraId="5508C240">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4．如果我方成交，我方保证按合同条款中规定的内容执行；我方保证质量达到国家及行业现行标准规范规定的合格要求，并按</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和有关规定提交一切资料。</w:t>
      </w:r>
    </w:p>
    <w:p w14:paraId="402A805E">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5．如果我方成交，我方将按照采购人规定提交履约保证金。</w:t>
      </w:r>
    </w:p>
    <w:p w14:paraId="6A025CB5">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6．我方同意从响应文件递交截止日期起</w:t>
      </w:r>
      <w:r>
        <w:rPr>
          <w:rFonts w:hint="eastAsia" w:ascii="宋体" w:hAnsi="宋体" w:eastAsia="宋体" w:cs="宋体"/>
          <w:color w:val="auto"/>
          <w:sz w:val="24"/>
          <w:szCs w:val="24"/>
          <w:u w:val="single"/>
        </w:rPr>
        <w:t xml:space="preserve">  60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日历天内保持</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有效，在此有效期内，我方将严格遵守</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的承诺，本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对我方具有约束力，并可随时被接受成交。</w:t>
      </w:r>
    </w:p>
    <w:p w14:paraId="02D93E79">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所提交的资料外，我方同意随时接受贵方的检查、询问，并根据磋商需要补充贵方要求提交的资料。</w:t>
      </w:r>
    </w:p>
    <w:p w14:paraId="3F9E56EC">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8．如果我方成交后，我方没有任何正当理由而拒签合同，同时我方愿意补偿该项工作因我方延误所造成的经济损失。</w:t>
      </w:r>
    </w:p>
    <w:p w14:paraId="5D508537">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9．我方愿接受合同条款中规定的合同价款计算和调整方式。</w:t>
      </w:r>
    </w:p>
    <w:p w14:paraId="097A904C">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10．除非另外达成协议并生效，贵方的成交通知书和本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将成为约束我方的合同文件组成部分。</w:t>
      </w:r>
    </w:p>
    <w:p w14:paraId="493FD685">
      <w:pPr>
        <w:pStyle w:val="12"/>
        <w:spacing w:line="420" w:lineRule="exact"/>
        <w:ind w:left="1" w:leftChars="0" w:firstLine="420" w:firstLineChars="200"/>
        <w:rPr>
          <w:rFonts w:hint="eastAsia" w:ascii="宋体" w:hAnsi="宋体"/>
          <w:color w:val="auto"/>
          <w:szCs w:val="21"/>
        </w:rPr>
      </w:pPr>
    </w:p>
    <w:p w14:paraId="508A97D6">
      <w:pPr>
        <w:pStyle w:val="12"/>
        <w:spacing w:line="420" w:lineRule="exact"/>
        <w:ind w:left="1" w:leftChars="0" w:firstLine="420" w:firstLineChars="200"/>
        <w:rPr>
          <w:rFonts w:hint="eastAsia" w:ascii="宋体" w:hAnsi="宋体"/>
          <w:color w:val="auto"/>
          <w:szCs w:val="21"/>
        </w:rPr>
      </w:pPr>
    </w:p>
    <w:p w14:paraId="0A01267D">
      <w:pPr>
        <w:pStyle w:val="12"/>
        <w:spacing w:line="420" w:lineRule="exact"/>
        <w:ind w:left="1" w:leftChars="0" w:firstLine="420" w:firstLineChars="200"/>
        <w:rPr>
          <w:rFonts w:hint="eastAsia" w:ascii="宋体" w:hAnsi="宋体"/>
          <w:color w:val="auto"/>
          <w:szCs w:val="21"/>
        </w:rPr>
      </w:pPr>
    </w:p>
    <w:p w14:paraId="7823ED71">
      <w:pPr>
        <w:pStyle w:val="12"/>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供应商：</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s="宋体"/>
          <w:color w:val="auto"/>
          <w:sz w:val="24"/>
          <w:szCs w:val="24"/>
        </w:rPr>
        <w:t>单位电子签章</w:t>
      </w:r>
      <w:r>
        <w:rPr>
          <w:rFonts w:hint="eastAsia" w:ascii="宋体" w:hAnsi="宋体"/>
          <w:color w:val="auto"/>
          <w:sz w:val="24"/>
          <w:szCs w:val="24"/>
        </w:rPr>
        <w:t>）</w:t>
      </w:r>
    </w:p>
    <w:p w14:paraId="35156CBB">
      <w:pPr>
        <w:pStyle w:val="12"/>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（电子签名或盖章）</w:t>
      </w:r>
    </w:p>
    <w:p w14:paraId="5420C481">
      <w:pPr>
        <w:pStyle w:val="12"/>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rPr>
        <w:t>委托代理人：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eastAsia="zh-CN"/>
        </w:rPr>
        <w:t>签字</w:t>
      </w:r>
      <w:r>
        <w:rPr>
          <w:rFonts w:hint="eastAsia" w:ascii="宋体" w:hAnsi="宋体"/>
          <w:color w:val="auto"/>
          <w:sz w:val="24"/>
          <w:szCs w:val="24"/>
        </w:rPr>
        <w:t>或盖章）</w:t>
      </w:r>
    </w:p>
    <w:p w14:paraId="4AC277B3">
      <w:pPr>
        <w:spacing w:line="360" w:lineRule="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color w:val="auto"/>
          <w:sz w:val="24"/>
          <w:szCs w:val="24"/>
        </w:rPr>
        <w:t>日</w:t>
      </w:r>
      <w:r>
        <w:rPr>
          <w:rFonts w:hint="eastAsia" w:ascii="宋体" w:hAnsi="宋体"/>
          <w:color w:val="auto"/>
          <w:sz w:val="24"/>
          <w:szCs w:val="24"/>
          <w:lang w:val="en-US" w:eastAsia="zh-CN"/>
        </w:rPr>
        <w:t xml:space="preserve">      </w:t>
      </w:r>
      <w:r>
        <w:rPr>
          <w:rFonts w:hint="eastAsia" w:ascii="宋体" w:hAnsi="宋体"/>
          <w:color w:val="auto"/>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602BD9B">
      <w:pPr>
        <w:pStyle w:val="7"/>
        <w:numPr>
          <w:ilvl w:val="1"/>
          <w:numId w:val="0"/>
        </w:numPr>
        <w:jc w:val="center"/>
        <w:rPr>
          <w:rFonts w:hint="eastAsia" w:ascii="宋体" w:hAnsi="宋体" w:eastAsia="宋体"/>
          <w:color w:val="auto"/>
          <w:sz w:val="28"/>
          <w:szCs w:val="28"/>
        </w:rPr>
      </w:pPr>
      <w:bookmarkStart w:id="1425" w:name="_Toc11398"/>
      <w:bookmarkStart w:id="1426" w:name="_Toc2666"/>
      <w:bookmarkStart w:id="1427" w:name="_Toc28910"/>
      <w:r>
        <w:rPr>
          <w:rFonts w:hint="eastAsia" w:ascii="宋体" w:hAnsi="宋体" w:eastAsia="宋体"/>
          <w:color w:val="auto"/>
          <w:sz w:val="28"/>
          <w:szCs w:val="28"/>
        </w:rPr>
        <w:t>（二）</w:t>
      </w:r>
      <w:bookmarkEnd w:id="1421"/>
      <w:bookmarkEnd w:id="1422"/>
      <w:r>
        <w:rPr>
          <w:rFonts w:hint="eastAsia" w:ascii="宋体" w:hAnsi="宋体" w:eastAsia="宋体"/>
          <w:color w:val="auto"/>
          <w:sz w:val="28"/>
          <w:szCs w:val="28"/>
          <w:lang w:eastAsia="zh-CN"/>
        </w:rPr>
        <w:t>响应函</w:t>
      </w:r>
      <w:r>
        <w:rPr>
          <w:rFonts w:hint="eastAsia" w:ascii="宋体" w:hAnsi="宋体" w:eastAsia="宋体"/>
          <w:color w:val="auto"/>
          <w:sz w:val="28"/>
          <w:szCs w:val="28"/>
        </w:rPr>
        <w:t>附录</w:t>
      </w:r>
      <w:bookmarkEnd w:id="1423"/>
      <w:bookmarkEnd w:id="1424"/>
      <w:bookmarkEnd w:id="1425"/>
      <w:bookmarkEnd w:id="1426"/>
      <w:bookmarkEnd w:id="1427"/>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3043"/>
        <w:gridCol w:w="4302"/>
      </w:tblGrid>
      <w:tr w14:paraId="1AE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14:paraId="7D12B90C">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tc>
        <w:tc>
          <w:tcPr>
            <w:tcW w:w="7345" w:type="dxa"/>
            <w:gridSpan w:val="2"/>
            <w:tcBorders>
              <w:top w:val="single" w:color="auto" w:sz="4" w:space="0"/>
              <w:left w:val="single" w:color="auto" w:sz="4" w:space="0"/>
              <w:bottom w:val="single" w:color="auto" w:sz="4" w:space="0"/>
              <w:right w:val="single" w:color="auto" w:sz="4" w:space="0"/>
            </w:tcBorders>
            <w:noWrap w:val="0"/>
            <w:vAlign w:val="center"/>
          </w:tcPr>
          <w:p w14:paraId="7DCAC5E5">
            <w:pPr>
              <w:rPr>
                <w:rFonts w:hint="eastAsia" w:ascii="宋体" w:hAnsi="宋体" w:eastAsia="宋体" w:cs="宋体"/>
                <w:color w:val="auto"/>
                <w:sz w:val="24"/>
                <w:szCs w:val="24"/>
              </w:rPr>
            </w:pPr>
          </w:p>
        </w:tc>
      </w:tr>
      <w:tr w14:paraId="02F8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14:paraId="2285DF54">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供应商</w:t>
            </w:r>
          </w:p>
        </w:tc>
        <w:tc>
          <w:tcPr>
            <w:tcW w:w="7345" w:type="dxa"/>
            <w:gridSpan w:val="2"/>
            <w:tcBorders>
              <w:top w:val="single" w:color="auto" w:sz="4" w:space="0"/>
              <w:left w:val="single" w:color="auto" w:sz="4" w:space="0"/>
              <w:bottom w:val="single" w:color="auto" w:sz="4" w:space="0"/>
              <w:right w:val="single" w:color="auto" w:sz="4" w:space="0"/>
            </w:tcBorders>
            <w:noWrap w:val="0"/>
            <w:vAlign w:val="center"/>
          </w:tcPr>
          <w:p w14:paraId="35BAF052">
            <w:pPr>
              <w:rPr>
                <w:rFonts w:hint="eastAsia" w:ascii="宋体" w:hAnsi="宋体" w:eastAsia="宋体" w:cs="宋体"/>
                <w:color w:val="auto"/>
                <w:sz w:val="24"/>
                <w:szCs w:val="24"/>
              </w:rPr>
            </w:pPr>
          </w:p>
        </w:tc>
      </w:tr>
      <w:tr w14:paraId="1BAF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874" w:type="dxa"/>
            <w:vMerge w:val="restart"/>
            <w:tcBorders>
              <w:top w:val="single" w:color="auto" w:sz="4" w:space="0"/>
              <w:left w:val="single" w:color="auto" w:sz="4" w:space="0"/>
              <w:right w:val="single" w:color="auto" w:sz="4" w:space="0"/>
            </w:tcBorders>
            <w:noWrap w:val="0"/>
            <w:vAlign w:val="center"/>
          </w:tcPr>
          <w:p w14:paraId="3090BCD0">
            <w:pPr>
              <w:spacing w:line="360" w:lineRule="exact"/>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响应报价（元）</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5107B05A">
            <w:pPr>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c>
          <w:tcPr>
            <w:tcW w:w="4302" w:type="dxa"/>
            <w:tcBorders>
              <w:top w:val="single" w:color="auto" w:sz="4" w:space="0"/>
              <w:left w:val="single" w:color="auto" w:sz="4" w:space="0"/>
              <w:bottom w:val="single" w:color="auto" w:sz="4" w:space="0"/>
              <w:right w:val="single" w:color="auto" w:sz="4" w:space="0"/>
            </w:tcBorders>
            <w:noWrap w:val="0"/>
            <w:vAlign w:val="center"/>
          </w:tcPr>
          <w:p w14:paraId="739D3C4A">
            <w:pPr>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r w14:paraId="7ECF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874" w:type="dxa"/>
            <w:vMerge w:val="continue"/>
            <w:tcBorders>
              <w:left w:val="single" w:color="auto" w:sz="4" w:space="0"/>
              <w:bottom w:val="single" w:color="auto" w:sz="4" w:space="0"/>
              <w:right w:val="single" w:color="auto" w:sz="4" w:space="0"/>
            </w:tcBorders>
            <w:noWrap w:val="0"/>
            <w:vAlign w:val="center"/>
          </w:tcPr>
          <w:p w14:paraId="326749A3">
            <w:pPr>
              <w:spacing w:line="360" w:lineRule="exact"/>
              <w:jc w:val="center"/>
              <w:rPr>
                <w:rFonts w:hint="eastAsia" w:ascii="宋体" w:hAnsi="宋体" w:eastAsia="宋体" w:cs="宋体"/>
                <w:color w:val="auto"/>
                <w:sz w:val="24"/>
                <w:szCs w:val="24"/>
              </w:rPr>
            </w:pPr>
          </w:p>
        </w:tc>
        <w:tc>
          <w:tcPr>
            <w:tcW w:w="7345" w:type="dxa"/>
            <w:gridSpan w:val="2"/>
            <w:tcBorders>
              <w:top w:val="single" w:color="auto" w:sz="4" w:space="0"/>
              <w:left w:val="single" w:color="auto" w:sz="4" w:space="0"/>
              <w:bottom w:val="single" w:color="auto" w:sz="4" w:space="0"/>
              <w:right w:val="single" w:color="auto" w:sz="4" w:space="0"/>
            </w:tcBorders>
            <w:noWrap w:val="0"/>
            <w:vAlign w:val="center"/>
          </w:tcPr>
          <w:p w14:paraId="2DB440FE">
            <w:pPr>
              <w:ind w:left="0" w:leftChars="0"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（供应商应在此填列第一次报价，但以供应商最后一次的磋商报价为成交价）</w:t>
            </w:r>
          </w:p>
        </w:tc>
      </w:tr>
      <w:tr w14:paraId="260A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14:paraId="4F00A553">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质量</w:t>
            </w:r>
          </w:p>
        </w:tc>
        <w:tc>
          <w:tcPr>
            <w:tcW w:w="7345" w:type="dxa"/>
            <w:gridSpan w:val="2"/>
            <w:tcBorders>
              <w:top w:val="single" w:color="auto" w:sz="4" w:space="0"/>
              <w:left w:val="single" w:color="auto" w:sz="4" w:space="0"/>
              <w:bottom w:val="single" w:color="auto" w:sz="4" w:space="0"/>
              <w:right w:val="single" w:color="auto" w:sz="4" w:space="0"/>
            </w:tcBorders>
            <w:noWrap w:val="0"/>
            <w:vAlign w:val="center"/>
          </w:tcPr>
          <w:p w14:paraId="6DFFB9EB">
            <w:pPr>
              <w:jc w:val="center"/>
              <w:rPr>
                <w:rFonts w:hint="eastAsia" w:ascii="宋体" w:hAnsi="宋体" w:eastAsia="宋体" w:cs="宋体"/>
                <w:color w:val="auto"/>
                <w:sz w:val="24"/>
                <w:szCs w:val="24"/>
              </w:rPr>
            </w:pPr>
          </w:p>
        </w:tc>
      </w:tr>
      <w:tr w14:paraId="0E1C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14:paraId="32D5934A">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服务期限</w:t>
            </w:r>
          </w:p>
        </w:tc>
        <w:tc>
          <w:tcPr>
            <w:tcW w:w="7345" w:type="dxa"/>
            <w:gridSpan w:val="2"/>
            <w:tcBorders>
              <w:top w:val="single" w:color="auto" w:sz="4" w:space="0"/>
              <w:left w:val="single" w:color="auto" w:sz="4" w:space="0"/>
              <w:bottom w:val="single" w:color="auto" w:sz="4" w:space="0"/>
              <w:right w:val="single" w:color="auto" w:sz="4" w:space="0"/>
            </w:tcBorders>
            <w:noWrap w:val="0"/>
            <w:vAlign w:val="center"/>
          </w:tcPr>
          <w:p w14:paraId="7DDCB200">
            <w:pPr>
              <w:jc w:val="center"/>
              <w:rPr>
                <w:rFonts w:hint="eastAsia" w:ascii="宋体" w:hAnsi="宋体" w:eastAsia="宋体" w:cs="宋体"/>
                <w:color w:val="auto"/>
                <w:sz w:val="24"/>
                <w:szCs w:val="24"/>
                <w:lang w:val="en-US"/>
              </w:rPr>
            </w:pPr>
          </w:p>
        </w:tc>
      </w:tr>
      <w:tr w14:paraId="0E9A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14:paraId="7E278CED">
            <w:pPr>
              <w:ind w:left="0" w:leftChars="0"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7345" w:type="dxa"/>
            <w:gridSpan w:val="2"/>
            <w:tcBorders>
              <w:top w:val="single" w:color="auto" w:sz="4" w:space="0"/>
              <w:left w:val="single" w:color="auto" w:sz="4" w:space="0"/>
              <w:bottom w:val="single" w:color="auto" w:sz="4" w:space="0"/>
              <w:right w:val="single" w:color="auto" w:sz="4" w:space="0"/>
            </w:tcBorders>
            <w:noWrap w:val="0"/>
            <w:vAlign w:val="center"/>
          </w:tcPr>
          <w:p w14:paraId="448BD955">
            <w:pPr>
              <w:jc w:val="center"/>
              <w:rPr>
                <w:rFonts w:hint="eastAsia" w:ascii="宋体" w:hAnsi="宋体" w:eastAsia="宋体" w:cs="宋体"/>
                <w:color w:val="auto"/>
                <w:sz w:val="24"/>
                <w:szCs w:val="24"/>
              </w:rPr>
            </w:pPr>
          </w:p>
        </w:tc>
      </w:tr>
      <w:tr w14:paraId="4314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874" w:type="dxa"/>
            <w:tcBorders>
              <w:top w:val="single" w:color="auto" w:sz="4" w:space="0"/>
              <w:left w:val="single" w:color="auto" w:sz="4" w:space="0"/>
              <w:bottom w:val="single" w:color="auto" w:sz="4" w:space="0"/>
              <w:right w:val="single" w:color="auto" w:sz="4" w:space="0"/>
            </w:tcBorders>
            <w:noWrap w:val="0"/>
            <w:vAlign w:val="center"/>
          </w:tcPr>
          <w:p w14:paraId="724086F2">
            <w:pPr>
              <w:spacing w:line="400" w:lineRule="exact"/>
              <w:jc w:val="center"/>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sz w:val="24"/>
                <w:szCs w:val="24"/>
                <w:lang w:eastAsia="zh-CN"/>
              </w:rPr>
              <w:t>备注</w:t>
            </w:r>
          </w:p>
        </w:tc>
        <w:tc>
          <w:tcPr>
            <w:tcW w:w="7345" w:type="dxa"/>
            <w:gridSpan w:val="2"/>
            <w:tcBorders>
              <w:top w:val="single" w:color="auto" w:sz="4" w:space="0"/>
              <w:left w:val="single" w:color="auto" w:sz="4" w:space="0"/>
              <w:bottom w:val="single" w:color="auto" w:sz="4" w:space="0"/>
              <w:right w:val="single" w:color="auto" w:sz="4" w:space="0"/>
            </w:tcBorders>
            <w:noWrap w:val="0"/>
            <w:vAlign w:val="center"/>
          </w:tcPr>
          <w:p w14:paraId="3DFABF0F">
            <w:pPr>
              <w:pStyle w:val="39"/>
              <w:widowControl w:val="0"/>
              <w:autoSpaceDE w:val="0"/>
              <w:autoSpaceDN w:val="0"/>
              <w:spacing w:before="0" w:after="0" w:line="400" w:lineRule="exact"/>
              <w:jc w:val="center"/>
              <w:rPr>
                <w:rFonts w:hint="eastAsia" w:ascii="宋体" w:hAnsi="宋体" w:eastAsia="宋体" w:cs="宋体"/>
                <w:color w:val="0000FF"/>
                <w:sz w:val="24"/>
                <w:szCs w:val="24"/>
                <w:lang w:val="ru-RU" w:eastAsia="zh-CN" w:bidi="ar-SA"/>
              </w:rPr>
            </w:pPr>
          </w:p>
        </w:tc>
      </w:tr>
    </w:tbl>
    <w:p w14:paraId="644D934B">
      <w:pPr>
        <w:rPr>
          <w:rFonts w:hint="eastAsia" w:ascii="宋体" w:hAnsi="宋体"/>
          <w:color w:val="auto"/>
          <w:szCs w:val="21"/>
        </w:rPr>
      </w:pPr>
    </w:p>
    <w:p w14:paraId="0A1997F6">
      <w:pPr>
        <w:spacing w:line="360" w:lineRule="auto"/>
        <w:ind w:firstLine="2940" w:firstLineChars="1225"/>
        <w:rPr>
          <w:rFonts w:ascii="宋体" w:hAnsi="宋体" w:eastAsia="宋体" w:cs="宋体"/>
          <w:color w:val="000000"/>
          <w:sz w:val="24"/>
          <w:szCs w:val="24"/>
        </w:rPr>
      </w:pPr>
      <w:bookmarkStart w:id="1428" w:name="_Toc152042580"/>
      <w:bookmarkStart w:id="1429" w:name="_Toc152045791"/>
      <w:bookmarkStart w:id="1430" w:name="_Toc287367268"/>
      <w:bookmarkStart w:id="1431" w:name="_Toc144974860"/>
      <w:bookmarkStart w:id="1432" w:name="_Toc2481"/>
      <w:bookmarkStart w:id="1433" w:name="_Toc31033"/>
      <w:bookmarkStart w:id="1434" w:name="_Toc466298161"/>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FF78B09">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48CC90DD">
      <w:pPr>
        <w:spacing w:line="360" w:lineRule="auto"/>
        <w:ind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5B8D6FD">
      <w:pPr>
        <w:spacing w:line="360" w:lineRule="auto"/>
        <w:ind w:firstLine="5100" w:firstLineChars="2125"/>
        <w:rPr>
          <w:rFonts w:hint="eastAsia" w:ascii="宋体" w:hAnsi="宋体" w:eastAsia="宋体" w:cs="宋体"/>
          <w:color w:val="000000"/>
          <w:sz w:val="24"/>
          <w:szCs w:val="24"/>
        </w:rPr>
      </w:pPr>
    </w:p>
    <w:p w14:paraId="0E13A3A3">
      <w:pPr>
        <w:spacing w:line="360" w:lineRule="auto"/>
        <w:ind w:firstLine="5100" w:firstLineChars="2125"/>
        <w:rPr>
          <w:rFonts w:hint="eastAsia" w:ascii="宋体" w:hAnsi="宋体" w:eastAsia="宋体" w:cs="宋体"/>
          <w:color w:val="000000"/>
          <w:sz w:val="24"/>
          <w:szCs w:val="24"/>
        </w:rPr>
        <w:sectPr>
          <w:headerReference r:id="rId11" w:type="default"/>
          <w:footerReference r:id="rId12" w:type="default"/>
          <w:pgSz w:w="11905" w:h="16838"/>
          <w:pgMar w:top="1440" w:right="1463" w:bottom="1440" w:left="1463" w:header="850" w:footer="850" w:gutter="0"/>
          <w:pgNumType w:fmt="decimal"/>
          <w:cols w:space="720" w:num="1"/>
          <w:docGrid w:type="lines" w:linePitch="411" w:charSpace="0"/>
        </w:sectPr>
      </w:pPr>
    </w:p>
    <w:p w14:paraId="0E3509A1">
      <w:pPr>
        <w:pStyle w:val="31"/>
        <w:jc w:val="center"/>
        <w:outlineLvl w:val="1"/>
        <w:rPr>
          <w:rFonts w:hint="eastAsia" w:ascii="宋体" w:hAnsi="宋体"/>
          <w:b/>
          <w:color w:val="auto"/>
          <w:szCs w:val="28"/>
        </w:rPr>
      </w:pPr>
      <w:bookmarkStart w:id="1435" w:name="_Toc30887"/>
      <w:r>
        <w:rPr>
          <w:rFonts w:hint="eastAsia" w:ascii="宋体" w:hAnsi="宋体" w:eastAsia="宋体"/>
          <w:b/>
          <w:color w:val="auto"/>
          <w:szCs w:val="28"/>
        </w:rPr>
        <w:t>二、</w:t>
      </w:r>
      <w:bookmarkEnd w:id="1428"/>
      <w:bookmarkEnd w:id="1429"/>
      <w:bookmarkEnd w:id="1430"/>
      <w:bookmarkEnd w:id="1431"/>
      <w:r>
        <w:rPr>
          <w:rFonts w:hint="eastAsia" w:ascii="宋体" w:hAnsi="宋体" w:eastAsia="宋体"/>
          <w:b/>
          <w:color w:val="auto"/>
          <w:szCs w:val="28"/>
        </w:rPr>
        <w:t>法定代表</w:t>
      </w:r>
      <w:r>
        <w:rPr>
          <w:rFonts w:hint="eastAsia" w:ascii="宋体" w:hAnsi="宋体" w:eastAsia="宋体"/>
          <w:b/>
          <w:color w:val="auto"/>
          <w:szCs w:val="28"/>
          <w:lang w:eastAsia="zh-CN"/>
        </w:rPr>
        <w:t>人</w:t>
      </w:r>
      <w:r>
        <w:rPr>
          <w:rFonts w:hint="eastAsia" w:ascii="宋体" w:hAnsi="宋体" w:eastAsia="宋体"/>
          <w:b/>
          <w:color w:val="auto"/>
          <w:szCs w:val="28"/>
        </w:rPr>
        <w:t>身份证明</w:t>
      </w:r>
      <w:bookmarkEnd w:id="1432"/>
      <w:bookmarkEnd w:id="1433"/>
      <w:bookmarkEnd w:id="1434"/>
      <w:bookmarkEnd w:id="1435"/>
    </w:p>
    <w:p w14:paraId="7D420279">
      <w:pPr>
        <w:spacing w:line="440" w:lineRule="exact"/>
        <w:jc w:val="center"/>
        <w:rPr>
          <w:rFonts w:hint="eastAsia" w:ascii="宋体" w:hAnsi="宋体" w:cs="宋体"/>
          <w:color w:val="auto"/>
          <w:szCs w:val="21"/>
        </w:rPr>
      </w:pPr>
    </w:p>
    <w:p w14:paraId="70E9D310">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D3FC457">
      <w:pPr>
        <w:spacing w:line="360" w:lineRule="auto"/>
        <w:rPr>
          <w:rFonts w:hint="eastAsia"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5D7276D5">
      <w:pPr>
        <w:spacing w:line="360" w:lineRule="auto"/>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p>
    <w:p w14:paraId="10705F48">
      <w:pPr>
        <w:spacing w:line="360" w:lineRule="auto"/>
        <w:rPr>
          <w:rFonts w:hint="eastAsia"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日</w:t>
      </w:r>
    </w:p>
    <w:p w14:paraId="3D82FE68">
      <w:pPr>
        <w:spacing w:line="360" w:lineRule="auto"/>
        <w:rPr>
          <w:rFonts w:hint="eastAsia"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xml:space="preserve">                               </w:t>
      </w:r>
    </w:p>
    <w:p w14:paraId="05383B65">
      <w:pPr>
        <w:spacing w:line="360" w:lineRule="auto"/>
        <w:rPr>
          <w:rFonts w:hint="eastAsia"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性别：</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年龄：</w:t>
      </w:r>
      <w:r>
        <w:rPr>
          <w:rFonts w:hint="eastAsia" w:ascii="宋体" w:hAnsi="宋体" w:cs="宋体"/>
          <w:color w:val="auto"/>
          <w:sz w:val="24"/>
          <w:szCs w:val="24"/>
          <w:u w:val="single"/>
        </w:rPr>
        <w:t xml:space="preserve">        </w:t>
      </w:r>
      <w:r>
        <w:rPr>
          <w:rFonts w:hint="eastAsia" w:ascii="宋体" w:hAnsi="宋体" w:cs="宋体"/>
          <w:color w:val="auto"/>
          <w:sz w:val="24"/>
          <w:szCs w:val="24"/>
        </w:rPr>
        <w:t>职务：</w:t>
      </w:r>
      <w:r>
        <w:rPr>
          <w:rFonts w:hint="eastAsia" w:ascii="宋体" w:hAnsi="宋体" w:cs="宋体"/>
          <w:color w:val="auto"/>
          <w:sz w:val="24"/>
          <w:szCs w:val="24"/>
          <w:u w:val="single"/>
        </w:rPr>
        <w:t xml:space="preserve">        </w:t>
      </w:r>
    </w:p>
    <w:p w14:paraId="50E02BEA">
      <w:pPr>
        <w:spacing w:line="360" w:lineRule="auto"/>
        <w:rPr>
          <w:rFonts w:hint="eastAsia"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（供应商名称）的法定代表人。</w:t>
      </w:r>
    </w:p>
    <w:p w14:paraId="4912673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特此证明。</w:t>
      </w:r>
    </w:p>
    <w:p w14:paraId="6C65759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附：法定代表人身份证复印件</w:t>
      </w:r>
    </w:p>
    <w:p w14:paraId="299765F6">
      <w:pPr>
        <w:spacing w:line="360" w:lineRule="auto"/>
        <w:rPr>
          <w:rFonts w:hint="eastAsia" w:ascii="宋体" w:hAnsi="宋体" w:cs="宋体"/>
          <w:color w:val="auto"/>
          <w:sz w:val="24"/>
          <w:szCs w:val="24"/>
        </w:rPr>
      </w:pPr>
    </w:p>
    <w:p w14:paraId="25586B9C">
      <w:pPr>
        <w:spacing w:line="440" w:lineRule="exact"/>
        <w:rPr>
          <w:rFonts w:hint="eastAsia" w:ascii="宋体" w:hAnsi="宋体" w:cs="宋体"/>
          <w:color w:val="auto"/>
          <w:szCs w:val="21"/>
        </w:rPr>
      </w:pPr>
    </w:p>
    <w:p w14:paraId="7558C9DF">
      <w:pPr>
        <w:spacing w:line="440" w:lineRule="exact"/>
        <w:jc w:val="right"/>
        <w:rPr>
          <w:rFonts w:hint="eastAsia" w:ascii="宋体" w:hAnsi="宋体" w:cs="宋体"/>
          <w:color w:val="auto"/>
          <w:sz w:val="24"/>
          <w:szCs w:val="24"/>
        </w:rPr>
      </w:pPr>
      <w:r>
        <w:rPr>
          <w:rFonts w:hint="eastAsia" w:ascii="宋体" w:hAnsi="宋体" w:cs="宋体"/>
          <w:color w:val="auto"/>
          <w:szCs w:val="21"/>
        </w:rPr>
        <w:t xml:space="preserve">                          </w:t>
      </w: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（单位电子签章）</w:t>
      </w:r>
    </w:p>
    <w:p w14:paraId="69443D86">
      <w:pPr>
        <w:spacing w:line="440" w:lineRule="exact"/>
        <w:jc w:val="right"/>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p>
    <w:p w14:paraId="266C9BD7">
      <w:pPr>
        <w:spacing w:line="440" w:lineRule="exact"/>
        <w:rPr>
          <w:rFonts w:hint="eastAsia" w:ascii="宋体" w:hAnsi="宋体" w:cs="宋体"/>
          <w:color w:val="auto"/>
          <w:szCs w:val="21"/>
        </w:rPr>
      </w:pPr>
    </w:p>
    <w:p w14:paraId="3BEB8F47">
      <w:pPr>
        <w:spacing w:line="440" w:lineRule="exact"/>
        <w:rPr>
          <w:rFonts w:hint="eastAsia" w:ascii="宋体" w:hAnsi="宋体" w:cs="宋体"/>
          <w:color w:val="auto"/>
          <w:szCs w:val="21"/>
        </w:rPr>
      </w:pPr>
    </w:p>
    <w:p w14:paraId="3847DFA5">
      <w:pPr>
        <w:spacing w:line="440" w:lineRule="exact"/>
        <w:rPr>
          <w:rFonts w:hint="eastAsia" w:ascii="宋体" w:hAnsi="宋体" w:cs="宋体"/>
          <w:color w:val="auto"/>
          <w:szCs w:val="21"/>
        </w:rPr>
      </w:pPr>
    </w:p>
    <w:p w14:paraId="28649149">
      <w:pPr>
        <w:spacing w:line="440" w:lineRule="exact"/>
        <w:rPr>
          <w:rFonts w:hint="eastAsia" w:ascii="宋体" w:hAnsi="宋体" w:cs="宋体"/>
          <w:color w:val="auto"/>
          <w:szCs w:val="21"/>
        </w:rPr>
      </w:pPr>
    </w:p>
    <w:p w14:paraId="6E7A32F4">
      <w:pPr>
        <w:pStyle w:val="7"/>
        <w:numPr>
          <w:ilvl w:val="1"/>
          <w:numId w:val="0"/>
        </w:numPr>
        <w:jc w:val="center"/>
        <w:rPr>
          <w:rFonts w:hint="eastAsia" w:ascii="Times New Roman" w:hAnsi="Times New Roman" w:eastAsia="宋体"/>
          <w:color w:val="auto"/>
          <w:sz w:val="28"/>
          <w:lang w:eastAsia="zh-CN"/>
        </w:rPr>
        <w:sectPr>
          <w:pgSz w:w="11905" w:h="16838"/>
          <w:pgMar w:top="1440" w:right="1463" w:bottom="1440" w:left="1463" w:header="850" w:footer="850" w:gutter="0"/>
          <w:pgNumType w:fmt="decimal"/>
          <w:cols w:space="720" w:num="1"/>
          <w:docGrid w:type="lines" w:linePitch="411" w:charSpace="0"/>
        </w:sectPr>
      </w:pPr>
      <w:bookmarkStart w:id="1436" w:name="_Toc26203"/>
      <w:bookmarkStart w:id="1437" w:name="_Toc318989765"/>
      <w:bookmarkStart w:id="1438" w:name="_Toc466298162"/>
      <w:bookmarkStart w:id="1439" w:name="_Toc4123"/>
      <w:bookmarkStart w:id="1440" w:name="_Toc441791190"/>
      <w:bookmarkStart w:id="1441" w:name="_Toc202941490"/>
    </w:p>
    <w:p w14:paraId="327BCC68">
      <w:pPr>
        <w:pStyle w:val="7"/>
        <w:numPr>
          <w:ilvl w:val="1"/>
          <w:numId w:val="0"/>
        </w:numPr>
        <w:jc w:val="center"/>
        <w:outlineLvl w:val="1"/>
        <w:rPr>
          <w:rFonts w:ascii="Times New Roman" w:hAnsi="Times New Roman" w:eastAsia="宋体"/>
          <w:color w:val="auto"/>
          <w:sz w:val="28"/>
        </w:rPr>
      </w:pPr>
      <w:bookmarkStart w:id="1442" w:name="_Toc16617"/>
      <w:r>
        <w:rPr>
          <w:rFonts w:hint="eastAsia" w:ascii="Times New Roman" w:hAnsi="Times New Roman" w:eastAsia="宋体"/>
          <w:color w:val="auto"/>
          <w:sz w:val="28"/>
          <w:lang w:eastAsia="zh-CN"/>
        </w:rPr>
        <w:t>三</w:t>
      </w:r>
      <w:r>
        <w:rPr>
          <w:rFonts w:ascii="Times New Roman" w:hAnsi="Times New Roman" w:eastAsia="宋体"/>
          <w:color w:val="auto"/>
          <w:sz w:val="28"/>
        </w:rPr>
        <w:t>、授权委托书</w:t>
      </w:r>
      <w:bookmarkEnd w:id="1436"/>
      <w:bookmarkEnd w:id="1437"/>
      <w:bookmarkEnd w:id="1438"/>
      <w:bookmarkEnd w:id="1439"/>
      <w:bookmarkEnd w:id="1440"/>
      <w:bookmarkEnd w:id="1441"/>
      <w:bookmarkEnd w:id="1442"/>
    </w:p>
    <w:p w14:paraId="42D3F432">
      <w:pPr>
        <w:topLinePunct/>
        <w:spacing w:line="440" w:lineRule="exact"/>
        <w:ind w:firstLine="420" w:firstLineChars="200"/>
        <w:rPr>
          <w:rFonts w:hint="eastAsia" w:ascii="宋体" w:hAnsi="宋体" w:cs="宋体"/>
          <w:color w:val="auto"/>
          <w:szCs w:val="21"/>
        </w:rPr>
      </w:pPr>
    </w:p>
    <w:p w14:paraId="0033A752">
      <w:pPr>
        <w:topLinePunct/>
        <w:spacing w:line="440" w:lineRule="exact"/>
        <w:ind w:firstLine="420" w:firstLineChars="200"/>
        <w:rPr>
          <w:rFonts w:hint="eastAsia" w:ascii="宋体" w:hAnsi="宋体" w:cs="宋体"/>
          <w:color w:val="auto"/>
          <w:szCs w:val="21"/>
        </w:rPr>
      </w:pPr>
    </w:p>
    <w:p w14:paraId="47189A80">
      <w:pPr>
        <w:topLinePunct/>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（供应商名称）的法定代表人，现委托</w:t>
      </w:r>
      <w:r>
        <w:rPr>
          <w:rFonts w:hint="eastAsia" w:ascii="宋体" w:hAnsi="宋体" w:cs="宋体"/>
          <w:color w:val="auto"/>
          <w:sz w:val="24"/>
          <w:szCs w:val="24"/>
          <w:u w:val="single"/>
        </w:rPr>
        <w:t xml:space="preserve">        </w:t>
      </w:r>
      <w:r>
        <w:rPr>
          <w:rFonts w:hint="eastAsia" w:ascii="宋体" w:hAnsi="宋体" w:cs="宋体"/>
          <w:color w:val="auto"/>
          <w:sz w:val="24"/>
          <w:szCs w:val="24"/>
        </w:rPr>
        <w:t>（姓名）为我方代理人。代理人根据授权，以我方名义签署、澄清、说明、补正、递交、撤回、修改</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（项目名称）响应文件、签订合同和处理有关事宜，其法律后果由我方承担。</w:t>
      </w:r>
    </w:p>
    <w:p w14:paraId="5639A4C6">
      <w:pPr>
        <w:spacing w:line="360" w:lineRule="auto"/>
        <w:rPr>
          <w:rFonts w:hint="eastAsia" w:ascii="宋体" w:hAnsi="宋体" w:cs="宋体"/>
          <w:color w:val="auto"/>
          <w:sz w:val="24"/>
          <w:szCs w:val="24"/>
        </w:rPr>
      </w:pPr>
      <w:r>
        <w:rPr>
          <w:rFonts w:hint="eastAsia" w:ascii="宋体" w:hAnsi="宋体" w:cs="宋体"/>
          <w:color w:val="auto"/>
          <w:sz w:val="24"/>
          <w:szCs w:val="24"/>
        </w:rPr>
        <w:t>委托期限：</w:t>
      </w:r>
      <w:r>
        <w:rPr>
          <w:rFonts w:hint="eastAsia" w:ascii="宋体" w:hAnsi="宋体" w:cs="宋体"/>
          <w:color w:val="auto"/>
          <w:sz w:val="24"/>
          <w:szCs w:val="28"/>
        </w:rPr>
        <w:t>自本委托书签署之日起至</w:t>
      </w:r>
      <w:r>
        <w:rPr>
          <w:rFonts w:hint="eastAsia" w:ascii="宋体" w:hAnsi="宋体" w:cs="宋体"/>
          <w:color w:val="auto"/>
          <w:sz w:val="24"/>
          <w:szCs w:val="28"/>
          <w:lang w:eastAsia="zh-CN"/>
        </w:rPr>
        <w:t>磋商</w:t>
      </w:r>
      <w:r>
        <w:rPr>
          <w:rFonts w:hint="eastAsia" w:ascii="宋体" w:hAnsi="宋体" w:cs="宋体"/>
          <w:color w:val="auto"/>
          <w:sz w:val="24"/>
          <w:szCs w:val="28"/>
        </w:rPr>
        <w:t>有效期期满。</w:t>
      </w:r>
    </w:p>
    <w:p w14:paraId="7D6FA1E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代理人无转委托权。</w:t>
      </w:r>
    </w:p>
    <w:p w14:paraId="0252519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附：委托代理人身份证复印件</w:t>
      </w:r>
    </w:p>
    <w:p w14:paraId="420F6B75">
      <w:pPr>
        <w:spacing w:line="440" w:lineRule="exact"/>
        <w:rPr>
          <w:rFonts w:hint="eastAsia" w:ascii="宋体" w:hAnsi="宋体" w:cs="宋体"/>
          <w:color w:val="auto"/>
          <w:szCs w:val="21"/>
        </w:rPr>
      </w:pPr>
    </w:p>
    <w:p w14:paraId="2CE2A2CE">
      <w:pPr>
        <w:spacing w:line="440" w:lineRule="exact"/>
        <w:rPr>
          <w:rFonts w:hint="eastAsia" w:ascii="宋体" w:hAnsi="宋体" w:cs="宋体"/>
          <w:color w:val="auto"/>
          <w:szCs w:val="21"/>
        </w:rPr>
      </w:pPr>
    </w:p>
    <w:p w14:paraId="65371835">
      <w:pPr>
        <w:spacing w:line="440" w:lineRule="exact"/>
        <w:rPr>
          <w:rFonts w:hint="eastAsia" w:ascii="宋体" w:hAnsi="宋体" w:cs="宋体"/>
          <w:color w:val="auto"/>
          <w:szCs w:val="21"/>
        </w:rPr>
      </w:pPr>
    </w:p>
    <w:p w14:paraId="6ABFF01A">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 w:val="24"/>
          <w:szCs w:val="24"/>
          <w:lang w:eastAsia="zh-CN"/>
        </w:rPr>
        <w:t>投标</w:t>
      </w: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（单位电子签章）</w:t>
      </w:r>
    </w:p>
    <w:p w14:paraId="57E4AE5E">
      <w:pPr>
        <w:tabs>
          <w:tab w:val="left" w:pos="3570"/>
        </w:tabs>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（电子签名或盖章）</w:t>
      </w:r>
    </w:p>
    <w:p w14:paraId="41864858">
      <w:pPr>
        <w:tabs>
          <w:tab w:val="left" w:pos="3570"/>
        </w:tabs>
        <w:spacing w:line="360" w:lineRule="auto"/>
        <w:ind w:left="0" w:leftChars="0" w:firstLine="2160" w:firstLineChars="900"/>
        <w:rPr>
          <w:rFonts w:hint="eastAsia"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14:paraId="36F4FC8B">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签字</w:t>
      </w:r>
      <w:r>
        <w:rPr>
          <w:rFonts w:hint="eastAsia" w:ascii="宋体" w:hAnsi="宋体" w:cs="宋体"/>
          <w:color w:val="auto"/>
          <w:sz w:val="24"/>
          <w:szCs w:val="24"/>
        </w:rPr>
        <w:t>或盖章）</w:t>
      </w:r>
    </w:p>
    <w:p w14:paraId="01E75C07">
      <w:pPr>
        <w:spacing w:line="360" w:lineRule="auto"/>
        <w:ind w:left="0" w:leftChars="0" w:firstLine="2160" w:firstLineChars="900"/>
        <w:rPr>
          <w:rFonts w:hint="eastAsia"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14:paraId="510E8791">
      <w:pPr>
        <w:spacing w:line="360" w:lineRule="auto"/>
        <w:jc w:val="righ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6653B9FF">
      <w:pPr>
        <w:spacing w:line="440" w:lineRule="exact"/>
        <w:rPr>
          <w:rFonts w:hint="eastAsia" w:ascii="宋体" w:hAnsi="宋体" w:cs="宋体"/>
          <w:color w:val="auto"/>
          <w:szCs w:val="21"/>
        </w:rPr>
      </w:pPr>
    </w:p>
    <w:p w14:paraId="69E0FF91">
      <w:pPr>
        <w:pStyle w:val="3"/>
        <w:rPr>
          <w:rFonts w:hint="eastAsia"/>
          <w:color w:val="auto"/>
        </w:rPr>
      </w:pPr>
    </w:p>
    <w:p w14:paraId="605FC886">
      <w:pPr>
        <w:pStyle w:val="20"/>
        <w:rPr>
          <w:rFonts w:hint="eastAsia"/>
          <w:color w:val="auto"/>
        </w:rPr>
      </w:pPr>
    </w:p>
    <w:p w14:paraId="7920086B">
      <w:pPr>
        <w:pStyle w:val="3"/>
        <w:rPr>
          <w:rFonts w:hint="eastAsia"/>
          <w:color w:val="auto"/>
        </w:rPr>
      </w:pPr>
    </w:p>
    <w:p w14:paraId="04A7371F">
      <w:pPr>
        <w:pStyle w:val="20"/>
        <w:rPr>
          <w:rFonts w:hint="eastAsia"/>
          <w:color w:val="auto"/>
        </w:rPr>
      </w:pPr>
    </w:p>
    <w:p w14:paraId="78C9F6FA">
      <w:pPr>
        <w:pStyle w:val="3"/>
        <w:rPr>
          <w:rFonts w:hint="eastAsia"/>
        </w:rPr>
      </w:pPr>
    </w:p>
    <w:p w14:paraId="07A4E8AF">
      <w:pPr>
        <w:pStyle w:val="3"/>
        <w:rPr>
          <w:rFonts w:hint="eastAsia"/>
        </w:rPr>
      </w:pPr>
    </w:p>
    <w:p w14:paraId="38B3CF4B">
      <w:pPr>
        <w:pStyle w:val="2"/>
        <w:ind w:firstLine="540" w:firstLineChars="192"/>
        <w:jc w:val="center"/>
        <w:outlineLvl w:val="1"/>
        <w:rPr>
          <w:rFonts w:ascii="宋体" w:hAnsi="宋体" w:eastAsia="宋体" w:cs="宋体"/>
          <w:b/>
          <w:color w:val="000000"/>
          <w:sz w:val="28"/>
          <w:szCs w:val="28"/>
        </w:rPr>
      </w:pPr>
      <w:bookmarkStart w:id="1443" w:name="_Toc19302"/>
      <w:bookmarkStart w:id="1444" w:name="_Toc19003"/>
      <w:bookmarkStart w:id="1445" w:name="_Toc5437"/>
      <w:bookmarkStart w:id="1446" w:name="_Toc475624458"/>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、商务及技术偏差表</w:t>
      </w:r>
      <w:bookmarkEnd w:id="1443"/>
      <w:bookmarkEnd w:id="1444"/>
    </w:p>
    <w:p w14:paraId="38425F40">
      <w:pPr>
        <w:pStyle w:val="2"/>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（一）商务偏差表</w:t>
      </w:r>
    </w:p>
    <w:tbl>
      <w:tblPr>
        <w:tblStyle w:val="23"/>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517"/>
        <w:gridCol w:w="2517"/>
        <w:gridCol w:w="1416"/>
      </w:tblGrid>
      <w:tr w14:paraId="2F73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vAlign w:val="center"/>
          </w:tcPr>
          <w:p w14:paraId="31C2C887">
            <w:pPr>
              <w:pStyle w:val="40"/>
              <w:spacing w:line="500" w:lineRule="exact"/>
              <w:ind w:right="223" w:firstLine="0" w:firstLineChars="0"/>
              <w:jc w:val="center"/>
              <w:rPr>
                <w:rFonts w:hint="default"/>
                <w:bCs/>
                <w:sz w:val="24"/>
                <w:szCs w:val="24"/>
              </w:rPr>
            </w:pPr>
            <w:r>
              <w:rPr>
                <w:rFonts w:cs="宋体"/>
                <w:bCs/>
                <w:sz w:val="24"/>
                <w:szCs w:val="24"/>
              </w:rPr>
              <w:t xml:space="preserve"> 序号</w:t>
            </w:r>
          </w:p>
        </w:tc>
        <w:tc>
          <w:tcPr>
            <w:tcW w:w="1688" w:type="dxa"/>
            <w:vAlign w:val="center"/>
          </w:tcPr>
          <w:p w14:paraId="6EF6DC83">
            <w:pPr>
              <w:pStyle w:val="40"/>
              <w:spacing w:line="500" w:lineRule="exact"/>
              <w:ind w:firstLine="0" w:firstLineChars="0"/>
              <w:jc w:val="center"/>
              <w:rPr>
                <w:rFonts w:hint="default"/>
                <w:bCs/>
                <w:sz w:val="24"/>
                <w:szCs w:val="24"/>
              </w:rPr>
            </w:pPr>
            <w:r>
              <w:rPr>
                <w:rFonts w:cs="宋体"/>
                <w:bCs/>
                <w:sz w:val="24"/>
                <w:szCs w:val="24"/>
              </w:rPr>
              <w:t>项目内容</w:t>
            </w:r>
          </w:p>
        </w:tc>
        <w:tc>
          <w:tcPr>
            <w:tcW w:w="2517" w:type="dxa"/>
            <w:vAlign w:val="center"/>
          </w:tcPr>
          <w:p w14:paraId="5A8ED6F9">
            <w:pPr>
              <w:pStyle w:val="40"/>
              <w:spacing w:line="500" w:lineRule="exact"/>
              <w:ind w:firstLine="0" w:firstLineChars="0"/>
              <w:jc w:val="center"/>
              <w:rPr>
                <w:rFonts w:hint="default"/>
                <w:bCs/>
                <w:sz w:val="24"/>
                <w:szCs w:val="24"/>
              </w:rPr>
            </w:pPr>
            <w:r>
              <w:rPr>
                <w:rFonts w:cs="宋体"/>
                <w:bCs/>
                <w:sz w:val="24"/>
                <w:szCs w:val="24"/>
              </w:rPr>
              <w:t>招标文件要求</w:t>
            </w:r>
          </w:p>
        </w:tc>
        <w:tc>
          <w:tcPr>
            <w:tcW w:w="2517" w:type="dxa"/>
            <w:vAlign w:val="center"/>
          </w:tcPr>
          <w:p w14:paraId="0291ACA9">
            <w:pPr>
              <w:pStyle w:val="40"/>
              <w:spacing w:line="500" w:lineRule="exact"/>
              <w:ind w:firstLine="720" w:firstLineChars="300"/>
              <w:jc w:val="both"/>
              <w:rPr>
                <w:rFonts w:hint="default"/>
                <w:bCs/>
                <w:sz w:val="24"/>
                <w:szCs w:val="24"/>
              </w:rPr>
            </w:pPr>
            <w:r>
              <w:rPr>
                <w:rFonts w:hint="eastAsia" w:cs="宋体"/>
                <w:bCs/>
                <w:sz w:val="24"/>
                <w:szCs w:val="24"/>
                <w:lang w:eastAsia="zh-CN"/>
              </w:rPr>
              <w:t>响应</w:t>
            </w:r>
            <w:r>
              <w:rPr>
                <w:rFonts w:cs="宋体"/>
                <w:bCs/>
                <w:sz w:val="24"/>
                <w:szCs w:val="24"/>
              </w:rPr>
              <w:t>文件响应</w:t>
            </w:r>
          </w:p>
        </w:tc>
        <w:tc>
          <w:tcPr>
            <w:tcW w:w="1416" w:type="dxa"/>
            <w:vAlign w:val="center"/>
          </w:tcPr>
          <w:p w14:paraId="38B294D6">
            <w:pPr>
              <w:pStyle w:val="40"/>
              <w:spacing w:line="500" w:lineRule="exact"/>
              <w:ind w:firstLine="240" w:firstLineChars="100"/>
              <w:jc w:val="both"/>
              <w:rPr>
                <w:rFonts w:hint="default"/>
                <w:bCs/>
                <w:sz w:val="24"/>
                <w:szCs w:val="24"/>
              </w:rPr>
            </w:pPr>
            <w:r>
              <w:rPr>
                <w:rFonts w:cs="宋体"/>
                <w:bCs/>
                <w:sz w:val="24"/>
                <w:szCs w:val="24"/>
              </w:rPr>
              <w:t>偏差结论</w:t>
            </w:r>
          </w:p>
        </w:tc>
      </w:tr>
      <w:tr w14:paraId="055F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0EBB3CF1">
            <w:pPr>
              <w:spacing w:line="500" w:lineRule="exact"/>
              <w:ind w:firstLine="480"/>
              <w:rPr>
                <w:rFonts w:ascii="宋体" w:hAnsi="宋体" w:eastAsia="宋体" w:cs="宋体"/>
                <w:bCs/>
                <w:sz w:val="24"/>
                <w:szCs w:val="24"/>
              </w:rPr>
            </w:pPr>
            <w:r>
              <w:rPr>
                <w:rFonts w:hint="eastAsia" w:ascii="宋体" w:hAnsi="宋体"/>
                <w:color w:val="000000"/>
                <w:sz w:val="24"/>
                <w:szCs w:val="24"/>
              </w:rPr>
              <w:t>1</w:t>
            </w:r>
          </w:p>
        </w:tc>
        <w:tc>
          <w:tcPr>
            <w:tcW w:w="1688" w:type="dxa"/>
            <w:vAlign w:val="center"/>
          </w:tcPr>
          <w:p w14:paraId="2D629173">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lang w:eastAsia="zh-CN"/>
              </w:rPr>
              <w:t>磋商</w:t>
            </w:r>
            <w:r>
              <w:rPr>
                <w:rFonts w:hint="eastAsia" w:ascii="宋体" w:hAnsi="宋体" w:eastAsia="宋体" w:cs="宋体"/>
                <w:bCs/>
                <w:sz w:val="24"/>
                <w:szCs w:val="24"/>
              </w:rPr>
              <w:t>内容</w:t>
            </w:r>
          </w:p>
        </w:tc>
        <w:tc>
          <w:tcPr>
            <w:tcW w:w="2517" w:type="dxa"/>
            <w:vAlign w:val="center"/>
          </w:tcPr>
          <w:p w14:paraId="6106F2A8">
            <w:pPr>
              <w:spacing w:line="500" w:lineRule="exact"/>
              <w:ind w:firstLine="480"/>
              <w:jc w:val="center"/>
              <w:rPr>
                <w:rFonts w:ascii="宋体" w:hAnsi="宋体" w:eastAsia="宋体" w:cs="宋体"/>
                <w:bCs/>
                <w:sz w:val="24"/>
                <w:szCs w:val="24"/>
              </w:rPr>
            </w:pPr>
          </w:p>
        </w:tc>
        <w:tc>
          <w:tcPr>
            <w:tcW w:w="2517" w:type="dxa"/>
            <w:vAlign w:val="center"/>
          </w:tcPr>
          <w:p w14:paraId="3EF73B0E">
            <w:pPr>
              <w:spacing w:line="500" w:lineRule="exact"/>
              <w:ind w:firstLine="480"/>
              <w:jc w:val="center"/>
              <w:rPr>
                <w:rFonts w:ascii="宋体" w:hAnsi="宋体" w:eastAsia="宋体" w:cs="宋体"/>
                <w:bCs/>
                <w:sz w:val="24"/>
                <w:szCs w:val="24"/>
              </w:rPr>
            </w:pPr>
          </w:p>
        </w:tc>
        <w:tc>
          <w:tcPr>
            <w:tcW w:w="1416" w:type="dxa"/>
            <w:vAlign w:val="center"/>
          </w:tcPr>
          <w:p w14:paraId="23DE86FE">
            <w:pPr>
              <w:spacing w:line="500" w:lineRule="exact"/>
              <w:ind w:firstLine="480"/>
              <w:jc w:val="center"/>
              <w:rPr>
                <w:rFonts w:ascii="宋体" w:hAnsi="宋体" w:eastAsia="宋体" w:cs="宋体"/>
                <w:bCs/>
                <w:sz w:val="24"/>
                <w:szCs w:val="24"/>
              </w:rPr>
            </w:pPr>
          </w:p>
        </w:tc>
      </w:tr>
      <w:tr w14:paraId="4B48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7DAB56C">
            <w:pPr>
              <w:spacing w:line="500" w:lineRule="exact"/>
              <w:ind w:firstLine="480"/>
              <w:rPr>
                <w:rFonts w:ascii="宋体" w:hAnsi="宋体" w:eastAsia="宋体" w:cs="宋体"/>
                <w:bCs/>
                <w:sz w:val="24"/>
                <w:szCs w:val="24"/>
              </w:rPr>
            </w:pPr>
            <w:r>
              <w:rPr>
                <w:rFonts w:hint="eastAsia" w:ascii="宋体" w:hAnsi="宋体"/>
                <w:color w:val="000000"/>
                <w:sz w:val="24"/>
                <w:szCs w:val="24"/>
              </w:rPr>
              <w:t>2</w:t>
            </w:r>
          </w:p>
        </w:tc>
        <w:tc>
          <w:tcPr>
            <w:tcW w:w="1688" w:type="dxa"/>
            <w:vAlign w:val="center"/>
          </w:tcPr>
          <w:p w14:paraId="1B279B18">
            <w:pPr>
              <w:spacing w:line="500" w:lineRule="exact"/>
              <w:ind w:firstLine="0" w:firstLineChars="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服务期限</w:t>
            </w:r>
          </w:p>
        </w:tc>
        <w:tc>
          <w:tcPr>
            <w:tcW w:w="2517" w:type="dxa"/>
            <w:vAlign w:val="center"/>
          </w:tcPr>
          <w:p w14:paraId="22C59940">
            <w:pPr>
              <w:spacing w:line="500" w:lineRule="exact"/>
              <w:ind w:firstLine="480"/>
              <w:jc w:val="center"/>
              <w:rPr>
                <w:rFonts w:ascii="宋体" w:hAnsi="宋体" w:eastAsia="宋体" w:cs="宋体"/>
                <w:bCs/>
                <w:sz w:val="24"/>
                <w:szCs w:val="24"/>
              </w:rPr>
            </w:pPr>
          </w:p>
        </w:tc>
        <w:tc>
          <w:tcPr>
            <w:tcW w:w="2517" w:type="dxa"/>
            <w:vAlign w:val="center"/>
          </w:tcPr>
          <w:p w14:paraId="689DFD6B">
            <w:pPr>
              <w:spacing w:line="500" w:lineRule="exact"/>
              <w:ind w:firstLine="480"/>
              <w:jc w:val="center"/>
              <w:rPr>
                <w:rFonts w:ascii="宋体" w:hAnsi="宋体" w:eastAsia="宋体" w:cs="宋体"/>
                <w:bCs/>
                <w:sz w:val="24"/>
                <w:szCs w:val="24"/>
              </w:rPr>
            </w:pPr>
          </w:p>
        </w:tc>
        <w:tc>
          <w:tcPr>
            <w:tcW w:w="1416" w:type="dxa"/>
            <w:vAlign w:val="center"/>
          </w:tcPr>
          <w:p w14:paraId="4208B511">
            <w:pPr>
              <w:spacing w:line="500" w:lineRule="exact"/>
              <w:ind w:firstLine="480"/>
              <w:jc w:val="center"/>
              <w:rPr>
                <w:rFonts w:ascii="宋体" w:hAnsi="宋体" w:eastAsia="宋体" w:cs="宋体"/>
                <w:bCs/>
                <w:sz w:val="24"/>
                <w:szCs w:val="24"/>
              </w:rPr>
            </w:pPr>
          </w:p>
        </w:tc>
      </w:tr>
      <w:tr w14:paraId="3280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BDD1F07">
            <w:pPr>
              <w:spacing w:line="500" w:lineRule="exact"/>
              <w:ind w:firstLine="480"/>
              <w:rPr>
                <w:rFonts w:hint="eastAsia" w:ascii="宋体" w:hAnsi="宋体" w:eastAsia="宋体" w:cs="宋体"/>
                <w:bCs/>
                <w:sz w:val="24"/>
                <w:szCs w:val="24"/>
                <w:lang w:eastAsia="zh-CN"/>
              </w:rPr>
            </w:pPr>
            <w:r>
              <w:rPr>
                <w:rFonts w:hint="eastAsia" w:ascii="宋体" w:hAnsi="宋体" w:eastAsia="宋体"/>
                <w:color w:val="000000"/>
                <w:sz w:val="24"/>
                <w:szCs w:val="24"/>
                <w:lang w:val="en-US" w:eastAsia="zh-CN"/>
              </w:rPr>
              <w:t>3</w:t>
            </w:r>
          </w:p>
        </w:tc>
        <w:tc>
          <w:tcPr>
            <w:tcW w:w="1688" w:type="dxa"/>
            <w:vAlign w:val="center"/>
          </w:tcPr>
          <w:p w14:paraId="6B4149C4">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磋商</w:t>
            </w:r>
            <w:r>
              <w:rPr>
                <w:rFonts w:hint="eastAsia" w:ascii="宋体" w:hAnsi="宋体" w:eastAsia="宋体" w:cs="宋体"/>
                <w:bCs/>
                <w:sz w:val="24"/>
                <w:szCs w:val="24"/>
              </w:rPr>
              <w:t>有效期</w:t>
            </w:r>
          </w:p>
        </w:tc>
        <w:tc>
          <w:tcPr>
            <w:tcW w:w="2517" w:type="dxa"/>
            <w:vAlign w:val="center"/>
          </w:tcPr>
          <w:p w14:paraId="4995A81B">
            <w:pPr>
              <w:spacing w:line="500" w:lineRule="exact"/>
              <w:ind w:firstLine="480"/>
              <w:jc w:val="center"/>
              <w:rPr>
                <w:rFonts w:ascii="宋体" w:hAnsi="宋体" w:eastAsia="宋体" w:cs="宋体"/>
                <w:bCs/>
                <w:sz w:val="24"/>
                <w:szCs w:val="24"/>
              </w:rPr>
            </w:pPr>
          </w:p>
        </w:tc>
        <w:tc>
          <w:tcPr>
            <w:tcW w:w="2517" w:type="dxa"/>
            <w:vAlign w:val="center"/>
          </w:tcPr>
          <w:p w14:paraId="4B30A723">
            <w:pPr>
              <w:spacing w:line="500" w:lineRule="exact"/>
              <w:ind w:firstLine="480"/>
              <w:jc w:val="center"/>
              <w:rPr>
                <w:rFonts w:ascii="宋体" w:hAnsi="宋体" w:eastAsia="宋体" w:cs="宋体"/>
                <w:bCs/>
                <w:sz w:val="24"/>
                <w:szCs w:val="24"/>
              </w:rPr>
            </w:pPr>
          </w:p>
        </w:tc>
        <w:tc>
          <w:tcPr>
            <w:tcW w:w="1416" w:type="dxa"/>
            <w:vAlign w:val="center"/>
          </w:tcPr>
          <w:p w14:paraId="2A98999B">
            <w:pPr>
              <w:spacing w:line="500" w:lineRule="exact"/>
              <w:ind w:firstLine="480"/>
              <w:jc w:val="center"/>
              <w:rPr>
                <w:rFonts w:ascii="宋体" w:hAnsi="宋体" w:eastAsia="宋体" w:cs="宋体"/>
                <w:bCs/>
                <w:sz w:val="24"/>
                <w:szCs w:val="24"/>
              </w:rPr>
            </w:pPr>
          </w:p>
        </w:tc>
      </w:tr>
      <w:tr w14:paraId="71CA8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0A6CD48D">
            <w:pPr>
              <w:spacing w:line="500" w:lineRule="exact"/>
              <w:ind w:firstLine="480"/>
              <w:rPr>
                <w:rFonts w:hint="eastAsia" w:ascii="宋体" w:hAnsi="宋体" w:eastAsia="宋体" w:cs="宋体"/>
                <w:bCs/>
                <w:sz w:val="24"/>
                <w:szCs w:val="24"/>
                <w:lang w:eastAsia="zh-CN"/>
              </w:rPr>
            </w:pPr>
            <w:r>
              <w:rPr>
                <w:rFonts w:hint="eastAsia" w:ascii="宋体" w:hAnsi="宋体" w:eastAsia="宋体"/>
                <w:color w:val="000000"/>
                <w:sz w:val="24"/>
                <w:szCs w:val="24"/>
                <w:lang w:val="en-US" w:eastAsia="zh-CN"/>
              </w:rPr>
              <w:t>4</w:t>
            </w:r>
          </w:p>
        </w:tc>
        <w:tc>
          <w:tcPr>
            <w:tcW w:w="1688" w:type="dxa"/>
            <w:vAlign w:val="center"/>
          </w:tcPr>
          <w:p w14:paraId="26349C3B">
            <w:pPr>
              <w:spacing w:line="500" w:lineRule="exact"/>
              <w:ind w:left="0" w:leftChars="0" w:firstLine="240" w:firstLineChars="100"/>
              <w:rPr>
                <w:rFonts w:ascii="宋体" w:hAnsi="宋体" w:eastAsia="宋体" w:cs="宋体"/>
                <w:bCs/>
                <w:kern w:val="2"/>
                <w:sz w:val="24"/>
                <w:szCs w:val="24"/>
                <w:lang w:val="en-US" w:eastAsia="zh-CN" w:bidi="ar-SA"/>
              </w:rPr>
            </w:pPr>
            <w:r>
              <w:rPr>
                <w:rFonts w:hint="eastAsia" w:ascii="宋体" w:hAnsi="宋体" w:eastAsia="宋体" w:cs="宋体"/>
                <w:bCs/>
                <w:sz w:val="24"/>
                <w:szCs w:val="24"/>
              </w:rPr>
              <w:t>付款方式</w:t>
            </w:r>
          </w:p>
        </w:tc>
        <w:tc>
          <w:tcPr>
            <w:tcW w:w="2517" w:type="dxa"/>
            <w:vAlign w:val="center"/>
          </w:tcPr>
          <w:p w14:paraId="108F73FC">
            <w:pPr>
              <w:spacing w:line="500" w:lineRule="exact"/>
              <w:ind w:firstLine="480"/>
              <w:jc w:val="center"/>
              <w:rPr>
                <w:rFonts w:ascii="宋体" w:hAnsi="宋体" w:eastAsia="宋体" w:cs="宋体"/>
                <w:bCs/>
                <w:sz w:val="24"/>
                <w:szCs w:val="24"/>
              </w:rPr>
            </w:pPr>
          </w:p>
        </w:tc>
        <w:tc>
          <w:tcPr>
            <w:tcW w:w="2517" w:type="dxa"/>
            <w:vAlign w:val="center"/>
          </w:tcPr>
          <w:p w14:paraId="381605C2">
            <w:pPr>
              <w:spacing w:line="500" w:lineRule="exact"/>
              <w:ind w:firstLine="480"/>
              <w:jc w:val="center"/>
              <w:rPr>
                <w:rFonts w:ascii="宋体" w:hAnsi="宋体" w:eastAsia="宋体" w:cs="宋体"/>
                <w:bCs/>
                <w:sz w:val="24"/>
                <w:szCs w:val="24"/>
              </w:rPr>
            </w:pPr>
          </w:p>
        </w:tc>
        <w:tc>
          <w:tcPr>
            <w:tcW w:w="1416" w:type="dxa"/>
            <w:vAlign w:val="center"/>
          </w:tcPr>
          <w:p w14:paraId="352349A5">
            <w:pPr>
              <w:spacing w:line="500" w:lineRule="exact"/>
              <w:ind w:firstLine="480"/>
              <w:jc w:val="center"/>
              <w:rPr>
                <w:rFonts w:ascii="宋体" w:hAnsi="宋体" w:eastAsia="宋体" w:cs="宋体"/>
                <w:bCs/>
                <w:sz w:val="24"/>
                <w:szCs w:val="24"/>
              </w:rPr>
            </w:pPr>
          </w:p>
        </w:tc>
      </w:tr>
      <w:tr w14:paraId="1BD79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40B2EE27">
            <w:pPr>
              <w:spacing w:line="500" w:lineRule="exact"/>
              <w:ind w:firstLine="480"/>
              <w:rPr>
                <w:rFonts w:hint="eastAsia" w:ascii="宋体" w:hAnsi="宋体" w:eastAsia="宋体" w:cs="宋体"/>
                <w:bCs/>
                <w:i/>
                <w:sz w:val="24"/>
                <w:szCs w:val="24"/>
                <w:lang w:eastAsia="zh-CN"/>
              </w:rPr>
            </w:pPr>
            <w:r>
              <w:rPr>
                <w:rFonts w:hint="eastAsia" w:ascii="宋体" w:hAnsi="宋体" w:eastAsia="宋体"/>
                <w:color w:val="000000"/>
                <w:sz w:val="24"/>
                <w:szCs w:val="24"/>
                <w:lang w:val="en-US" w:eastAsia="zh-CN"/>
              </w:rPr>
              <w:t>5</w:t>
            </w:r>
          </w:p>
        </w:tc>
        <w:tc>
          <w:tcPr>
            <w:tcW w:w="1688" w:type="dxa"/>
            <w:vAlign w:val="center"/>
          </w:tcPr>
          <w:p w14:paraId="0EBD1B16">
            <w:pPr>
              <w:spacing w:line="500" w:lineRule="exact"/>
              <w:ind w:left="0" w:leftChars="0" w:firstLine="240" w:firstLineChars="100"/>
              <w:rPr>
                <w:rFonts w:ascii="宋体" w:hAnsi="宋体" w:eastAsia="宋体" w:cs="宋体"/>
                <w:bCs/>
                <w:kern w:val="2"/>
                <w:sz w:val="24"/>
                <w:szCs w:val="24"/>
                <w:lang w:val="en-US" w:eastAsia="zh-CN" w:bidi="ar-SA"/>
              </w:rPr>
            </w:pPr>
            <w:r>
              <w:rPr>
                <w:rFonts w:hint="eastAsia" w:ascii="宋体" w:hAnsi="宋体" w:eastAsia="宋体" w:cs="宋体"/>
                <w:bCs/>
                <w:sz w:val="24"/>
                <w:szCs w:val="24"/>
              </w:rPr>
              <w:t>质量要求</w:t>
            </w:r>
          </w:p>
        </w:tc>
        <w:tc>
          <w:tcPr>
            <w:tcW w:w="2517" w:type="dxa"/>
            <w:vAlign w:val="center"/>
          </w:tcPr>
          <w:p w14:paraId="12E44116">
            <w:pPr>
              <w:spacing w:line="500" w:lineRule="exact"/>
              <w:ind w:firstLine="480"/>
              <w:jc w:val="center"/>
              <w:rPr>
                <w:rFonts w:ascii="宋体" w:hAnsi="宋体" w:eastAsia="宋体" w:cs="宋体"/>
                <w:bCs/>
                <w:sz w:val="24"/>
                <w:szCs w:val="24"/>
              </w:rPr>
            </w:pPr>
          </w:p>
        </w:tc>
        <w:tc>
          <w:tcPr>
            <w:tcW w:w="2517" w:type="dxa"/>
            <w:vAlign w:val="center"/>
          </w:tcPr>
          <w:p w14:paraId="6D6E6779">
            <w:pPr>
              <w:spacing w:line="500" w:lineRule="exact"/>
              <w:ind w:firstLine="480"/>
              <w:jc w:val="center"/>
              <w:rPr>
                <w:rFonts w:ascii="宋体" w:hAnsi="宋体" w:eastAsia="宋体" w:cs="宋体"/>
                <w:bCs/>
                <w:sz w:val="24"/>
                <w:szCs w:val="24"/>
              </w:rPr>
            </w:pPr>
          </w:p>
        </w:tc>
        <w:tc>
          <w:tcPr>
            <w:tcW w:w="1416" w:type="dxa"/>
            <w:vAlign w:val="center"/>
          </w:tcPr>
          <w:p w14:paraId="1B7D5F46">
            <w:pPr>
              <w:spacing w:line="500" w:lineRule="exact"/>
              <w:ind w:firstLine="480"/>
              <w:jc w:val="center"/>
              <w:rPr>
                <w:rFonts w:ascii="宋体" w:hAnsi="宋体" w:eastAsia="宋体" w:cs="宋体"/>
                <w:bCs/>
                <w:sz w:val="24"/>
                <w:szCs w:val="24"/>
              </w:rPr>
            </w:pPr>
          </w:p>
        </w:tc>
      </w:tr>
      <w:tr w14:paraId="206E9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12B91D65">
            <w:pPr>
              <w:spacing w:line="500" w:lineRule="exact"/>
              <w:ind w:firstLine="480"/>
              <w:rPr>
                <w:rFonts w:hint="eastAsia" w:ascii="宋体" w:hAnsi="宋体" w:eastAsiaTheme="minorEastAsia"/>
                <w:color w:val="000000"/>
                <w:sz w:val="24"/>
                <w:szCs w:val="28"/>
                <w:lang w:eastAsia="zh-CN"/>
              </w:rPr>
            </w:pPr>
            <w:r>
              <w:rPr>
                <w:rFonts w:hint="eastAsia" w:ascii="宋体" w:hAnsi="宋体"/>
                <w:color w:val="000000"/>
                <w:sz w:val="24"/>
                <w:szCs w:val="28"/>
                <w:lang w:val="en-US" w:eastAsia="zh-CN"/>
              </w:rPr>
              <w:t>6</w:t>
            </w:r>
          </w:p>
        </w:tc>
        <w:tc>
          <w:tcPr>
            <w:tcW w:w="1688" w:type="dxa"/>
            <w:vAlign w:val="center"/>
          </w:tcPr>
          <w:p w14:paraId="301DD412">
            <w:pPr>
              <w:spacing w:line="500" w:lineRule="exact"/>
              <w:ind w:firstLine="480"/>
              <w:rPr>
                <w:rFonts w:ascii="宋体" w:hAnsi="宋体" w:eastAsia="宋体" w:cs="宋体"/>
                <w:bCs/>
                <w:sz w:val="24"/>
                <w:szCs w:val="24"/>
              </w:rPr>
            </w:pPr>
          </w:p>
        </w:tc>
        <w:tc>
          <w:tcPr>
            <w:tcW w:w="2517" w:type="dxa"/>
            <w:vAlign w:val="center"/>
          </w:tcPr>
          <w:p w14:paraId="1B14215F">
            <w:pPr>
              <w:spacing w:line="500" w:lineRule="exact"/>
              <w:ind w:firstLine="480"/>
              <w:jc w:val="center"/>
              <w:rPr>
                <w:rFonts w:ascii="宋体" w:hAnsi="宋体" w:eastAsia="宋体" w:cs="宋体"/>
                <w:bCs/>
                <w:sz w:val="24"/>
                <w:szCs w:val="24"/>
              </w:rPr>
            </w:pPr>
          </w:p>
        </w:tc>
        <w:tc>
          <w:tcPr>
            <w:tcW w:w="2517" w:type="dxa"/>
            <w:vAlign w:val="center"/>
          </w:tcPr>
          <w:p w14:paraId="4F652345">
            <w:pPr>
              <w:spacing w:line="500" w:lineRule="exact"/>
              <w:ind w:firstLine="480"/>
              <w:jc w:val="center"/>
              <w:rPr>
                <w:rFonts w:ascii="宋体" w:hAnsi="宋体" w:eastAsia="宋体" w:cs="宋体"/>
                <w:bCs/>
                <w:sz w:val="24"/>
                <w:szCs w:val="24"/>
              </w:rPr>
            </w:pPr>
          </w:p>
        </w:tc>
        <w:tc>
          <w:tcPr>
            <w:tcW w:w="1416" w:type="dxa"/>
            <w:vAlign w:val="center"/>
          </w:tcPr>
          <w:p w14:paraId="649FE20C">
            <w:pPr>
              <w:spacing w:line="500" w:lineRule="exact"/>
              <w:ind w:firstLine="480"/>
              <w:jc w:val="center"/>
              <w:rPr>
                <w:rFonts w:ascii="宋体" w:hAnsi="宋体" w:eastAsia="宋体" w:cs="宋体"/>
                <w:bCs/>
                <w:sz w:val="24"/>
                <w:szCs w:val="24"/>
              </w:rPr>
            </w:pPr>
          </w:p>
        </w:tc>
      </w:tr>
      <w:tr w14:paraId="5D57C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6821B5A9">
            <w:pPr>
              <w:spacing w:line="500" w:lineRule="exact"/>
              <w:ind w:firstLine="480"/>
              <w:rPr>
                <w:rFonts w:ascii="宋体" w:hAnsi="宋体" w:eastAsia="宋体" w:cs="宋体"/>
                <w:bCs/>
                <w:i/>
                <w:w w:val="115"/>
                <w:sz w:val="24"/>
                <w:szCs w:val="24"/>
              </w:rPr>
            </w:pPr>
            <w:r>
              <w:rPr>
                <w:rFonts w:ascii="宋体" w:hAnsi="宋体"/>
                <w:color w:val="000000"/>
                <w:sz w:val="24"/>
                <w:szCs w:val="28"/>
              </w:rPr>
              <w:t>…</w:t>
            </w:r>
          </w:p>
        </w:tc>
        <w:tc>
          <w:tcPr>
            <w:tcW w:w="1688" w:type="dxa"/>
            <w:vAlign w:val="center"/>
          </w:tcPr>
          <w:p w14:paraId="3ACBFAC4">
            <w:pPr>
              <w:spacing w:line="500" w:lineRule="exact"/>
              <w:ind w:firstLine="480"/>
              <w:jc w:val="center"/>
              <w:rPr>
                <w:rFonts w:ascii="宋体" w:hAnsi="宋体" w:eastAsia="宋体" w:cs="宋体"/>
                <w:bCs/>
                <w:sz w:val="24"/>
                <w:szCs w:val="24"/>
              </w:rPr>
            </w:pPr>
          </w:p>
        </w:tc>
        <w:tc>
          <w:tcPr>
            <w:tcW w:w="2517" w:type="dxa"/>
            <w:vAlign w:val="center"/>
          </w:tcPr>
          <w:p w14:paraId="22BDA7FA">
            <w:pPr>
              <w:spacing w:line="500" w:lineRule="exact"/>
              <w:ind w:firstLine="480"/>
              <w:jc w:val="center"/>
              <w:rPr>
                <w:rFonts w:ascii="宋体" w:hAnsi="宋体" w:eastAsia="宋体" w:cs="宋体"/>
                <w:bCs/>
                <w:sz w:val="24"/>
                <w:szCs w:val="24"/>
              </w:rPr>
            </w:pPr>
          </w:p>
        </w:tc>
        <w:tc>
          <w:tcPr>
            <w:tcW w:w="2517" w:type="dxa"/>
            <w:vAlign w:val="center"/>
          </w:tcPr>
          <w:p w14:paraId="45EFB5DF">
            <w:pPr>
              <w:spacing w:line="500" w:lineRule="exact"/>
              <w:ind w:firstLine="480"/>
              <w:jc w:val="center"/>
              <w:rPr>
                <w:rFonts w:ascii="宋体" w:hAnsi="宋体" w:eastAsia="宋体" w:cs="宋体"/>
                <w:bCs/>
                <w:sz w:val="24"/>
                <w:szCs w:val="24"/>
              </w:rPr>
            </w:pPr>
          </w:p>
        </w:tc>
        <w:tc>
          <w:tcPr>
            <w:tcW w:w="1416" w:type="dxa"/>
            <w:vAlign w:val="center"/>
          </w:tcPr>
          <w:p w14:paraId="63DF4215">
            <w:pPr>
              <w:spacing w:line="500" w:lineRule="exact"/>
              <w:ind w:firstLine="480"/>
              <w:jc w:val="center"/>
              <w:rPr>
                <w:rFonts w:ascii="宋体" w:hAnsi="宋体" w:eastAsia="宋体" w:cs="宋体"/>
                <w:bCs/>
                <w:sz w:val="24"/>
                <w:szCs w:val="24"/>
              </w:rPr>
            </w:pPr>
          </w:p>
        </w:tc>
      </w:tr>
    </w:tbl>
    <w:p w14:paraId="65F6B830">
      <w:pPr>
        <w:spacing w:line="360" w:lineRule="auto"/>
        <w:ind w:firstLine="480"/>
        <w:rPr>
          <w:rFonts w:ascii="宋体" w:hAnsi="宋体" w:cs="宋体"/>
          <w:sz w:val="24"/>
          <w:szCs w:val="24"/>
        </w:rPr>
      </w:pPr>
    </w:p>
    <w:p w14:paraId="626554B3">
      <w:pPr>
        <w:spacing w:line="360" w:lineRule="auto"/>
        <w:ind w:firstLine="480"/>
        <w:rPr>
          <w:rFonts w:ascii="宋体" w:hAnsi="宋体" w:cs="宋体"/>
          <w:sz w:val="24"/>
          <w:szCs w:val="24"/>
        </w:rPr>
      </w:pPr>
      <w:r>
        <w:rPr>
          <w:rFonts w:hint="eastAsia" w:ascii="宋体" w:hAnsi="宋体" w:cs="宋体"/>
          <w:sz w:val="24"/>
          <w:szCs w:val="24"/>
        </w:rPr>
        <w:t>注：“偏差结论”栏中描述为“正偏差或负偏差或无偏差”。</w:t>
      </w:r>
    </w:p>
    <w:p w14:paraId="41E3EA58">
      <w:pPr>
        <w:pStyle w:val="4"/>
      </w:pPr>
    </w:p>
    <w:p w14:paraId="28E391B4">
      <w:pPr>
        <w:spacing w:line="360" w:lineRule="auto"/>
        <w:ind w:firstLine="1680" w:firstLineChars="700"/>
        <w:rPr>
          <w:rFonts w:hint="eastAsia" w:ascii="宋体" w:hAnsi="宋体" w:eastAsia="宋体" w:cs="宋体"/>
          <w:color w:val="000000"/>
          <w:sz w:val="24"/>
          <w:szCs w:val="24"/>
        </w:rPr>
      </w:pPr>
    </w:p>
    <w:p w14:paraId="3F7EA565">
      <w:pPr>
        <w:spacing w:line="360" w:lineRule="auto"/>
        <w:ind w:firstLine="1680" w:firstLineChars="700"/>
        <w:rPr>
          <w:rFonts w:hint="eastAsia" w:ascii="宋体" w:hAnsi="宋体" w:eastAsia="宋体" w:cs="宋体"/>
          <w:color w:val="000000"/>
          <w:sz w:val="24"/>
          <w:szCs w:val="24"/>
        </w:rPr>
      </w:pPr>
    </w:p>
    <w:p w14:paraId="227EBC0D">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5CDC4B6">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24F3630">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141E56F">
      <w:pPr>
        <w:pStyle w:val="2"/>
        <w:ind w:firstLine="403" w:firstLineChars="192"/>
        <w:jc w:val="center"/>
        <w:rPr>
          <w:rFonts w:ascii="宋体" w:hAnsi="宋体" w:eastAsia="宋体" w:cs="宋体"/>
          <w:color w:val="000000"/>
          <w:szCs w:val="21"/>
        </w:rPr>
      </w:pPr>
    </w:p>
    <w:p w14:paraId="570A14CA">
      <w:pPr>
        <w:pStyle w:val="4"/>
        <w:rPr>
          <w:rFonts w:ascii="宋体" w:hAnsi="宋体" w:eastAsia="宋体" w:cs="宋体"/>
          <w:color w:val="000000"/>
          <w:szCs w:val="21"/>
        </w:rPr>
      </w:pPr>
    </w:p>
    <w:p w14:paraId="58E8A16F">
      <w:pPr>
        <w:rPr>
          <w:rFonts w:ascii="宋体" w:hAnsi="宋体" w:eastAsia="宋体" w:cs="宋体"/>
          <w:color w:val="000000"/>
          <w:szCs w:val="21"/>
        </w:rPr>
      </w:pPr>
    </w:p>
    <w:p w14:paraId="4F6A26C1">
      <w:pPr>
        <w:pStyle w:val="2"/>
        <w:rPr>
          <w:rFonts w:ascii="宋体" w:hAnsi="宋体" w:eastAsia="宋体" w:cs="宋体"/>
          <w:color w:val="000000"/>
          <w:szCs w:val="21"/>
        </w:rPr>
      </w:pPr>
    </w:p>
    <w:p w14:paraId="3282B7DE">
      <w:pPr>
        <w:pStyle w:val="2"/>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（二）技术偏差表</w:t>
      </w:r>
      <w:r>
        <w:rPr>
          <w:rFonts w:hint="eastAsia" w:ascii="宋体" w:hAnsi="宋体" w:eastAsia="宋体" w:cs="宋体"/>
          <w:b/>
          <w:bCs/>
          <w:color w:val="000000"/>
          <w:sz w:val="24"/>
          <w:szCs w:val="24"/>
        </w:rPr>
        <w:br w:type="textWrapping"/>
      </w:r>
    </w:p>
    <w:tbl>
      <w:tblPr>
        <w:tblStyle w:val="23"/>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09F4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vAlign w:val="center"/>
          </w:tcPr>
          <w:p w14:paraId="66625074">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vAlign w:val="center"/>
          </w:tcPr>
          <w:p w14:paraId="39698D0F">
            <w:pPr>
              <w:ind w:firstLine="240" w:firstLineChars="100"/>
              <w:rPr>
                <w:rFonts w:ascii="宋体" w:hAnsi="宋体" w:eastAsia="宋体" w:cs="宋体"/>
                <w:sz w:val="24"/>
                <w:szCs w:val="24"/>
              </w:rPr>
            </w:pPr>
            <w:r>
              <w:rPr>
                <w:rFonts w:hint="eastAsia" w:ascii="宋体" w:hAnsi="宋体" w:eastAsia="宋体" w:cs="宋体"/>
                <w:sz w:val="24"/>
                <w:szCs w:val="24"/>
                <w:lang w:eastAsia="zh-CN"/>
              </w:rPr>
              <w:t>服务内容</w:t>
            </w:r>
          </w:p>
        </w:tc>
        <w:tc>
          <w:tcPr>
            <w:tcW w:w="3782" w:type="dxa"/>
            <w:gridSpan w:val="2"/>
            <w:tcBorders>
              <w:top w:val="single" w:color="auto" w:sz="4" w:space="0"/>
              <w:left w:val="single" w:color="auto" w:sz="4" w:space="0"/>
              <w:bottom w:val="single" w:color="auto" w:sz="4" w:space="0"/>
              <w:right w:val="single" w:color="auto" w:sz="4" w:space="0"/>
            </w:tcBorders>
            <w:vAlign w:val="center"/>
          </w:tcPr>
          <w:p w14:paraId="37673551">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33" w:type="dxa"/>
            <w:vMerge w:val="restart"/>
            <w:tcBorders>
              <w:top w:val="single" w:color="auto" w:sz="4" w:space="0"/>
              <w:left w:val="single" w:color="auto" w:sz="4" w:space="0"/>
              <w:right w:val="single" w:color="auto" w:sz="4" w:space="0"/>
            </w:tcBorders>
            <w:vAlign w:val="center"/>
          </w:tcPr>
          <w:p w14:paraId="22C9921C">
            <w:pPr>
              <w:ind w:firstLine="0" w:firstLineChars="0"/>
              <w:rPr>
                <w:rFonts w:ascii="宋体" w:hAnsi="宋体" w:eastAsia="宋体" w:cs="宋体"/>
                <w:sz w:val="24"/>
                <w:szCs w:val="24"/>
              </w:rPr>
            </w:pPr>
            <w:r>
              <w:rPr>
                <w:rFonts w:hint="eastAsia" w:ascii="宋体" w:hAnsi="宋体" w:eastAsia="宋体" w:cs="宋体"/>
                <w:sz w:val="24"/>
                <w:szCs w:val="24"/>
              </w:rPr>
              <w:t>偏差描述</w:t>
            </w:r>
          </w:p>
        </w:tc>
        <w:tc>
          <w:tcPr>
            <w:tcW w:w="1334" w:type="dxa"/>
            <w:vMerge w:val="restart"/>
            <w:tcBorders>
              <w:top w:val="single" w:color="auto" w:sz="4" w:space="0"/>
              <w:left w:val="single" w:color="auto" w:sz="4" w:space="0"/>
              <w:right w:val="single" w:color="auto" w:sz="4" w:space="0"/>
            </w:tcBorders>
            <w:vAlign w:val="center"/>
          </w:tcPr>
          <w:p w14:paraId="4F40FFAB">
            <w:pPr>
              <w:ind w:firstLine="0" w:firstLineChars="0"/>
              <w:rPr>
                <w:rFonts w:ascii="宋体" w:hAnsi="宋体" w:eastAsia="宋体" w:cs="宋体"/>
                <w:sz w:val="24"/>
                <w:szCs w:val="24"/>
              </w:rPr>
            </w:pPr>
            <w:r>
              <w:rPr>
                <w:rFonts w:hint="eastAsia" w:ascii="宋体" w:hAnsi="宋体" w:eastAsia="宋体" w:cs="宋体"/>
                <w:sz w:val="24"/>
                <w:szCs w:val="24"/>
              </w:rPr>
              <w:t>偏差结论</w:t>
            </w:r>
          </w:p>
        </w:tc>
      </w:tr>
      <w:tr w14:paraId="12EEA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vAlign w:val="center"/>
          </w:tcPr>
          <w:p w14:paraId="3683D935">
            <w:pPr>
              <w:ind w:firstLine="480"/>
              <w:jc w:val="center"/>
              <w:rPr>
                <w:rFonts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vAlign w:val="center"/>
          </w:tcPr>
          <w:p w14:paraId="270D2875">
            <w:pPr>
              <w:ind w:firstLine="480"/>
              <w:jc w:val="center"/>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2E9D1A77">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文件要求</w:t>
            </w:r>
          </w:p>
        </w:tc>
        <w:tc>
          <w:tcPr>
            <w:tcW w:w="1891" w:type="dxa"/>
            <w:tcBorders>
              <w:top w:val="single" w:color="auto" w:sz="4" w:space="0"/>
              <w:left w:val="single" w:color="auto" w:sz="4" w:space="0"/>
              <w:bottom w:val="single" w:color="auto" w:sz="4" w:space="0"/>
              <w:right w:val="single" w:color="auto" w:sz="4" w:space="0"/>
            </w:tcBorders>
            <w:vAlign w:val="center"/>
          </w:tcPr>
          <w:p w14:paraId="3FFF2A92">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文件响应</w:t>
            </w:r>
          </w:p>
        </w:tc>
        <w:tc>
          <w:tcPr>
            <w:tcW w:w="1333" w:type="dxa"/>
            <w:vMerge w:val="continue"/>
            <w:tcBorders>
              <w:left w:val="single" w:color="auto" w:sz="4" w:space="0"/>
              <w:bottom w:val="single" w:color="auto" w:sz="4" w:space="0"/>
              <w:right w:val="single" w:color="auto" w:sz="4" w:space="0"/>
            </w:tcBorders>
            <w:vAlign w:val="center"/>
          </w:tcPr>
          <w:p w14:paraId="299C9C0B">
            <w:pPr>
              <w:ind w:firstLine="480"/>
              <w:jc w:val="center"/>
              <w:rPr>
                <w:rFonts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vAlign w:val="center"/>
          </w:tcPr>
          <w:p w14:paraId="08B4AF3C">
            <w:pPr>
              <w:ind w:firstLine="480"/>
              <w:jc w:val="center"/>
              <w:rPr>
                <w:rFonts w:ascii="宋体" w:hAnsi="宋体" w:eastAsia="宋体" w:cs="宋体"/>
                <w:sz w:val="24"/>
                <w:szCs w:val="24"/>
              </w:rPr>
            </w:pPr>
          </w:p>
        </w:tc>
      </w:tr>
      <w:tr w14:paraId="026AD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EC8A84A">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tcPr>
          <w:p w14:paraId="75C88965">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736ADF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4819768">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7A12D6B">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122D938">
            <w:pPr>
              <w:ind w:firstLine="480"/>
              <w:rPr>
                <w:rFonts w:ascii="宋体" w:hAnsi="宋体" w:eastAsia="宋体" w:cs="宋体"/>
                <w:sz w:val="24"/>
                <w:szCs w:val="24"/>
              </w:rPr>
            </w:pPr>
          </w:p>
        </w:tc>
      </w:tr>
      <w:tr w14:paraId="7A878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D1BCA11">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tcPr>
          <w:p w14:paraId="6A9D75BE">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912C0B2">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3ED2490">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CD224DC">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017269BD">
            <w:pPr>
              <w:ind w:firstLine="480"/>
              <w:rPr>
                <w:rFonts w:ascii="宋体" w:hAnsi="宋体" w:eastAsia="宋体" w:cs="宋体"/>
                <w:sz w:val="24"/>
                <w:szCs w:val="24"/>
              </w:rPr>
            </w:pPr>
          </w:p>
        </w:tc>
      </w:tr>
      <w:tr w14:paraId="12F2F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6E7CA9B">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tcPr>
          <w:p w14:paraId="2F95634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17B501B">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3394112">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9813292">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3D4A5FB3">
            <w:pPr>
              <w:ind w:firstLine="480"/>
              <w:rPr>
                <w:rFonts w:ascii="宋体" w:hAnsi="宋体" w:eastAsia="宋体" w:cs="宋体"/>
                <w:sz w:val="24"/>
                <w:szCs w:val="24"/>
              </w:rPr>
            </w:pPr>
          </w:p>
        </w:tc>
      </w:tr>
      <w:tr w14:paraId="5D879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484BB92E">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tcPr>
          <w:p w14:paraId="338906D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0C0DB0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167AB288">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B2E2766">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5F7EE160">
            <w:pPr>
              <w:ind w:firstLine="480"/>
              <w:rPr>
                <w:rFonts w:ascii="宋体" w:hAnsi="宋体" w:eastAsia="宋体" w:cs="宋体"/>
                <w:sz w:val="24"/>
                <w:szCs w:val="24"/>
              </w:rPr>
            </w:pPr>
          </w:p>
        </w:tc>
      </w:tr>
      <w:tr w14:paraId="0C13D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DDC6E3D">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tcPr>
          <w:p w14:paraId="1B74944D">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D286AC2">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99FC001">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237911FC">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751F758C">
            <w:pPr>
              <w:ind w:firstLine="480"/>
              <w:rPr>
                <w:rFonts w:ascii="宋体" w:hAnsi="宋体" w:eastAsia="宋体" w:cs="宋体"/>
                <w:sz w:val="24"/>
                <w:szCs w:val="24"/>
              </w:rPr>
            </w:pPr>
          </w:p>
        </w:tc>
      </w:tr>
      <w:tr w14:paraId="3C050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BF50AA5">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tcPr>
          <w:p w14:paraId="0718637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5A2241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EEAFDFD">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9277C50">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6AFBFD5E">
            <w:pPr>
              <w:ind w:firstLine="480"/>
              <w:rPr>
                <w:rFonts w:ascii="宋体" w:hAnsi="宋体" w:eastAsia="宋体" w:cs="宋体"/>
                <w:sz w:val="24"/>
                <w:szCs w:val="24"/>
              </w:rPr>
            </w:pPr>
          </w:p>
        </w:tc>
      </w:tr>
      <w:tr w14:paraId="53F34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vAlign w:val="center"/>
          </w:tcPr>
          <w:p w14:paraId="45499DEC">
            <w:pPr>
              <w:spacing w:line="500" w:lineRule="exact"/>
              <w:ind w:firstLine="480"/>
              <w:rPr>
                <w:rFonts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tcPr>
          <w:p w14:paraId="2F8EC9D3">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E349901">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A6212B3">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26E0977">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8870312">
            <w:pPr>
              <w:ind w:firstLine="480"/>
              <w:rPr>
                <w:rFonts w:ascii="宋体" w:hAnsi="宋体" w:eastAsia="宋体" w:cs="宋体"/>
                <w:sz w:val="24"/>
                <w:szCs w:val="24"/>
              </w:rPr>
            </w:pPr>
          </w:p>
        </w:tc>
      </w:tr>
    </w:tbl>
    <w:p w14:paraId="74B49A1F">
      <w:pPr>
        <w:tabs>
          <w:tab w:val="left" w:pos="926"/>
          <w:tab w:val="left" w:pos="4335"/>
          <w:tab w:val="left" w:pos="7227"/>
        </w:tabs>
        <w:spacing w:line="400" w:lineRule="exact"/>
        <w:ind w:firstLine="420"/>
        <w:jc w:val="left"/>
        <w:rPr>
          <w:rFonts w:ascii="宋体" w:hAnsi="宋体" w:eastAsia="宋体" w:cs="宋体"/>
          <w:color w:val="000000"/>
          <w:szCs w:val="21"/>
        </w:rPr>
      </w:pPr>
    </w:p>
    <w:p w14:paraId="21D1381B">
      <w:pPr>
        <w:spacing w:line="360" w:lineRule="auto"/>
        <w:ind w:firstLine="0" w:firstLineChars="0"/>
        <w:rPr>
          <w:rFonts w:ascii="宋体" w:hAnsi="宋体" w:cs="宋体"/>
          <w:sz w:val="24"/>
          <w:szCs w:val="24"/>
        </w:rPr>
      </w:pPr>
      <w:r>
        <w:rPr>
          <w:rFonts w:hint="eastAsia" w:ascii="宋体" w:hAnsi="宋体" w:cs="宋体"/>
          <w:sz w:val="24"/>
          <w:szCs w:val="24"/>
        </w:rPr>
        <w:t>注：</w:t>
      </w:r>
    </w:p>
    <w:p w14:paraId="4B3676BA">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7D96B985">
      <w:pPr>
        <w:spacing w:line="360" w:lineRule="auto"/>
        <w:ind w:firstLine="241" w:firstLineChars="100"/>
        <w:rPr>
          <w:rFonts w:hint="eastAsia" w:eastAsia="宋体" w:cs="宋体"/>
          <w:b/>
          <w:color w:val="000000"/>
          <w:sz w:val="24"/>
          <w:szCs w:val="24"/>
        </w:rPr>
      </w:pPr>
    </w:p>
    <w:p w14:paraId="35DA162A">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00996478">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w:t>
      </w:r>
      <w:r>
        <w:rPr>
          <w:rFonts w:hint="eastAsia" w:ascii="宋体" w:hAnsi="宋体" w:eastAsia="宋体" w:cs="宋体"/>
          <w:b w:val="0"/>
          <w:bCs/>
          <w:color w:val="000000"/>
          <w:sz w:val="24"/>
          <w:szCs w:val="24"/>
          <w:lang w:eastAsia="zh-CN"/>
        </w:rPr>
        <w:t>磋商</w:t>
      </w:r>
      <w:r>
        <w:rPr>
          <w:rFonts w:hint="eastAsia" w:ascii="宋体" w:hAnsi="宋体" w:eastAsia="宋体" w:cs="宋体"/>
          <w:b w:val="0"/>
          <w:bCs/>
          <w:color w:val="000000"/>
          <w:sz w:val="24"/>
          <w:szCs w:val="24"/>
        </w:rPr>
        <w:t>文件的全部要求</w:t>
      </w:r>
      <w:r>
        <w:rPr>
          <w:rFonts w:hint="eastAsia" w:eastAsia="宋体" w:cs="宋体"/>
          <w:b w:val="0"/>
          <w:bCs/>
          <w:color w:val="000000"/>
          <w:sz w:val="24"/>
          <w:szCs w:val="24"/>
        </w:rPr>
        <w:t>。投标供应商须在投标文件中提供相关承诺，格式自拟，否则投标将被否决。</w:t>
      </w:r>
    </w:p>
    <w:p w14:paraId="641843AC">
      <w:pPr>
        <w:pStyle w:val="33"/>
        <w:ind w:firstLine="420"/>
      </w:pPr>
    </w:p>
    <w:p w14:paraId="272A7AB2">
      <w:pPr>
        <w:pStyle w:val="33"/>
        <w:ind w:firstLine="420"/>
      </w:pPr>
    </w:p>
    <w:p w14:paraId="7E9DE2C5">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24EB9D92">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0CFF50C6">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C0F0181">
      <w:pPr>
        <w:pStyle w:val="2"/>
        <w:spacing w:line="400" w:lineRule="exact"/>
        <w:ind w:firstLine="281"/>
        <w:jc w:val="center"/>
        <w:outlineLvl w:val="1"/>
        <w:rPr>
          <w:rFonts w:ascii="宋体" w:hAnsi="宋体" w:eastAsia="宋体" w:cs="宋体"/>
          <w:b/>
          <w:color w:val="000000"/>
          <w:sz w:val="28"/>
          <w:szCs w:val="28"/>
        </w:rPr>
      </w:pPr>
      <w:r>
        <w:rPr>
          <w:color w:val="auto"/>
        </w:rPr>
        <w:br w:type="page"/>
      </w:r>
      <w:bookmarkStart w:id="1447" w:name="_Toc28051"/>
      <w:bookmarkStart w:id="1448" w:name="_Toc30207"/>
      <w:bookmarkStart w:id="1449" w:name="_Toc1183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1447"/>
      <w:bookmarkEnd w:id="1448"/>
    </w:p>
    <w:p w14:paraId="2E490094">
      <w:pPr>
        <w:pStyle w:val="2"/>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投标供应商基本情况表</w:t>
      </w:r>
    </w:p>
    <w:tbl>
      <w:tblPr>
        <w:tblStyle w:val="23"/>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447C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569DEBE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3932773A">
            <w:pPr>
              <w:spacing w:line="400" w:lineRule="exact"/>
              <w:ind w:firstLine="480"/>
              <w:rPr>
                <w:rFonts w:ascii="宋体" w:hAnsi="宋体" w:eastAsia="宋体" w:cs="宋体"/>
                <w:color w:val="000000"/>
                <w:sz w:val="24"/>
                <w:szCs w:val="24"/>
              </w:rPr>
            </w:pPr>
          </w:p>
        </w:tc>
      </w:tr>
      <w:tr w14:paraId="5F5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5E248D7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5DF808DD">
            <w:pPr>
              <w:spacing w:line="400" w:lineRule="exact"/>
              <w:ind w:firstLine="480"/>
              <w:jc w:val="center"/>
              <w:rPr>
                <w:rFonts w:ascii="宋体" w:hAnsi="宋体" w:eastAsia="宋体" w:cs="宋体"/>
                <w:color w:val="000000"/>
                <w:sz w:val="24"/>
                <w:szCs w:val="24"/>
              </w:rPr>
            </w:pPr>
          </w:p>
        </w:tc>
        <w:tc>
          <w:tcPr>
            <w:tcW w:w="1302" w:type="dxa"/>
          </w:tcPr>
          <w:p w14:paraId="78C9A09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47EAED77">
            <w:pPr>
              <w:spacing w:line="400" w:lineRule="exact"/>
              <w:ind w:firstLine="480"/>
              <w:jc w:val="center"/>
              <w:rPr>
                <w:rFonts w:ascii="宋体" w:hAnsi="宋体" w:eastAsia="宋体" w:cs="宋体"/>
                <w:color w:val="000000"/>
                <w:sz w:val="24"/>
                <w:szCs w:val="24"/>
              </w:rPr>
            </w:pPr>
          </w:p>
        </w:tc>
      </w:tr>
      <w:tr w14:paraId="5EB4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6E2CC6D6">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37DB0BEA">
            <w:pPr>
              <w:spacing w:line="400" w:lineRule="exact"/>
              <w:ind w:firstLine="480"/>
              <w:jc w:val="center"/>
              <w:rPr>
                <w:rFonts w:ascii="宋体" w:hAnsi="宋体" w:eastAsia="宋体" w:cs="宋体"/>
                <w:color w:val="000000"/>
                <w:sz w:val="24"/>
                <w:szCs w:val="24"/>
              </w:rPr>
            </w:pPr>
          </w:p>
        </w:tc>
        <w:tc>
          <w:tcPr>
            <w:tcW w:w="1302" w:type="dxa"/>
          </w:tcPr>
          <w:p w14:paraId="193DC65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00C187B1">
            <w:pPr>
              <w:spacing w:line="400" w:lineRule="exact"/>
              <w:ind w:firstLine="480"/>
              <w:jc w:val="center"/>
              <w:rPr>
                <w:rFonts w:ascii="宋体" w:hAnsi="宋体" w:eastAsia="宋体" w:cs="宋体"/>
                <w:color w:val="000000"/>
                <w:sz w:val="24"/>
                <w:szCs w:val="24"/>
              </w:rPr>
            </w:pPr>
          </w:p>
        </w:tc>
      </w:tr>
      <w:tr w14:paraId="2B0B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7BA9BFB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2754DFF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2A14F67F">
            <w:pPr>
              <w:spacing w:line="400" w:lineRule="exact"/>
              <w:ind w:firstLine="480"/>
              <w:jc w:val="center"/>
              <w:rPr>
                <w:rFonts w:ascii="宋体" w:hAnsi="宋体" w:eastAsia="宋体" w:cs="宋体"/>
                <w:color w:val="000000"/>
                <w:sz w:val="24"/>
                <w:szCs w:val="24"/>
              </w:rPr>
            </w:pPr>
          </w:p>
        </w:tc>
        <w:tc>
          <w:tcPr>
            <w:tcW w:w="1302" w:type="dxa"/>
          </w:tcPr>
          <w:p w14:paraId="6C1E393D">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4EB5F486">
            <w:pPr>
              <w:spacing w:line="400" w:lineRule="exact"/>
              <w:ind w:firstLine="480"/>
              <w:jc w:val="center"/>
              <w:rPr>
                <w:rFonts w:ascii="宋体" w:hAnsi="宋体" w:eastAsia="宋体" w:cs="宋体"/>
                <w:color w:val="000000"/>
                <w:sz w:val="24"/>
                <w:szCs w:val="24"/>
              </w:rPr>
            </w:pPr>
          </w:p>
        </w:tc>
      </w:tr>
      <w:tr w14:paraId="7244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313DBD61">
            <w:pPr>
              <w:spacing w:line="400" w:lineRule="exact"/>
              <w:ind w:firstLine="480"/>
              <w:rPr>
                <w:rFonts w:ascii="宋体" w:hAnsi="宋体" w:eastAsia="宋体" w:cs="宋体"/>
                <w:color w:val="000000"/>
                <w:sz w:val="24"/>
                <w:szCs w:val="24"/>
              </w:rPr>
            </w:pPr>
          </w:p>
        </w:tc>
        <w:tc>
          <w:tcPr>
            <w:tcW w:w="1025" w:type="dxa"/>
          </w:tcPr>
          <w:p w14:paraId="6ED8608F">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32743C08">
            <w:pPr>
              <w:spacing w:line="400" w:lineRule="exact"/>
              <w:ind w:firstLine="480"/>
              <w:jc w:val="center"/>
              <w:rPr>
                <w:rFonts w:ascii="宋体" w:hAnsi="宋体" w:eastAsia="宋体" w:cs="宋体"/>
                <w:color w:val="000000"/>
                <w:sz w:val="24"/>
                <w:szCs w:val="24"/>
              </w:rPr>
            </w:pPr>
          </w:p>
        </w:tc>
        <w:tc>
          <w:tcPr>
            <w:tcW w:w="1302" w:type="dxa"/>
          </w:tcPr>
          <w:p w14:paraId="2B385073">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12B2FBA4">
            <w:pPr>
              <w:spacing w:line="400" w:lineRule="exact"/>
              <w:ind w:firstLine="480"/>
              <w:jc w:val="center"/>
              <w:rPr>
                <w:rFonts w:ascii="宋体" w:hAnsi="宋体" w:eastAsia="宋体" w:cs="宋体"/>
                <w:color w:val="000000"/>
                <w:sz w:val="24"/>
                <w:szCs w:val="24"/>
              </w:rPr>
            </w:pPr>
          </w:p>
        </w:tc>
      </w:tr>
      <w:tr w14:paraId="7028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59BF7743">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7E8E269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22DDFD47">
            <w:pPr>
              <w:spacing w:line="400" w:lineRule="exact"/>
              <w:ind w:firstLine="480"/>
              <w:jc w:val="center"/>
              <w:rPr>
                <w:rFonts w:ascii="宋体" w:hAnsi="宋体" w:eastAsia="宋体" w:cs="宋体"/>
                <w:color w:val="000000"/>
                <w:sz w:val="24"/>
                <w:szCs w:val="24"/>
              </w:rPr>
            </w:pPr>
          </w:p>
        </w:tc>
        <w:tc>
          <w:tcPr>
            <w:tcW w:w="1412" w:type="dxa"/>
          </w:tcPr>
          <w:p w14:paraId="6F9B2E31">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34D9A1C9">
            <w:pPr>
              <w:spacing w:line="400" w:lineRule="exact"/>
              <w:ind w:firstLine="480"/>
              <w:jc w:val="center"/>
              <w:rPr>
                <w:rFonts w:ascii="宋体" w:hAnsi="宋体" w:eastAsia="宋体" w:cs="宋体"/>
                <w:color w:val="000000"/>
                <w:sz w:val="24"/>
                <w:szCs w:val="24"/>
              </w:rPr>
            </w:pPr>
          </w:p>
        </w:tc>
        <w:tc>
          <w:tcPr>
            <w:tcW w:w="855" w:type="dxa"/>
          </w:tcPr>
          <w:p w14:paraId="0C97971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5094AD2F">
            <w:pPr>
              <w:spacing w:line="400" w:lineRule="exact"/>
              <w:ind w:firstLine="480"/>
              <w:rPr>
                <w:rFonts w:ascii="宋体" w:hAnsi="宋体" w:eastAsia="宋体" w:cs="宋体"/>
                <w:color w:val="000000"/>
                <w:sz w:val="24"/>
                <w:szCs w:val="24"/>
              </w:rPr>
            </w:pPr>
          </w:p>
        </w:tc>
      </w:tr>
      <w:tr w14:paraId="3925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6F27F4E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983750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6B5919F6">
            <w:pPr>
              <w:spacing w:line="400" w:lineRule="exact"/>
              <w:ind w:firstLine="480"/>
              <w:rPr>
                <w:rFonts w:ascii="宋体" w:hAnsi="宋体" w:eastAsia="宋体" w:cs="宋体"/>
                <w:color w:val="000000"/>
                <w:sz w:val="24"/>
                <w:szCs w:val="24"/>
              </w:rPr>
            </w:pPr>
          </w:p>
        </w:tc>
      </w:tr>
      <w:tr w14:paraId="11E9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2EDFFB9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4BA165B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0D2CF75B">
            <w:pPr>
              <w:spacing w:line="400" w:lineRule="exact"/>
              <w:ind w:firstLine="480"/>
              <w:rPr>
                <w:rFonts w:ascii="宋体" w:hAnsi="宋体" w:eastAsia="宋体" w:cs="宋体"/>
                <w:color w:val="000000"/>
                <w:sz w:val="24"/>
                <w:szCs w:val="24"/>
              </w:rPr>
            </w:pPr>
          </w:p>
        </w:tc>
      </w:tr>
      <w:tr w14:paraId="790A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051083A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63B84DDA">
            <w:pPr>
              <w:spacing w:line="400" w:lineRule="exact"/>
              <w:ind w:firstLine="480"/>
              <w:rPr>
                <w:rFonts w:ascii="宋体" w:hAnsi="宋体" w:eastAsia="宋体" w:cs="宋体"/>
                <w:color w:val="000000"/>
                <w:sz w:val="24"/>
                <w:szCs w:val="24"/>
              </w:rPr>
            </w:pPr>
          </w:p>
        </w:tc>
      </w:tr>
      <w:tr w14:paraId="396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408D0FBA">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w:t>
            </w:r>
          </w:p>
        </w:tc>
        <w:tc>
          <w:tcPr>
            <w:tcW w:w="7193" w:type="dxa"/>
            <w:gridSpan w:val="6"/>
          </w:tcPr>
          <w:p w14:paraId="1BF288A7">
            <w:pPr>
              <w:spacing w:line="400" w:lineRule="exact"/>
              <w:ind w:firstLine="480"/>
              <w:rPr>
                <w:rFonts w:ascii="宋体" w:hAnsi="宋体" w:eastAsia="宋体" w:cs="宋体"/>
                <w:color w:val="000000"/>
                <w:sz w:val="24"/>
                <w:szCs w:val="24"/>
              </w:rPr>
            </w:pPr>
          </w:p>
        </w:tc>
      </w:tr>
      <w:tr w14:paraId="1071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6ACE311F">
            <w:pPr>
              <w:spacing w:line="400" w:lineRule="exact"/>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193" w:type="dxa"/>
            <w:gridSpan w:val="6"/>
          </w:tcPr>
          <w:p w14:paraId="0CF49790">
            <w:pPr>
              <w:spacing w:line="400" w:lineRule="exact"/>
              <w:ind w:firstLine="480"/>
              <w:rPr>
                <w:rFonts w:ascii="宋体" w:hAnsi="宋体" w:eastAsia="宋体" w:cs="宋体"/>
                <w:color w:val="000000"/>
                <w:sz w:val="24"/>
                <w:szCs w:val="24"/>
              </w:rPr>
            </w:pPr>
          </w:p>
        </w:tc>
      </w:tr>
    </w:tbl>
    <w:p w14:paraId="5FB99FBD">
      <w:pPr>
        <w:spacing w:line="400" w:lineRule="exact"/>
        <w:ind w:firstLine="420"/>
        <w:rPr>
          <w:rFonts w:ascii="宋体" w:hAnsi="宋体" w:eastAsia="宋体" w:cs="宋体"/>
          <w:color w:val="000000"/>
          <w:szCs w:val="21"/>
        </w:rPr>
      </w:pPr>
    </w:p>
    <w:p w14:paraId="0244D839">
      <w:pPr>
        <w:pStyle w:val="2"/>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应根据</w:t>
      </w:r>
      <w:r>
        <w:rPr>
          <w:rFonts w:hint="eastAsia" w:ascii="宋体" w:hAnsi="宋体" w:eastAsia="宋体" w:cs="宋体"/>
          <w:b w:val="0"/>
          <w:bCs w:val="0"/>
          <w:color w:val="000000"/>
          <w:sz w:val="24"/>
          <w:szCs w:val="24"/>
          <w:lang w:eastAsia="zh-CN"/>
        </w:rPr>
        <w:t>投标供应商</w:t>
      </w:r>
      <w:r>
        <w:rPr>
          <w:rFonts w:hint="eastAsia" w:ascii="宋体" w:hAnsi="宋体" w:eastAsia="宋体" w:cs="宋体"/>
          <w:b w:val="0"/>
          <w:bCs w:val="0"/>
          <w:color w:val="000000"/>
          <w:sz w:val="24"/>
          <w:szCs w:val="24"/>
        </w:rPr>
        <w:t>须知“</w:t>
      </w:r>
      <w:r>
        <w:rPr>
          <w:rFonts w:hint="eastAsia" w:ascii="宋体" w:hAnsi="宋体" w:eastAsia="宋体" w:cs="宋体"/>
          <w:b w:val="0"/>
          <w:bCs w:val="0"/>
          <w:color w:val="000000"/>
          <w:sz w:val="24"/>
          <w:szCs w:val="24"/>
          <w:lang w:eastAsia="zh-CN"/>
        </w:rPr>
        <w:t>投标供应商</w:t>
      </w:r>
      <w:r>
        <w:rPr>
          <w:rFonts w:hint="eastAsia" w:ascii="宋体" w:hAnsi="宋体" w:eastAsia="宋体" w:cs="宋体"/>
          <w:b w:val="0"/>
          <w:bCs w:val="0"/>
          <w:color w:val="000000"/>
          <w:sz w:val="24"/>
          <w:szCs w:val="24"/>
        </w:rPr>
        <w:t>资格要求”在本表后附供应商信用承诺函。</w:t>
      </w:r>
    </w:p>
    <w:p w14:paraId="3CC65146">
      <w:pPr>
        <w:pStyle w:val="2"/>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7F2A011E">
      <w:pPr>
        <w:jc w:val="center"/>
        <w:rPr>
          <w:rFonts w:hint="eastAsia" w:ascii="Times New Roman" w:hAnsi="Times New Roman" w:eastAsia="宋体"/>
          <w:b/>
          <w:bCs/>
          <w:color w:val="auto"/>
          <w:sz w:val="28"/>
          <w:lang w:val="en-US" w:eastAsia="zh-CN"/>
        </w:rPr>
      </w:pPr>
      <w:r>
        <w:rPr>
          <w:rFonts w:hint="eastAsia" w:ascii="Times New Roman" w:hAnsi="Times New Roman" w:eastAsia="宋体"/>
          <w:b/>
          <w:bCs/>
          <w:color w:val="auto"/>
          <w:sz w:val="28"/>
          <w:lang w:val="en-US" w:eastAsia="zh-CN"/>
        </w:rPr>
        <w:t>.</w:t>
      </w:r>
    </w:p>
    <w:bookmarkEnd w:id="1445"/>
    <w:bookmarkEnd w:id="1446"/>
    <w:bookmarkEnd w:id="1449"/>
    <w:p w14:paraId="432295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bCs/>
          <w:kern w:val="0"/>
          <w:sz w:val="24"/>
          <w:szCs w:val="24"/>
          <w:lang w:val="en-US" w:eastAsia="zh-CN" w:bidi="ar"/>
        </w:rPr>
      </w:pPr>
      <w:bookmarkStart w:id="1450" w:name="_Toc456185720"/>
      <w:r>
        <w:rPr>
          <w:rFonts w:hint="eastAsia" w:ascii="宋体" w:hAnsi="宋体" w:eastAsia="宋体" w:cs="宋体"/>
          <w:b/>
          <w:bCs/>
          <w:kern w:val="0"/>
          <w:sz w:val="24"/>
          <w:szCs w:val="24"/>
          <w:lang w:val="en-US" w:eastAsia="zh-CN" w:bidi="ar"/>
        </w:rPr>
        <w:t>附件：</w:t>
      </w:r>
    </w:p>
    <w:p w14:paraId="1C8915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息县政府采购供应商信用承诺函</w:t>
      </w:r>
    </w:p>
    <w:p w14:paraId="3044532C">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1A6A25B7">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417BCEEB">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6AF286D9">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78850F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32BE3B1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5382BD2F">
      <w:pPr>
        <w:pStyle w:val="2"/>
        <w:rPr>
          <w:rFonts w:hint="default"/>
          <w:lang w:val="en-US" w:eastAsia="zh-CN"/>
        </w:rPr>
      </w:pPr>
    </w:p>
    <w:p w14:paraId="5F3CBF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1697F6E2">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45D00DE">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293416B4">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29CF3F5E">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722392BF">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5CC2CE80">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574561AD">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783D146D">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29A5F278">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2DC5CDD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51015191">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4C1D3F8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kern w:val="0"/>
          <w:sz w:val="21"/>
          <w:szCs w:val="21"/>
          <w:lang w:val="en-US" w:eastAsia="zh-CN" w:bidi="ar"/>
        </w:rPr>
      </w:pPr>
    </w:p>
    <w:p w14:paraId="4E12984D">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10A62689">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0B9A63BC">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35D38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210" w:firstLineChars="100"/>
        <w:jc w:val="left"/>
        <w:textAlignment w:val="auto"/>
        <w:rPr>
          <w:rFonts w:hint="eastAsia" w:ascii="宋体" w:hAnsi="宋体" w:eastAsia="宋体" w:cs="宋体"/>
          <w:kern w:val="0"/>
          <w:sz w:val="21"/>
          <w:szCs w:val="21"/>
          <w:lang w:val="en-US" w:eastAsia="zh-CN" w:bidi="ar"/>
        </w:rPr>
      </w:pPr>
    </w:p>
    <w:p w14:paraId="7C5BA61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210" w:firstLineChars="100"/>
        <w:jc w:val="left"/>
        <w:textAlignment w:val="auto"/>
        <w:rPr>
          <w:rFonts w:hint="eastAsia" w:ascii="宋体" w:hAnsi="宋体" w:eastAsia="宋体" w:cs="宋体"/>
          <w:kern w:val="0"/>
          <w:sz w:val="21"/>
          <w:szCs w:val="21"/>
          <w:lang w:val="en-US" w:eastAsia="zh-CN" w:bidi="ar"/>
        </w:rPr>
      </w:pPr>
    </w:p>
    <w:p w14:paraId="0D776F5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注：</w:t>
      </w:r>
    </w:p>
    <w:p w14:paraId="2370360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720" w:firstLineChars="3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1、供应商须在响应文件中按此模板提供承诺函，未提供视为未实质性响应招标文件要求，按无效投标处理。</w:t>
      </w:r>
    </w:p>
    <w:p w14:paraId="2255CC1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2、供应商的法定代表人或者授权代表的签字或盖章应真实、有效，如由授权代表签字或盖章的，应提供“法定代表人授权书”。</w:t>
      </w:r>
    </w:p>
    <w:p w14:paraId="3B2B1AA3">
      <w:pPr>
        <w:spacing w:before="312" w:beforeLines="100" w:after="156" w:afterLines="50"/>
        <w:rPr>
          <w:rFonts w:hint="eastAsia" w:ascii="宋体" w:hAnsi="宋体"/>
          <w:b/>
          <w:color w:val="auto"/>
          <w:szCs w:val="21"/>
        </w:rPr>
      </w:pPr>
    </w:p>
    <w:bookmarkEnd w:id="1450"/>
    <w:p w14:paraId="347A9745">
      <w:pPr>
        <w:bidi w:val="0"/>
        <w:spacing w:line="360" w:lineRule="auto"/>
        <w:jc w:val="center"/>
        <w:rPr>
          <w:rFonts w:hint="eastAsia" w:ascii="宋体" w:hAnsi="宋体" w:eastAsia="宋体" w:cs="宋体"/>
          <w:b/>
          <w:bCs/>
          <w:color w:val="000000"/>
          <w:sz w:val="28"/>
          <w:szCs w:val="28"/>
          <w:lang w:eastAsia="zh-CN"/>
        </w:rPr>
      </w:pPr>
    </w:p>
    <w:p w14:paraId="364D2BEF">
      <w:pPr>
        <w:bidi w:val="0"/>
        <w:spacing w:line="360" w:lineRule="auto"/>
        <w:jc w:val="center"/>
        <w:rPr>
          <w:rFonts w:hint="eastAsia" w:ascii="宋体" w:hAnsi="宋体" w:eastAsia="宋体" w:cs="宋体"/>
          <w:b/>
          <w:bCs/>
          <w:color w:val="000000"/>
          <w:sz w:val="28"/>
          <w:szCs w:val="28"/>
          <w:lang w:eastAsia="zh-CN"/>
        </w:rPr>
      </w:pPr>
    </w:p>
    <w:p w14:paraId="37909BE3">
      <w:pPr>
        <w:bidi w:val="0"/>
        <w:spacing w:line="360" w:lineRule="auto"/>
        <w:jc w:val="center"/>
        <w:rPr>
          <w:rFonts w:hint="eastAsia" w:ascii="宋体" w:hAnsi="宋体" w:eastAsia="宋体" w:cs="宋体"/>
          <w:b/>
          <w:bCs/>
          <w:color w:val="000000"/>
          <w:sz w:val="28"/>
          <w:szCs w:val="28"/>
          <w:lang w:eastAsia="zh-CN"/>
        </w:rPr>
      </w:pPr>
    </w:p>
    <w:p w14:paraId="5EFE7348">
      <w:pPr>
        <w:bidi w:val="0"/>
        <w:spacing w:line="360" w:lineRule="auto"/>
        <w:jc w:val="center"/>
        <w:rPr>
          <w:rFonts w:hint="eastAsia" w:ascii="宋体" w:hAnsi="宋体" w:eastAsia="宋体" w:cs="宋体"/>
          <w:b/>
          <w:bCs/>
          <w:color w:val="000000"/>
          <w:sz w:val="28"/>
          <w:szCs w:val="28"/>
          <w:lang w:eastAsia="zh-CN"/>
        </w:rPr>
      </w:pPr>
    </w:p>
    <w:p w14:paraId="38445F3B">
      <w:pPr>
        <w:bidi w:val="0"/>
        <w:spacing w:line="360" w:lineRule="auto"/>
        <w:jc w:val="center"/>
        <w:rPr>
          <w:rFonts w:hint="eastAsia" w:ascii="宋体" w:hAnsi="宋体" w:eastAsia="宋体" w:cs="宋体"/>
          <w:b/>
          <w:bCs/>
          <w:color w:val="000000"/>
          <w:sz w:val="28"/>
          <w:szCs w:val="28"/>
          <w:lang w:eastAsia="zh-CN"/>
        </w:rPr>
      </w:pPr>
    </w:p>
    <w:p w14:paraId="60E61B9D">
      <w:pPr>
        <w:bidi w:val="0"/>
        <w:spacing w:line="360" w:lineRule="auto"/>
        <w:jc w:val="center"/>
        <w:rPr>
          <w:rFonts w:hint="eastAsia" w:ascii="宋体" w:hAnsi="宋体" w:eastAsia="宋体" w:cs="宋体"/>
          <w:b/>
          <w:bCs/>
          <w:color w:val="000000"/>
          <w:sz w:val="28"/>
          <w:szCs w:val="28"/>
          <w:lang w:eastAsia="zh-CN"/>
        </w:rPr>
      </w:pPr>
    </w:p>
    <w:p w14:paraId="026742EF">
      <w:pPr>
        <w:bidi w:val="0"/>
        <w:spacing w:line="360" w:lineRule="auto"/>
        <w:jc w:val="center"/>
        <w:rPr>
          <w:rFonts w:hint="eastAsia" w:ascii="宋体" w:hAnsi="宋体" w:eastAsia="宋体" w:cs="宋体"/>
          <w:b/>
          <w:bCs/>
          <w:color w:val="000000"/>
          <w:sz w:val="28"/>
          <w:szCs w:val="28"/>
          <w:lang w:eastAsia="zh-CN"/>
        </w:rPr>
      </w:pPr>
    </w:p>
    <w:p w14:paraId="669DE0A8">
      <w:pPr>
        <w:bidi w:val="0"/>
        <w:spacing w:line="360" w:lineRule="auto"/>
        <w:jc w:val="center"/>
        <w:rPr>
          <w:rFonts w:hint="eastAsia" w:ascii="宋体" w:hAnsi="宋体" w:eastAsia="宋体" w:cs="宋体"/>
          <w:b/>
          <w:bCs/>
          <w:color w:val="000000"/>
          <w:sz w:val="28"/>
          <w:szCs w:val="28"/>
          <w:lang w:eastAsia="zh-CN"/>
        </w:rPr>
      </w:pPr>
    </w:p>
    <w:p w14:paraId="5FEC5598">
      <w:pPr>
        <w:bidi w:val="0"/>
        <w:spacing w:line="360" w:lineRule="auto"/>
        <w:jc w:val="center"/>
        <w:rPr>
          <w:rFonts w:hint="eastAsia" w:ascii="宋体" w:hAnsi="宋体" w:eastAsia="宋体" w:cs="宋体"/>
          <w:b/>
          <w:bCs/>
          <w:color w:val="000000"/>
          <w:sz w:val="28"/>
          <w:szCs w:val="28"/>
          <w:lang w:eastAsia="zh-CN"/>
        </w:rPr>
      </w:pPr>
    </w:p>
    <w:p w14:paraId="35581314">
      <w:pPr>
        <w:bidi w:val="0"/>
        <w:spacing w:line="360" w:lineRule="auto"/>
        <w:jc w:val="center"/>
        <w:rPr>
          <w:rFonts w:hint="eastAsia" w:ascii="宋体" w:hAnsi="宋体" w:eastAsia="宋体" w:cs="宋体"/>
          <w:b/>
          <w:bCs/>
          <w:color w:val="000000"/>
          <w:sz w:val="28"/>
          <w:szCs w:val="28"/>
          <w:lang w:eastAsia="zh-CN"/>
        </w:rPr>
      </w:pPr>
    </w:p>
    <w:p w14:paraId="38344041">
      <w:pPr>
        <w:bidi w:val="0"/>
        <w:spacing w:line="360" w:lineRule="auto"/>
        <w:jc w:val="center"/>
        <w:outlineLvl w:val="1"/>
        <w:rPr>
          <w:rFonts w:hint="eastAsia" w:ascii="宋体" w:hAnsi="宋体" w:eastAsia="宋体" w:cs="宋体"/>
          <w:color w:val="000000"/>
          <w:sz w:val="21"/>
          <w:szCs w:val="21"/>
          <w:lang w:eastAsia="zh-CN"/>
        </w:rPr>
      </w:pPr>
      <w:bookmarkStart w:id="1451" w:name="_Toc10361"/>
      <w:bookmarkStart w:id="1452" w:name="_Toc29899"/>
      <w:bookmarkStart w:id="1453" w:name="_Toc16337"/>
      <w:bookmarkStart w:id="1454" w:name="_Toc525210052"/>
      <w:r>
        <w:rPr>
          <w:rFonts w:hint="eastAsia" w:ascii="宋体" w:hAnsi="宋体" w:eastAsia="宋体" w:cs="宋体"/>
          <w:b/>
          <w:bCs/>
          <w:color w:val="000000"/>
          <w:sz w:val="28"/>
          <w:szCs w:val="28"/>
          <w:lang w:eastAsia="zh-CN"/>
        </w:rPr>
        <w:t>六、中小企业声明函（服务类）</w:t>
      </w:r>
      <w:bookmarkEnd w:id="1451"/>
      <w:bookmarkEnd w:id="1452"/>
      <w:bookmarkEnd w:id="1453"/>
    </w:p>
    <w:p w14:paraId="224DB349">
      <w:pPr>
        <w:pStyle w:val="2"/>
        <w:bidi w:val="0"/>
        <w:ind w:left="0" w:leftChars="0" w:firstLine="0" w:firstLineChars="0"/>
        <w:rPr>
          <w:rFonts w:hint="eastAsia" w:ascii="宋体" w:hAnsi="宋体" w:eastAsia="宋体" w:cs="宋体"/>
          <w:color w:val="000000"/>
          <w:sz w:val="21"/>
          <w:szCs w:val="21"/>
          <w:lang w:val="en-US" w:eastAsia="zh-CN"/>
        </w:rPr>
      </w:pPr>
    </w:p>
    <w:p w14:paraId="085266CD">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65988162">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5E6C7CD7">
      <w:pPr>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302F93F9">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40862A6E">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1A2DB611">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4EF4D3A8">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2980EAA">
      <w:pPr>
        <w:pStyle w:val="20"/>
        <w:rPr>
          <w:rFonts w:hint="eastAsia" w:ascii="宋体" w:hAnsi="宋体" w:eastAsia="宋体" w:cs="宋体"/>
          <w:sz w:val="24"/>
          <w:szCs w:val="24"/>
        </w:rPr>
      </w:pPr>
    </w:p>
    <w:p w14:paraId="3407D131">
      <w:pPr>
        <w:pStyle w:val="3"/>
        <w:rPr>
          <w:rFonts w:hint="eastAsia"/>
        </w:rPr>
      </w:pPr>
    </w:p>
    <w:p w14:paraId="0FF56BA2">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69600E68">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6D544BFC">
      <w:pPr>
        <w:pStyle w:val="38"/>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7BFE0A29">
      <w:pPr>
        <w:pStyle w:val="38"/>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4BB9E923">
      <w:pPr>
        <w:pStyle w:val="38"/>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761CB151">
      <w:pPr>
        <w:pStyle w:val="38"/>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0A58544">
      <w:pPr>
        <w:pStyle w:val="38"/>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3FE3A038">
      <w:pPr>
        <w:pStyle w:val="38"/>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1E297FAE">
      <w:pPr>
        <w:pStyle w:val="38"/>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346D105D">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754FF00B">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4BED081F">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0D759A4C">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50B770FD">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1AB9802D">
      <w:pPr>
        <w:pStyle w:val="9"/>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0E54E829">
      <w:pPr>
        <w:pStyle w:val="9"/>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sectPr>
          <w:pgSz w:w="11906" w:h="16838"/>
          <w:pgMar w:top="1440" w:right="1800" w:bottom="1440" w:left="1800" w:header="851" w:footer="992" w:gutter="0"/>
          <w:pgNumType w:fmt="decimal"/>
          <w:cols w:space="425" w:num="1"/>
          <w:docGrid w:type="lines" w:linePitch="312" w:charSpace="0"/>
        </w:sectPr>
      </w:pPr>
      <w:bookmarkStart w:id="1455" w:name="_Toc1903"/>
      <w:bookmarkStart w:id="1456" w:name="_Toc13396"/>
      <w:bookmarkStart w:id="1457" w:name="_Toc13297"/>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1455"/>
      <w:bookmarkEnd w:id="1456"/>
      <w:bookmarkEnd w:id="1457"/>
    </w:p>
    <w:p w14:paraId="75661FFF">
      <w:pPr>
        <w:pStyle w:val="18"/>
        <w:ind w:firstLine="0" w:firstLineChars="0"/>
        <w:rPr>
          <w:rFonts w:ascii="宋体" w:hAnsi="宋体" w:eastAsia="宋体" w:cs="宋体"/>
          <w:b/>
          <w:bCs/>
          <w:color w:val="000000"/>
          <w:sz w:val="24"/>
          <w:szCs w:val="24"/>
        </w:rPr>
      </w:pPr>
      <w:bookmarkStart w:id="1458" w:name="_Toc26041"/>
      <w:r>
        <w:rPr>
          <w:rFonts w:hint="eastAsia" w:ascii="宋体" w:hAnsi="宋体" w:eastAsia="宋体" w:cs="宋体"/>
          <w:b/>
          <w:bCs/>
          <w:color w:val="000000"/>
          <w:sz w:val="24"/>
          <w:szCs w:val="24"/>
        </w:rPr>
        <w:t>附表：</w:t>
      </w:r>
    </w:p>
    <w:p w14:paraId="5DF71229">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3"/>
        <w:tblW w:w="10496" w:type="dxa"/>
        <w:jc w:val="center"/>
        <w:tblLayout w:type="fixed"/>
        <w:tblCellMar>
          <w:top w:w="0" w:type="dxa"/>
          <w:left w:w="108" w:type="dxa"/>
          <w:bottom w:w="0" w:type="dxa"/>
          <w:right w:w="108" w:type="dxa"/>
        </w:tblCellMar>
      </w:tblPr>
      <w:tblGrid>
        <w:gridCol w:w="2088"/>
        <w:gridCol w:w="1515"/>
        <w:gridCol w:w="717"/>
        <w:gridCol w:w="1320"/>
        <w:gridCol w:w="1950"/>
        <w:gridCol w:w="1650"/>
        <w:gridCol w:w="1256"/>
      </w:tblGrid>
      <w:tr w14:paraId="5DC2025A">
        <w:tblPrEx>
          <w:tblCellMar>
            <w:top w:w="0" w:type="dxa"/>
            <w:left w:w="108" w:type="dxa"/>
            <w:bottom w:w="0" w:type="dxa"/>
            <w:right w:w="108" w:type="dxa"/>
          </w:tblCellMar>
        </w:tblPrEx>
        <w:trPr>
          <w:trHeight w:val="63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008416D">
            <w:pPr>
              <w:widowControl/>
              <w:spacing w:line="240" w:lineRule="exact"/>
              <w:ind w:firstLine="0" w:firstLineChars="0"/>
              <w:jc w:val="center"/>
              <w:rPr>
                <w:rFonts w:ascii="宋体" w:hAnsi="宋体" w:eastAsia="宋体" w:cs="宋体"/>
                <w:b/>
                <w:bCs/>
                <w:color w:val="000000"/>
                <w:kern w:val="0"/>
                <w:sz w:val="24"/>
                <w:szCs w:val="32"/>
              </w:rPr>
            </w:pPr>
            <w:r>
              <w:rPr>
                <w:rFonts w:hint="eastAsia" w:ascii="宋体" w:hAnsi="宋体" w:eastAsia="宋体" w:cs="宋体"/>
                <w:b/>
                <w:bCs/>
                <w:color w:val="000000"/>
                <w:kern w:val="0"/>
                <w:sz w:val="24"/>
                <w:szCs w:val="32"/>
              </w:rPr>
              <w:t>行业名称</w:t>
            </w:r>
          </w:p>
        </w:tc>
        <w:tc>
          <w:tcPr>
            <w:tcW w:w="1515" w:type="dxa"/>
            <w:tcBorders>
              <w:top w:val="single" w:color="auto" w:sz="4" w:space="0"/>
              <w:left w:val="nil"/>
              <w:bottom w:val="single" w:color="auto" w:sz="4" w:space="0"/>
              <w:right w:val="single" w:color="auto" w:sz="4" w:space="0"/>
            </w:tcBorders>
            <w:vAlign w:val="center"/>
          </w:tcPr>
          <w:p w14:paraId="5DDE125A">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指标名称</w:t>
            </w:r>
          </w:p>
        </w:tc>
        <w:tc>
          <w:tcPr>
            <w:tcW w:w="717" w:type="dxa"/>
            <w:tcBorders>
              <w:top w:val="single" w:color="auto" w:sz="4" w:space="0"/>
              <w:left w:val="nil"/>
              <w:bottom w:val="single" w:color="auto" w:sz="4" w:space="0"/>
              <w:right w:val="single" w:color="auto" w:sz="4" w:space="0"/>
            </w:tcBorders>
            <w:vAlign w:val="center"/>
          </w:tcPr>
          <w:p w14:paraId="3271E6CD">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计量</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单位</w:t>
            </w:r>
          </w:p>
        </w:tc>
        <w:tc>
          <w:tcPr>
            <w:tcW w:w="1320" w:type="dxa"/>
            <w:tcBorders>
              <w:top w:val="single" w:color="auto" w:sz="4" w:space="0"/>
              <w:left w:val="nil"/>
              <w:bottom w:val="single" w:color="auto" w:sz="4" w:space="0"/>
              <w:right w:val="single" w:color="auto" w:sz="4" w:space="0"/>
            </w:tcBorders>
            <w:vAlign w:val="center"/>
          </w:tcPr>
          <w:p w14:paraId="4DD2BDFF">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大型</w:t>
            </w:r>
          </w:p>
        </w:tc>
        <w:tc>
          <w:tcPr>
            <w:tcW w:w="1950" w:type="dxa"/>
            <w:tcBorders>
              <w:top w:val="single" w:color="auto" w:sz="4" w:space="0"/>
              <w:left w:val="nil"/>
              <w:bottom w:val="single" w:color="auto" w:sz="4" w:space="0"/>
              <w:right w:val="single" w:color="auto" w:sz="4" w:space="0"/>
            </w:tcBorders>
            <w:vAlign w:val="center"/>
          </w:tcPr>
          <w:p w14:paraId="370A449A">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中型</w:t>
            </w:r>
          </w:p>
        </w:tc>
        <w:tc>
          <w:tcPr>
            <w:tcW w:w="1650" w:type="dxa"/>
            <w:tcBorders>
              <w:top w:val="single" w:color="auto" w:sz="4" w:space="0"/>
              <w:left w:val="nil"/>
              <w:bottom w:val="single" w:color="auto" w:sz="4" w:space="0"/>
              <w:right w:val="single" w:color="auto" w:sz="4" w:space="0"/>
            </w:tcBorders>
            <w:vAlign w:val="center"/>
          </w:tcPr>
          <w:p w14:paraId="01C44506">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小型</w:t>
            </w:r>
          </w:p>
        </w:tc>
        <w:tc>
          <w:tcPr>
            <w:tcW w:w="1256" w:type="dxa"/>
            <w:tcBorders>
              <w:top w:val="single" w:color="auto" w:sz="4" w:space="0"/>
              <w:left w:val="nil"/>
              <w:bottom w:val="single" w:color="auto" w:sz="4" w:space="0"/>
              <w:right w:val="single" w:color="auto" w:sz="4" w:space="0"/>
            </w:tcBorders>
            <w:vAlign w:val="center"/>
          </w:tcPr>
          <w:p w14:paraId="05BA6102">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微型</w:t>
            </w:r>
          </w:p>
        </w:tc>
      </w:tr>
      <w:tr w14:paraId="64E4E845">
        <w:tblPrEx>
          <w:tblCellMar>
            <w:top w:w="0" w:type="dxa"/>
            <w:left w:w="108" w:type="dxa"/>
            <w:bottom w:w="0" w:type="dxa"/>
            <w:right w:w="108" w:type="dxa"/>
          </w:tblCellMar>
        </w:tblPrEx>
        <w:trPr>
          <w:trHeight w:val="405" w:hRule="exact"/>
          <w:jc w:val="center"/>
        </w:trPr>
        <w:tc>
          <w:tcPr>
            <w:tcW w:w="2088" w:type="dxa"/>
            <w:tcBorders>
              <w:top w:val="nil"/>
              <w:left w:val="single" w:color="auto" w:sz="4" w:space="0"/>
              <w:bottom w:val="single" w:color="auto" w:sz="4" w:space="0"/>
              <w:right w:val="single" w:color="auto" w:sz="4" w:space="0"/>
            </w:tcBorders>
            <w:vAlign w:val="center"/>
          </w:tcPr>
          <w:p w14:paraId="74C4A6B0">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农、林、牧、渔业</w:t>
            </w:r>
          </w:p>
        </w:tc>
        <w:tc>
          <w:tcPr>
            <w:tcW w:w="1515" w:type="dxa"/>
            <w:tcBorders>
              <w:top w:val="nil"/>
              <w:left w:val="nil"/>
              <w:bottom w:val="single" w:color="auto" w:sz="4" w:space="0"/>
              <w:right w:val="single" w:color="auto" w:sz="4" w:space="0"/>
            </w:tcBorders>
            <w:vAlign w:val="center"/>
          </w:tcPr>
          <w:p w14:paraId="65182CE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3234007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4705FA2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w:t>
            </w:r>
          </w:p>
        </w:tc>
        <w:tc>
          <w:tcPr>
            <w:tcW w:w="1950" w:type="dxa"/>
            <w:tcBorders>
              <w:top w:val="nil"/>
              <w:left w:val="nil"/>
              <w:bottom w:val="single" w:color="auto" w:sz="4" w:space="0"/>
              <w:right w:val="single" w:color="auto" w:sz="4" w:space="0"/>
            </w:tcBorders>
            <w:vAlign w:val="center"/>
          </w:tcPr>
          <w:p w14:paraId="75D62C4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500≤Y＜20000</w:t>
            </w:r>
          </w:p>
        </w:tc>
        <w:tc>
          <w:tcPr>
            <w:tcW w:w="1650" w:type="dxa"/>
            <w:tcBorders>
              <w:top w:val="nil"/>
              <w:left w:val="nil"/>
              <w:bottom w:val="single" w:color="auto" w:sz="4" w:space="0"/>
              <w:right w:val="single" w:color="auto" w:sz="4" w:space="0"/>
            </w:tcBorders>
            <w:vAlign w:val="center"/>
          </w:tcPr>
          <w:p w14:paraId="6AA6228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50≤Y＜500</w:t>
            </w:r>
          </w:p>
        </w:tc>
        <w:tc>
          <w:tcPr>
            <w:tcW w:w="1256" w:type="dxa"/>
            <w:tcBorders>
              <w:top w:val="nil"/>
              <w:left w:val="nil"/>
              <w:bottom w:val="single" w:color="auto" w:sz="4" w:space="0"/>
              <w:right w:val="single" w:color="auto" w:sz="4" w:space="0"/>
            </w:tcBorders>
            <w:vAlign w:val="center"/>
          </w:tcPr>
          <w:p w14:paraId="48D610B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w:t>
            </w:r>
          </w:p>
        </w:tc>
      </w:tr>
      <w:tr w14:paraId="6A7861F6">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5F119F8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工业 *</w:t>
            </w:r>
          </w:p>
        </w:tc>
        <w:tc>
          <w:tcPr>
            <w:tcW w:w="1515" w:type="dxa"/>
            <w:tcBorders>
              <w:top w:val="nil"/>
              <w:left w:val="nil"/>
              <w:bottom w:val="nil"/>
              <w:right w:val="single" w:color="auto" w:sz="4" w:space="0"/>
            </w:tcBorders>
            <w:vAlign w:val="center"/>
          </w:tcPr>
          <w:p w14:paraId="488A60A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584C946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72F769C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747F1EE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3D77842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14:paraId="341B40A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725F8591">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1A7E8BC0">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7C140429">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75A7AE7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0DAB6C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Y≥40000</w:t>
            </w:r>
          </w:p>
        </w:tc>
        <w:tc>
          <w:tcPr>
            <w:tcW w:w="1950" w:type="dxa"/>
            <w:tcBorders>
              <w:top w:val="nil"/>
              <w:left w:val="nil"/>
              <w:bottom w:val="single" w:color="auto" w:sz="4" w:space="0"/>
              <w:right w:val="single" w:color="auto" w:sz="4" w:space="0"/>
            </w:tcBorders>
            <w:vAlign w:val="center"/>
          </w:tcPr>
          <w:p w14:paraId="47278DF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2000≤Y＜40000</w:t>
            </w:r>
          </w:p>
        </w:tc>
        <w:tc>
          <w:tcPr>
            <w:tcW w:w="1650" w:type="dxa"/>
            <w:tcBorders>
              <w:top w:val="nil"/>
              <w:left w:val="nil"/>
              <w:bottom w:val="single" w:color="auto" w:sz="4" w:space="0"/>
              <w:right w:val="single" w:color="auto" w:sz="4" w:space="0"/>
            </w:tcBorders>
            <w:vAlign w:val="center"/>
          </w:tcPr>
          <w:p w14:paraId="2707A04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300≤Y＜2000</w:t>
            </w:r>
          </w:p>
        </w:tc>
        <w:tc>
          <w:tcPr>
            <w:tcW w:w="1256" w:type="dxa"/>
            <w:tcBorders>
              <w:top w:val="nil"/>
              <w:left w:val="nil"/>
              <w:bottom w:val="single" w:color="auto" w:sz="4" w:space="0"/>
              <w:right w:val="single" w:color="auto" w:sz="4" w:space="0"/>
            </w:tcBorders>
            <w:vAlign w:val="center"/>
          </w:tcPr>
          <w:p w14:paraId="29E3865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w:t>
            </w:r>
          </w:p>
        </w:tc>
      </w:tr>
      <w:tr w14:paraId="44101405">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1386B9DD">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建筑业</w:t>
            </w:r>
          </w:p>
        </w:tc>
        <w:tc>
          <w:tcPr>
            <w:tcW w:w="1515" w:type="dxa"/>
            <w:tcBorders>
              <w:top w:val="nil"/>
              <w:left w:val="nil"/>
              <w:bottom w:val="nil"/>
              <w:right w:val="single" w:color="auto" w:sz="4" w:space="0"/>
            </w:tcBorders>
            <w:vAlign w:val="center"/>
          </w:tcPr>
          <w:p w14:paraId="0FF6666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nil"/>
              <w:right w:val="single" w:color="auto" w:sz="4" w:space="0"/>
            </w:tcBorders>
            <w:vAlign w:val="center"/>
          </w:tcPr>
          <w:p w14:paraId="30D166C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nil"/>
              <w:right w:val="single" w:color="auto" w:sz="4" w:space="0"/>
            </w:tcBorders>
            <w:vAlign w:val="center"/>
          </w:tcPr>
          <w:p w14:paraId="0750FCA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Y≥80000</w:t>
            </w:r>
          </w:p>
        </w:tc>
        <w:tc>
          <w:tcPr>
            <w:tcW w:w="1950" w:type="dxa"/>
            <w:tcBorders>
              <w:top w:val="nil"/>
              <w:left w:val="nil"/>
              <w:bottom w:val="nil"/>
              <w:right w:val="single" w:color="auto" w:sz="4" w:space="0"/>
            </w:tcBorders>
            <w:vAlign w:val="center"/>
          </w:tcPr>
          <w:p w14:paraId="4D69103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6000≤Y＜80000</w:t>
            </w:r>
          </w:p>
        </w:tc>
        <w:tc>
          <w:tcPr>
            <w:tcW w:w="1650" w:type="dxa"/>
            <w:tcBorders>
              <w:top w:val="nil"/>
              <w:left w:val="nil"/>
              <w:bottom w:val="nil"/>
              <w:right w:val="single" w:color="auto" w:sz="4" w:space="0"/>
            </w:tcBorders>
            <w:vAlign w:val="center"/>
          </w:tcPr>
          <w:p w14:paraId="6BE22E7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300≤Y＜6000</w:t>
            </w:r>
          </w:p>
        </w:tc>
        <w:tc>
          <w:tcPr>
            <w:tcW w:w="1256" w:type="dxa"/>
            <w:tcBorders>
              <w:top w:val="nil"/>
              <w:left w:val="nil"/>
              <w:bottom w:val="nil"/>
              <w:right w:val="single" w:color="auto" w:sz="4" w:space="0"/>
            </w:tcBorders>
            <w:vAlign w:val="center"/>
          </w:tcPr>
          <w:p w14:paraId="439BD1D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w:t>
            </w:r>
          </w:p>
        </w:tc>
      </w:tr>
      <w:tr w14:paraId="48137A51">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79276940">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5B2B0B59">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14:paraId="6A0C507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2D46F32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Z≥80000</w:t>
            </w:r>
          </w:p>
        </w:tc>
        <w:tc>
          <w:tcPr>
            <w:tcW w:w="1950" w:type="dxa"/>
            <w:tcBorders>
              <w:top w:val="nil"/>
              <w:left w:val="nil"/>
              <w:bottom w:val="single" w:color="auto" w:sz="4" w:space="0"/>
              <w:right w:val="single" w:color="auto" w:sz="4" w:space="0"/>
            </w:tcBorders>
            <w:vAlign w:val="center"/>
          </w:tcPr>
          <w:p w14:paraId="79C1213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5000≤Z＜80000</w:t>
            </w:r>
          </w:p>
        </w:tc>
        <w:tc>
          <w:tcPr>
            <w:tcW w:w="1650" w:type="dxa"/>
            <w:tcBorders>
              <w:top w:val="nil"/>
              <w:left w:val="nil"/>
              <w:bottom w:val="single" w:color="auto" w:sz="4" w:space="0"/>
              <w:right w:val="single" w:color="auto" w:sz="4" w:space="0"/>
            </w:tcBorders>
            <w:vAlign w:val="center"/>
          </w:tcPr>
          <w:p w14:paraId="7FABD0C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300≤Z＜5000</w:t>
            </w:r>
          </w:p>
        </w:tc>
        <w:tc>
          <w:tcPr>
            <w:tcW w:w="1256" w:type="dxa"/>
            <w:tcBorders>
              <w:top w:val="nil"/>
              <w:left w:val="nil"/>
              <w:bottom w:val="single" w:color="auto" w:sz="4" w:space="0"/>
              <w:right w:val="single" w:color="auto" w:sz="4" w:space="0"/>
            </w:tcBorders>
            <w:vAlign w:val="center"/>
          </w:tcPr>
          <w:p w14:paraId="4BCCB32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Z＜300</w:t>
            </w:r>
          </w:p>
        </w:tc>
      </w:tr>
      <w:tr w14:paraId="63668038">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79836DC">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批发业</w:t>
            </w:r>
          </w:p>
        </w:tc>
        <w:tc>
          <w:tcPr>
            <w:tcW w:w="1515" w:type="dxa"/>
            <w:tcBorders>
              <w:top w:val="nil"/>
              <w:left w:val="nil"/>
              <w:bottom w:val="nil"/>
              <w:right w:val="single" w:color="auto" w:sz="4" w:space="0"/>
            </w:tcBorders>
            <w:vAlign w:val="center"/>
          </w:tcPr>
          <w:p w14:paraId="7A95DCE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24B2229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1866CFE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w:t>
            </w:r>
          </w:p>
        </w:tc>
        <w:tc>
          <w:tcPr>
            <w:tcW w:w="1950" w:type="dxa"/>
            <w:tcBorders>
              <w:top w:val="nil"/>
              <w:left w:val="nil"/>
              <w:bottom w:val="nil"/>
              <w:right w:val="single" w:color="auto" w:sz="4" w:space="0"/>
            </w:tcBorders>
            <w:vAlign w:val="center"/>
          </w:tcPr>
          <w:p w14:paraId="7D29550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20≤X＜200</w:t>
            </w:r>
          </w:p>
        </w:tc>
        <w:tc>
          <w:tcPr>
            <w:tcW w:w="1650" w:type="dxa"/>
            <w:tcBorders>
              <w:top w:val="nil"/>
              <w:left w:val="nil"/>
              <w:bottom w:val="nil"/>
              <w:right w:val="single" w:color="auto" w:sz="4" w:space="0"/>
            </w:tcBorders>
            <w:vAlign w:val="center"/>
          </w:tcPr>
          <w:p w14:paraId="36042EF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5≤X＜20</w:t>
            </w:r>
          </w:p>
        </w:tc>
        <w:tc>
          <w:tcPr>
            <w:tcW w:w="1256" w:type="dxa"/>
            <w:tcBorders>
              <w:top w:val="nil"/>
              <w:left w:val="nil"/>
              <w:bottom w:val="nil"/>
              <w:right w:val="single" w:color="auto" w:sz="4" w:space="0"/>
            </w:tcBorders>
            <w:vAlign w:val="center"/>
          </w:tcPr>
          <w:p w14:paraId="03819C5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X＜5</w:t>
            </w:r>
          </w:p>
        </w:tc>
      </w:tr>
      <w:tr w14:paraId="7C5F2430">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434F997D">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59A60704">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43F67BA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572937D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Y≥40000</w:t>
            </w:r>
          </w:p>
        </w:tc>
        <w:tc>
          <w:tcPr>
            <w:tcW w:w="1950" w:type="dxa"/>
            <w:tcBorders>
              <w:top w:val="nil"/>
              <w:left w:val="nil"/>
              <w:bottom w:val="single" w:color="auto" w:sz="4" w:space="0"/>
              <w:right w:val="single" w:color="auto" w:sz="4" w:space="0"/>
            </w:tcBorders>
            <w:vAlign w:val="center"/>
          </w:tcPr>
          <w:p w14:paraId="486F9F5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5000≤Y＜40000</w:t>
            </w:r>
          </w:p>
        </w:tc>
        <w:tc>
          <w:tcPr>
            <w:tcW w:w="1650" w:type="dxa"/>
            <w:tcBorders>
              <w:top w:val="nil"/>
              <w:left w:val="nil"/>
              <w:bottom w:val="single" w:color="auto" w:sz="4" w:space="0"/>
              <w:right w:val="single" w:color="auto" w:sz="4" w:space="0"/>
            </w:tcBorders>
            <w:vAlign w:val="center"/>
          </w:tcPr>
          <w:p w14:paraId="3CCB27B7">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1000≤Y＜5000</w:t>
            </w:r>
          </w:p>
        </w:tc>
        <w:tc>
          <w:tcPr>
            <w:tcW w:w="1256" w:type="dxa"/>
            <w:tcBorders>
              <w:top w:val="nil"/>
              <w:left w:val="nil"/>
              <w:bottom w:val="single" w:color="auto" w:sz="4" w:space="0"/>
              <w:right w:val="single" w:color="auto" w:sz="4" w:space="0"/>
            </w:tcBorders>
            <w:vAlign w:val="center"/>
          </w:tcPr>
          <w:p w14:paraId="45F0D76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w:t>
            </w:r>
          </w:p>
        </w:tc>
      </w:tr>
      <w:tr w14:paraId="075440C5">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1E63B272">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零售业</w:t>
            </w:r>
          </w:p>
        </w:tc>
        <w:tc>
          <w:tcPr>
            <w:tcW w:w="1515" w:type="dxa"/>
            <w:tcBorders>
              <w:top w:val="nil"/>
              <w:left w:val="nil"/>
              <w:bottom w:val="nil"/>
              <w:right w:val="single" w:color="auto" w:sz="4" w:space="0"/>
            </w:tcBorders>
            <w:vAlign w:val="center"/>
          </w:tcPr>
          <w:p w14:paraId="29FF759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D5C596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226C5BC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679B2BE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50≤X＜300</w:t>
            </w:r>
          </w:p>
        </w:tc>
        <w:tc>
          <w:tcPr>
            <w:tcW w:w="1650" w:type="dxa"/>
            <w:tcBorders>
              <w:top w:val="nil"/>
              <w:left w:val="nil"/>
              <w:bottom w:val="nil"/>
              <w:right w:val="single" w:color="auto" w:sz="4" w:space="0"/>
            </w:tcBorders>
            <w:vAlign w:val="center"/>
          </w:tcPr>
          <w:p w14:paraId="13F91B4C">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10≤X＜50</w:t>
            </w:r>
          </w:p>
        </w:tc>
        <w:tc>
          <w:tcPr>
            <w:tcW w:w="1256" w:type="dxa"/>
            <w:tcBorders>
              <w:top w:val="nil"/>
              <w:left w:val="nil"/>
              <w:bottom w:val="nil"/>
              <w:right w:val="single" w:color="auto" w:sz="4" w:space="0"/>
            </w:tcBorders>
            <w:vAlign w:val="center"/>
          </w:tcPr>
          <w:p w14:paraId="265F9C5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3A11978A">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77AF9BD">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34E43C96">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5EFFD27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1885ABF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w:t>
            </w:r>
          </w:p>
        </w:tc>
        <w:tc>
          <w:tcPr>
            <w:tcW w:w="1950" w:type="dxa"/>
            <w:tcBorders>
              <w:top w:val="nil"/>
              <w:left w:val="nil"/>
              <w:bottom w:val="single" w:color="auto" w:sz="4" w:space="0"/>
              <w:right w:val="single" w:color="auto" w:sz="4" w:space="0"/>
            </w:tcBorders>
            <w:vAlign w:val="center"/>
          </w:tcPr>
          <w:p w14:paraId="62950C7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500≤Y＜20000</w:t>
            </w:r>
          </w:p>
        </w:tc>
        <w:tc>
          <w:tcPr>
            <w:tcW w:w="1650" w:type="dxa"/>
            <w:tcBorders>
              <w:top w:val="nil"/>
              <w:left w:val="nil"/>
              <w:bottom w:val="single" w:color="auto" w:sz="4" w:space="0"/>
              <w:right w:val="single" w:color="auto" w:sz="4" w:space="0"/>
            </w:tcBorders>
            <w:vAlign w:val="center"/>
          </w:tcPr>
          <w:p w14:paraId="240EFF54">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100≤Y＜500</w:t>
            </w:r>
          </w:p>
        </w:tc>
        <w:tc>
          <w:tcPr>
            <w:tcW w:w="1256" w:type="dxa"/>
            <w:tcBorders>
              <w:top w:val="nil"/>
              <w:left w:val="nil"/>
              <w:bottom w:val="single" w:color="auto" w:sz="4" w:space="0"/>
              <w:right w:val="single" w:color="auto" w:sz="4" w:space="0"/>
            </w:tcBorders>
            <w:vAlign w:val="center"/>
          </w:tcPr>
          <w:p w14:paraId="16598B7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7FB7EB1A">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526FAB3A">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交通运输业 *</w:t>
            </w:r>
          </w:p>
        </w:tc>
        <w:tc>
          <w:tcPr>
            <w:tcW w:w="1515" w:type="dxa"/>
            <w:tcBorders>
              <w:top w:val="nil"/>
              <w:left w:val="nil"/>
              <w:bottom w:val="nil"/>
              <w:right w:val="single" w:color="auto" w:sz="4" w:space="0"/>
            </w:tcBorders>
            <w:vAlign w:val="center"/>
          </w:tcPr>
          <w:p w14:paraId="11CBE7F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27D4D6D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6309E8E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21EF3FC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5925921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14:paraId="1B7BDBF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0050A929">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3C5DA60D">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4EAFF2CD">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53C425C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498CA8B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14:paraId="7E1C52E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3000≤Y＜30000</w:t>
            </w:r>
          </w:p>
        </w:tc>
        <w:tc>
          <w:tcPr>
            <w:tcW w:w="1650" w:type="dxa"/>
            <w:tcBorders>
              <w:top w:val="nil"/>
              <w:left w:val="nil"/>
              <w:bottom w:val="single" w:color="auto" w:sz="4" w:space="0"/>
              <w:right w:val="single" w:color="auto" w:sz="4" w:space="0"/>
            </w:tcBorders>
            <w:vAlign w:val="center"/>
          </w:tcPr>
          <w:p w14:paraId="1D6E3FD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200≤Y＜3000</w:t>
            </w:r>
          </w:p>
        </w:tc>
        <w:tc>
          <w:tcPr>
            <w:tcW w:w="1256" w:type="dxa"/>
            <w:tcBorders>
              <w:top w:val="nil"/>
              <w:left w:val="nil"/>
              <w:bottom w:val="single" w:color="auto" w:sz="4" w:space="0"/>
              <w:right w:val="single" w:color="auto" w:sz="4" w:space="0"/>
            </w:tcBorders>
            <w:vAlign w:val="center"/>
          </w:tcPr>
          <w:p w14:paraId="68426BA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w:t>
            </w:r>
          </w:p>
        </w:tc>
      </w:tr>
      <w:tr w14:paraId="450D9C98">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22302B8D">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仓储业*</w:t>
            </w:r>
          </w:p>
        </w:tc>
        <w:tc>
          <w:tcPr>
            <w:tcW w:w="1515" w:type="dxa"/>
            <w:tcBorders>
              <w:top w:val="nil"/>
              <w:left w:val="nil"/>
              <w:bottom w:val="nil"/>
              <w:right w:val="single" w:color="auto" w:sz="4" w:space="0"/>
            </w:tcBorders>
            <w:vAlign w:val="center"/>
          </w:tcPr>
          <w:p w14:paraId="2EC24E4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6593F44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4DA95D2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w:t>
            </w:r>
          </w:p>
        </w:tc>
        <w:tc>
          <w:tcPr>
            <w:tcW w:w="1950" w:type="dxa"/>
            <w:tcBorders>
              <w:top w:val="nil"/>
              <w:left w:val="nil"/>
              <w:bottom w:val="nil"/>
              <w:right w:val="single" w:color="auto" w:sz="4" w:space="0"/>
            </w:tcBorders>
            <w:vAlign w:val="center"/>
          </w:tcPr>
          <w:p w14:paraId="48B0BDC0">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100≤X＜200</w:t>
            </w:r>
          </w:p>
        </w:tc>
        <w:tc>
          <w:tcPr>
            <w:tcW w:w="1650" w:type="dxa"/>
            <w:tcBorders>
              <w:top w:val="nil"/>
              <w:left w:val="nil"/>
              <w:bottom w:val="nil"/>
              <w:right w:val="single" w:color="auto" w:sz="4" w:space="0"/>
            </w:tcBorders>
            <w:vAlign w:val="center"/>
          </w:tcPr>
          <w:p w14:paraId="75DE987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20≤X＜100</w:t>
            </w:r>
          </w:p>
        </w:tc>
        <w:tc>
          <w:tcPr>
            <w:tcW w:w="1256" w:type="dxa"/>
            <w:tcBorders>
              <w:top w:val="nil"/>
              <w:left w:val="nil"/>
              <w:bottom w:val="nil"/>
              <w:right w:val="single" w:color="auto" w:sz="4" w:space="0"/>
            </w:tcBorders>
            <w:vAlign w:val="center"/>
          </w:tcPr>
          <w:p w14:paraId="5DD87F8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41B4892E">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6D9804FA">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5679DAC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7185383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548804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14:paraId="7619FEF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1000≤Y＜30000</w:t>
            </w:r>
          </w:p>
        </w:tc>
        <w:tc>
          <w:tcPr>
            <w:tcW w:w="1650" w:type="dxa"/>
            <w:tcBorders>
              <w:top w:val="nil"/>
              <w:left w:val="nil"/>
              <w:bottom w:val="single" w:color="auto" w:sz="4" w:space="0"/>
              <w:right w:val="single" w:color="auto" w:sz="4" w:space="0"/>
            </w:tcBorders>
            <w:vAlign w:val="center"/>
          </w:tcPr>
          <w:p w14:paraId="36FAC45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single" w:color="auto" w:sz="4" w:space="0"/>
              <w:right w:val="single" w:color="auto" w:sz="4" w:space="0"/>
            </w:tcBorders>
            <w:vAlign w:val="center"/>
          </w:tcPr>
          <w:p w14:paraId="3AF27C7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0EF8001B">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7DE835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邮政业</w:t>
            </w:r>
          </w:p>
        </w:tc>
        <w:tc>
          <w:tcPr>
            <w:tcW w:w="1515" w:type="dxa"/>
            <w:tcBorders>
              <w:top w:val="nil"/>
              <w:left w:val="nil"/>
              <w:bottom w:val="nil"/>
              <w:right w:val="single" w:color="auto" w:sz="4" w:space="0"/>
            </w:tcBorders>
            <w:vAlign w:val="center"/>
          </w:tcPr>
          <w:p w14:paraId="65B3705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46CCE76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72D6616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2FABE8D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1ADF9DE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14:paraId="3FBE0B6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14:paraId="62819A3A">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6044F71">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1A082C19">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6C7C18D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26142A2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14:paraId="0EDE1F8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2000≤Y＜30000</w:t>
            </w:r>
          </w:p>
        </w:tc>
        <w:tc>
          <w:tcPr>
            <w:tcW w:w="1650" w:type="dxa"/>
            <w:tcBorders>
              <w:top w:val="nil"/>
              <w:left w:val="nil"/>
              <w:bottom w:val="single" w:color="auto" w:sz="4" w:space="0"/>
              <w:right w:val="single" w:color="auto" w:sz="4" w:space="0"/>
            </w:tcBorders>
            <w:vAlign w:val="center"/>
          </w:tcPr>
          <w:p w14:paraId="57F5944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14:paraId="7F84D49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6AEAC31C">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62F87A8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住宿业</w:t>
            </w:r>
          </w:p>
        </w:tc>
        <w:tc>
          <w:tcPr>
            <w:tcW w:w="1515" w:type="dxa"/>
            <w:tcBorders>
              <w:top w:val="nil"/>
              <w:left w:val="nil"/>
              <w:bottom w:val="nil"/>
              <w:right w:val="single" w:color="auto" w:sz="4" w:space="0"/>
            </w:tcBorders>
            <w:vAlign w:val="center"/>
          </w:tcPr>
          <w:p w14:paraId="5157B3A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5F848A0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219BB39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1F6B2416">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687EEFA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6F4B687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5B6DC82D">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47D11B40">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1611A2B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0E5A4E4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41EA4F8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14:paraId="377417A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2000≤Y＜10000</w:t>
            </w:r>
          </w:p>
        </w:tc>
        <w:tc>
          <w:tcPr>
            <w:tcW w:w="1650" w:type="dxa"/>
            <w:tcBorders>
              <w:top w:val="nil"/>
              <w:left w:val="nil"/>
              <w:bottom w:val="single" w:color="auto" w:sz="4" w:space="0"/>
              <w:right w:val="single" w:color="auto" w:sz="4" w:space="0"/>
            </w:tcBorders>
            <w:vAlign w:val="center"/>
          </w:tcPr>
          <w:p w14:paraId="3EE7139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14:paraId="034A022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4DD145F4">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C1C820B">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餐饮业</w:t>
            </w:r>
          </w:p>
        </w:tc>
        <w:tc>
          <w:tcPr>
            <w:tcW w:w="1515" w:type="dxa"/>
            <w:tcBorders>
              <w:top w:val="nil"/>
              <w:left w:val="nil"/>
              <w:bottom w:val="nil"/>
              <w:right w:val="single" w:color="auto" w:sz="4" w:space="0"/>
            </w:tcBorders>
            <w:vAlign w:val="center"/>
          </w:tcPr>
          <w:p w14:paraId="0FF1804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6F00CB0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1DBDECD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57ADFC3F">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66A2FE3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66B37A7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5362FAB5">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154D2BC">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0789EF20">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515BB5A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0B873B6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14:paraId="1C50530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2000≤Y＜10000</w:t>
            </w:r>
          </w:p>
        </w:tc>
        <w:tc>
          <w:tcPr>
            <w:tcW w:w="1650" w:type="dxa"/>
            <w:tcBorders>
              <w:top w:val="nil"/>
              <w:left w:val="nil"/>
              <w:bottom w:val="single" w:color="auto" w:sz="4" w:space="0"/>
              <w:right w:val="single" w:color="auto" w:sz="4" w:space="0"/>
            </w:tcBorders>
            <w:vAlign w:val="center"/>
          </w:tcPr>
          <w:p w14:paraId="52BED67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14:paraId="654FE3E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2011373E">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6804DA72">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信息传输业 *</w:t>
            </w:r>
          </w:p>
        </w:tc>
        <w:tc>
          <w:tcPr>
            <w:tcW w:w="1515" w:type="dxa"/>
            <w:tcBorders>
              <w:top w:val="nil"/>
              <w:left w:val="nil"/>
              <w:bottom w:val="nil"/>
              <w:right w:val="single" w:color="auto" w:sz="4" w:space="0"/>
            </w:tcBorders>
            <w:vAlign w:val="center"/>
          </w:tcPr>
          <w:p w14:paraId="087F8EF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E77704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3FB7250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X≥2000</w:t>
            </w:r>
          </w:p>
        </w:tc>
        <w:tc>
          <w:tcPr>
            <w:tcW w:w="1950" w:type="dxa"/>
            <w:tcBorders>
              <w:top w:val="nil"/>
              <w:left w:val="nil"/>
              <w:bottom w:val="nil"/>
              <w:right w:val="single" w:color="auto" w:sz="4" w:space="0"/>
            </w:tcBorders>
            <w:vAlign w:val="center"/>
          </w:tcPr>
          <w:p w14:paraId="598412D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100≤X＜2000</w:t>
            </w:r>
          </w:p>
        </w:tc>
        <w:tc>
          <w:tcPr>
            <w:tcW w:w="1650" w:type="dxa"/>
            <w:tcBorders>
              <w:top w:val="nil"/>
              <w:left w:val="nil"/>
              <w:bottom w:val="nil"/>
              <w:right w:val="single" w:color="auto" w:sz="4" w:space="0"/>
            </w:tcBorders>
            <w:vAlign w:val="center"/>
          </w:tcPr>
          <w:p w14:paraId="14EA059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7FCFD48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404CC0EA">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10FC3F15">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3139399E">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336B516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23303E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Y≥100000</w:t>
            </w:r>
          </w:p>
        </w:tc>
        <w:tc>
          <w:tcPr>
            <w:tcW w:w="1950" w:type="dxa"/>
            <w:tcBorders>
              <w:top w:val="nil"/>
              <w:left w:val="nil"/>
              <w:bottom w:val="single" w:color="auto" w:sz="4" w:space="0"/>
              <w:right w:val="single" w:color="auto" w:sz="4" w:space="0"/>
            </w:tcBorders>
            <w:vAlign w:val="center"/>
          </w:tcPr>
          <w:p w14:paraId="167BBF0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1000≤Y＜100000</w:t>
            </w:r>
          </w:p>
        </w:tc>
        <w:tc>
          <w:tcPr>
            <w:tcW w:w="1650" w:type="dxa"/>
            <w:tcBorders>
              <w:top w:val="nil"/>
              <w:left w:val="nil"/>
              <w:bottom w:val="single" w:color="auto" w:sz="4" w:space="0"/>
              <w:right w:val="single" w:color="auto" w:sz="4" w:space="0"/>
            </w:tcBorders>
            <w:vAlign w:val="center"/>
          </w:tcPr>
          <w:p w14:paraId="106EB42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single" w:color="auto" w:sz="4" w:space="0"/>
              <w:right w:val="single" w:color="auto" w:sz="4" w:space="0"/>
            </w:tcBorders>
            <w:vAlign w:val="center"/>
          </w:tcPr>
          <w:p w14:paraId="2B56F59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464BE254">
        <w:tblPrEx>
          <w:tblCellMar>
            <w:top w:w="0" w:type="dxa"/>
            <w:left w:w="108" w:type="dxa"/>
            <w:bottom w:w="0" w:type="dxa"/>
            <w:right w:w="108" w:type="dxa"/>
          </w:tblCellMar>
        </w:tblPrEx>
        <w:trPr>
          <w:trHeight w:val="347"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14:paraId="6F281EA3">
            <w:pPr>
              <w:widowControl/>
              <w:spacing w:line="240" w:lineRule="exact"/>
              <w:ind w:firstLine="0" w:firstLineChars="0"/>
              <w:jc w:val="center"/>
              <w:rPr>
                <w:rFonts w:ascii="宋体" w:hAnsi="宋体" w:eastAsia="宋体" w:cs="宋体"/>
                <w:color w:val="000000"/>
                <w:spacing w:val="-12"/>
                <w:kern w:val="0"/>
                <w:sz w:val="22"/>
                <w:szCs w:val="22"/>
              </w:rPr>
            </w:pPr>
            <w:r>
              <w:rPr>
                <w:rFonts w:hint="eastAsia" w:ascii="宋体" w:hAnsi="宋体" w:eastAsia="宋体" w:cs="宋体"/>
                <w:color w:val="000000"/>
                <w:spacing w:val="-12"/>
                <w:kern w:val="0"/>
                <w:sz w:val="22"/>
                <w:szCs w:val="22"/>
              </w:rPr>
              <w:t>软件和信息技术服</w:t>
            </w:r>
            <w:r>
              <w:rPr>
                <w:rFonts w:hint="eastAsia" w:ascii="宋体" w:hAnsi="宋体" w:eastAsia="宋体" w:cs="宋体"/>
                <w:color w:val="000000"/>
                <w:kern w:val="0"/>
                <w:sz w:val="22"/>
                <w:szCs w:val="22"/>
              </w:rPr>
              <w:t>务业</w:t>
            </w:r>
          </w:p>
        </w:tc>
        <w:tc>
          <w:tcPr>
            <w:tcW w:w="1515" w:type="dxa"/>
            <w:tcBorders>
              <w:top w:val="nil"/>
              <w:left w:val="nil"/>
              <w:bottom w:val="nil"/>
              <w:right w:val="single" w:color="auto" w:sz="4" w:space="0"/>
            </w:tcBorders>
            <w:vAlign w:val="center"/>
          </w:tcPr>
          <w:p w14:paraId="2D010D7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2C3FB1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0EBAF66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0ED11044">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5C36874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4DB7FFD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043BF42F">
        <w:tblPrEx>
          <w:tblCellMar>
            <w:top w:w="0" w:type="dxa"/>
            <w:left w:w="108" w:type="dxa"/>
            <w:bottom w:w="0" w:type="dxa"/>
            <w:right w:w="108" w:type="dxa"/>
          </w:tblCellMar>
        </w:tblPrEx>
        <w:trPr>
          <w:trHeight w:val="347"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33AC3F3C">
            <w:pPr>
              <w:widowControl/>
              <w:spacing w:line="240" w:lineRule="auto"/>
              <w:ind w:firstLine="0" w:firstLineChars="0"/>
              <w:jc w:val="center"/>
              <w:rPr>
                <w:rFonts w:ascii="宋体" w:hAnsi="宋体" w:eastAsia="宋体" w:cs="宋体"/>
                <w:color w:val="000000"/>
                <w:spacing w:val="-12"/>
                <w:kern w:val="0"/>
                <w:sz w:val="22"/>
                <w:szCs w:val="22"/>
              </w:rPr>
            </w:pPr>
          </w:p>
        </w:tc>
        <w:tc>
          <w:tcPr>
            <w:tcW w:w="1515" w:type="dxa"/>
            <w:tcBorders>
              <w:top w:val="nil"/>
              <w:left w:val="nil"/>
              <w:bottom w:val="single" w:color="auto" w:sz="4" w:space="0"/>
              <w:right w:val="single" w:color="auto" w:sz="4" w:space="0"/>
            </w:tcBorders>
            <w:vAlign w:val="center"/>
          </w:tcPr>
          <w:p w14:paraId="568EFF1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4762636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5E596B9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14:paraId="5263F36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1000≤Y＜10000</w:t>
            </w:r>
          </w:p>
        </w:tc>
        <w:tc>
          <w:tcPr>
            <w:tcW w:w="1650" w:type="dxa"/>
            <w:tcBorders>
              <w:top w:val="nil"/>
              <w:left w:val="nil"/>
              <w:bottom w:val="single" w:color="auto" w:sz="4" w:space="0"/>
              <w:right w:val="single" w:color="auto" w:sz="4" w:space="0"/>
            </w:tcBorders>
            <w:vAlign w:val="center"/>
          </w:tcPr>
          <w:p w14:paraId="1ADC058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50≤Y＜1000</w:t>
            </w:r>
          </w:p>
        </w:tc>
        <w:tc>
          <w:tcPr>
            <w:tcW w:w="1256" w:type="dxa"/>
            <w:tcBorders>
              <w:top w:val="nil"/>
              <w:left w:val="nil"/>
              <w:bottom w:val="single" w:color="auto" w:sz="4" w:space="0"/>
              <w:right w:val="single" w:color="auto" w:sz="4" w:space="0"/>
            </w:tcBorders>
            <w:vAlign w:val="center"/>
          </w:tcPr>
          <w:p w14:paraId="752F42DF">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w:t>
            </w:r>
          </w:p>
        </w:tc>
      </w:tr>
      <w:tr w14:paraId="61A87295">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012F911C">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房地产开发经营</w:t>
            </w:r>
          </w:p>
        </w:tc>
        <w:tc>
          <w:tcPr>
            <w:tcW w:w="1515" w:type="dxa"/>
            <w:tcBorders>
              <w:top w:val="nil"/>
              <w:left w:val="nil"/>
              <w:bottom w:val="nil"/>
              <w:right w:val="single" w:color="auto" w:sz="4" w:space="0"/>
            </w:tcBorders>
            <w:vAlign w:val="center"/>
          </w:tcPr>
          <w:p w14:paraId="0A869EA4">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nil"/>
              <w:right w:val="single" w:color="auto" w:sz="4" w:space="0"/>
            </w:tcBorders>
            <w:vAlign w:val="center"/>
          </w:tcPr>
          <w:p w14:paraId="6FAF963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nil"/>
              <w:right w:val="single" w:color="auto" w:sz="4" w:space="0"/>
            </w:tcBorders>
            <w:vAlign w:val="center"/>
          </w:tcPr>
          <w:p w14:paraId="7734B79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Y≥200000</w:t>
            </w:r>
          </w:p>
        </w:tc>
        <w:tc>
          <w:tcPr>
            <w:tcW w:w="1950" w:type="dxa"/>
            <w:tcBorders>
              <w:top w:val="nil"/>
              <w:left w:val="nil"/>
              <w:bottom w:val="nil"/>
              <w:right w:val="single" w:color="auto" w:sz="4" w:space="0"/>
            </w:tcBorders>
            <w:vAlign w:val="center"/>
          </w:tcPr>
          <w:p w14:paraId="4F2971D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1000≤Y＜200000</w:t>
            </w:r>
          </w:p>
        </w:tc>
        <w:tc>
          <w:tcPr>
            <w:tcW w:w="1650" w:type="dxa"/>
            <w:tcBorders>
              <w:top w:val="nil"/>
              <w:left w:val="nil"/>
              <w:bottom w:val="nil"/>
              <w:right w:val="single" w:color="auto" w:sz="4" w:space="0"/>
            </w:tcBorders>
            <w:vAlign w:val="center"/>
          </w:tcPr>
          <w:p w14:paraId="0F32035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nil"/>
              <w:right w:val="single" w:color="auto" w:sz="4" w:space="0"/>
            </w:tcBorders>
            <w:vAlign w:val="center"/>
          </w:tcPr>
          <w:p w14:paraId="04B05A1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14:paraId="4946C0CE">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46239D59">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2C13C645">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14:paraId="550FF98D">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094A73C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Z≥10000</w:t>
            </w:r>
          </w:p>
        </w:tc>
        <w:tc>
          <w:tcPr>
            <w:tcW w:w="1950" w:type="dxa"/>
            <w:tcBorders>
              <w:top w:val="nil"/>
              <w:left w:val="nil"/>
              <w:bottom w:val="single" w:color="auto" w:sz="4" w:space="0"/>
              <w:right w:val="single" w:color="auto" w:sz="4" w:space="0"/>
            </w:tcBorders>
            <w:vAlign w:val="center"/>
          </w:tcPr>
          <w:p w14:paraId="3304408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5000≤Z＜10000</w:t>
            </w:r>
          </w:p>
        </w:tc>
        <w:tc>
          <w:tcPr>
            <w:tcW w:w="1650" w:type="dxa"/>
            <w:tcBorders>
              <w:top w:val="nil"/>
              <w:left w:val="nil"/>
              <w:bottom w:val="single" w:color="auto" w:sz="4" w:space="0"/>
              <w:right w:val="single" w:color="auto" w:sz="4" w:space="0"/>
            </w:tcBorders>
            <w:vAlign w:val="center"/>
          </w:tcPr>
          <w:p w14:paraId="60DB4C1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2000≤Z＜5000</w:t>
            </w:r>
          </w:p>
        </w:tc>
        <w:tc>
          <w:tcPr>
            <w:tcW w:w="1256" w:type="dxa"/>
            <w:tcBorders>
              <w:top w:val="nil"/>
              <w:left w:val="nil"/>
              <w:bottom w:val="single" w:color="auto" w:sz="4" w:space="0"/>
              <w:right w:val="single" w:color="auto" w:sz="4" w:space="0"/>
            </w:tcBorders>
            <w:vAlign w:val="center"/>
          </w:tcPr>
          <w:p w14:paraId="1F9120CA">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Z＜2000</w:t>
            </w:r>
          </w:p>
        </w:tc>
      </w:tr>
      <w:tr w14:paraId="4B5C9AB2">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4FE47077">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物业管理</w:t>
            </w:r>
          </w:p>
        </w:tc>
        <w:tc>
          <w:tcPr>
            <w:tcW w:w="1515" w:type="dxa"/>
            <w:tcBorders>
              <w:top w:val="nil"/>
              <w:left w:val="nil"/>
              <w:bottom w:val="nil"/>
              <w:right w:val="single" w:color="auto" w:sz="4" w:space="0"/>
            </w:tcBorders>
            <w:vAlign w:val="center"/>
          </w:tcPr>
          <w:p w14:paraId="0F69553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1DF040C1">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2142FEE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14:paraId="41F7387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14:paraId="2148D44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256" w:type="dxa"/>
            <w:tcBorders>
              <w:top w:val="nil"/>
              <w:left w:val="nil"/>
              <w:bottom w:val="nil"/>
              <w:right w:val="single" w:color="auto" w:sz="4" w:space="0"/>
            </w:tcBorders>
            <w:vAlign w:val="center"/>
          </w:tcPr>
          <w:p w14:paraId="1AFBAF20">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w:t>
            </w:r>
          </w:p>
        </w:tc>
      </w:tr>
      <w:tr w14:paraId="04328F00">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6804F372">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4D5707AF">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14:paraId="2E08827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059B31B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Y≥5000</w:t>
            </w:r>
          </w:p>
        </w:tc>
        <w:tc>
          <w:tcPr>
            <w:tcW w:w="1950" w:type="dxa"/>
            <w:tcBorders>
              <w:top w:val="nil"/>
              <w:left w:val="nil"/>
              <w:bottom w:val="single" w:color="auto" w:sz="4" w:space="0"/>
              <w:right w:val="single" w:color="auto" w:sz="4" w:space="0"/>
            </w:tcBorders>
            <w:vAlign w:val="center"/>
          </w:tcPr>
          <w:p w14:paraId="4382217E">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1000≤Y＜5000</w:t>
            </w:r>
          </w:p>
        </w:tc>
        <w:tc>
          <w:tcPr>
            <w:tcW w:w="1650" w:type="dxa"/>
            <w:tcBorders>
              <w:top w:val="nil"/>
              <w:left w:val="nil"/>
              <w:bottom w:val="single" w:color="auto" w:sz="4" w:space="0"/>
              <w:right w:val="single" w:color="auto" w:sz="4" w:space="0"/>
            </w:tcBorders>
            <w:vAlign w:val="center"/>
          </w:tcPr>
          <w:p w14:paraId="354D8257">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500≤Y＜1000</w:t>
            </w:r>
          </w:p>
        </w:tc>
        <w:tc>
          <w:tcPr>
            <w:tcW w:w="1256" w:type="dxa"/>
            <w:tcBorders>
              <w:top w:val="nil"/>
              <w:left w:val="nil"/>
              <w:bottom w:val="single" w:color="auto" w:sz="4" w:space="0"/>
              <w:right w:val="single" w:color="auto" w:sz="4" w:space="0"/>
            </w:tcBorders>
            <w:vAlign w:val="center"/>
          </w:tcPr>
          <w:p w14:paraId="70A6EFFB">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Y＜500</w:t>
            </w:r>
          </w:p>
        </w:tc>
      </w:tr>
      <w:tr w14:paraId="509EC476">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14:paraId="7F356F11">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租赁和商务服务业</w:t>
            </w:r>
          </w:p>
        </w:tc>
        <w:tc>
          <w:tcPr>
            <w:tcW w:w="1515" w:type="dxa"/>
            <w:tcBorders>
              <w:top w:val="nil"/>
              <w:left w:val="nil"/>
              <w:bottom w:val="nil"/>
              <w:right w:val="single" w:color="auto" w:sz="4" w:space="0"/>
            </w:tcBorders>
            <w:vAlign w:val="center"/>
          </w:tcPr>
          <w:p w14:paraId="724CC66E">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14:paraId="0BDCE59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14:paraId="69354F3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14:paraId="61ED000C">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14:paraId="794B07C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14:paraId="26A9FB5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14:paraId="42E71FBB">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14:paraId="20FF808E">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14:paraId="083647E6">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14:paraId="6D32FAA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14:paraId="6A1F685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Z≥120000</w:t>
            </w:r>
          </w:p>
        </w:tc>
        <w:tc>
          <w:tcPr>
            <w:tcW w:w="1950" w:type="dxa"/>
            <w:tcBorders>
              <w:top w:val="nil"/>
              <w:left w:val="nil"/>
              <w:bottom w:val="single" w:color="auto" w:sz="4" w:space="0"/>
              <w:right w:val="single" w:color="auto" w:sz="4" w:space="0"/>
            </w:tcBorders>
            <w:vAlign w:val="center"/>
          </w:tcPr>
          <w:p w14:paraId="61448F0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8000≤Z＜120000</w:t>
            </w:r>
          </w:p>
        </w:tc>
        <w:tc>
          <w:tcPr>
            <w:tcW w:w="1650" w:type="dxa"/>
            <w:tcBorders>
              <w:top w:val="nil"/>
              <w:left w:val="nil"/>
              <w:bottom w:val="single" w:color="auto" w:sz="4" w:space="0"/>
              <w:right w:val="single" w:color="auto" w:sz="4" w:space="0"/>
            </w:tcBorders>
            <w:vAlign w:val="center"/>
          </w:tcPr>
          <w:p w14:paraId="2DBC1723">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100≤Z＜8000</w:t>
            </w:r>
          </w:p>
        </w:tc>
        <w:tc>
          <w:tcPr>
            <w:tcW w:w="1256" w:type="dxa"/>
            <w:tcBorders>
              <w:top w:val="nil"/>
              <w:left w:val="nil"/>
              <w:bottom w:val="single" w:color="auto" w:sz="4" w:space="0"/>
              <w:right w:val="single" w:color="auto" w:sz="4" w:space="0"/>
            </w:tcBorders>
            <w:vAlign w:val="center"/>
          </w:tcPr>
          <w:p w14:paraId="5AB2E335">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Z＜100</w:t>
            </w:r>
          </w:p>
        </w:tc>
      </w:tr>
      <w:tr w14:paraId="51B10362">
        <w:tblPrEx>
          <w:tblCellMar>
            <w:top w:w="0" w:type="dxa"/>
            <w:left w:w="108" w:type="dxa"/>
            <w:bottom w:w="0" w:type="dxa"/>
            <w:right w:w="108" w:type="dxa"/>
          </w:tblCellMar>
        </w:tblPrEx>
        <w:trPr>
          <w:trHeight w:val="415" w:hRule="exact"/>
          <w:jc w:val="center"/>
        </w:trPr>
        <w:tc>
          <w:tcPr>
            <w:tcW w:w="2088" w:type="dxa"/>
            <w:tcBorders>
              <w:top w:val="nil"/>
              <w:left w:val="single" w:color="auto" w:sz="4" w:space="0"/>
              <w:bottom w:val="single" w:color="auto" w:sz="4" w:space="0"/>
              <w:right w:val="single" w:color="auto" w:sz="4" w:space="0"/>
            </w:tcBorders>
            <w:vAlign w:val="center"/>
          </w:tcPr>
          <w:p w14:paraId="564C1D05">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其他未列明行业 *</w:t>
            </w:r>
          </w:p>
        </w:tc>
        <w:tc>
          <w:tcPr>
            <w:tcW w:w="1515" w:type="dxa"/>
            <w:tcBorders>
              <w:top w:val="nil"/>
              <w:left w:val="nil"/>
              <w:bottom w:val="single" w:color="auto" w:sz="4" w:space="0"/>
              <w:right w:val="single" w:color="auto" w:sz="4" w:space="0"/>
            </w:tcBorders>
            <w:vAlign w:val="center"/>
          </w:tcPr>
          <w:p w14:paraId="6BD25D22">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single" w:color="auto" w:sz="4" w:space="0"/>
              <w:right w:val="single" w:color="auto" w:sz="4" w:space="0"/>
            </w:tcBorders>
            <w:vAlign w:val="center"/>
          </w:tcPr>
          <w:p w14:paraId="0A6F9EC9">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single" w:color="auto" w:sz="4" w:space="0"/>
              <w:right w:val="single" w:color="auto" w:sz="4" w:space="0"/>
            </w:tcBorders>
            <w:vAlign w:val="center"/>
          </w:tcPr>
          <w:p w14:paraId="758E38A6">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single" w:color="auto" w:sz="4" w:space="0"/>
              <w:right w:val="single" w:color="auto" w:sz="4" w:space="0"/>
            </w:tcBorders>
            <w:vAlign w:val="center"/>
          </w:tcPr>
          <w:p w14:paraId="7AB68EBB">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single" w:color="auto" w:sz="4" w:space="0"/>
              <w:right w:val="single" w:color="auto" w:sz="4" w:space="0"/>
            </w:tcBorders>
            <w:vAlign w:val="center"/>
          </w:tcPr>
          <w:p w14:paraId="6465565C">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single" w:color="auto" w:sz="4" w:space="0"/>
              <w:right w:val="single" w:color="auto" w:sz="4" w:space="0"/>
            </w:tcBorders>
            <w:vAlign w:val="center"/>
          </w:tcPr>
          <w:p w14:paraId="6F088638">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bl>
    <w:p w14:paraId="78279B14">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0ED4A25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12D64B8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1D60E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6A6F9F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7F4FE7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1E720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477898EB">
      <w:pPr>
        <w:spacing w:line="560" w:lineRule="exact"/>
        <w:ind w:firstLine="482"/>
        <w:outlineLvl w:val="1"/>
        <w:rPr>
          <w:rFonts w:ascii="宋体" w:hAnsi="宋体" w:cs="宋体"/>
          <w:b/>
          <w:sz w:val="24"/>
        </w:rPr>
      </w:pPr>
    </w:p>
    <w:p w14:paraId="37A52696">
      <w:pPr>
        <w:pStyle w:val="2"/>
      </w:pPr>
    </w:p>
    <w:p w14:paraId="13184DCA">
      <w:pPr>
        <w:pStyle w:val="30"/>
        <w:ind w:firstLine="482" w:firstLineChars="200"/>
        <w:rPr>
          <w:highlight w:val="none"/>
        </w:rPr>
        <w:sectPr>
          <w:footerReference r:id="rId13" w:type="default"/>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p w14:paraId="6B82BDED">
      <w:pPr>
        <w:spacing w:line="360" w:lineRule="auto"/>
        <w:ind w:firstLine="562"/>
        <w:jc w:val="center"/>
        <w:outlineLvl w:val="1"/>
        <w:rPr>
          <w:rFonts w:ascii="宋体" w:hAnsi="宋体" w:eastAsia="宋体" w:cs="宋体"/>
          <w:color w:val="000000"/>
          <w:kern w:val="0"/>
          <w:szCs w:val="21"/>
        </w:rPr>
      </w:pPr>
      <w:r>
        <w:rPr>
          <w:rFonts w:hint="eastAsia" w:ascii="宋体" w:hAnsi="宋体" w:eastAsia="宋体" w:cs="宋体"/>
          <w:b/>
          <w:bCs/>
          <w:color w:val="000000"/>
          <w:sz w:val="28"/>
          <w:szCs w:val="28"/>
          <w:lang w:eastAsia="zh-CN"/>
        </w:rPr>
        <w:t>七</w:t>
      </w:r>
      <w:r>
        <w:rPr>
          <w:rFonts w:hint="eastAsia" w:ascii="宋体" w:hAnsi="宋体" w:eastAsia="宋体" w:cs="宋体"/>
          <w:b/>
          <w:bCs/>
          <w:color w:val="000000"/>
          <w:sz w:val="28"/>
          <w:szCs w:val="28"/>
        </w:rPr>
        <w:t>、残疾人福利性单位声明函</w:t>
      </w:r>
      <w:bookmarkEnd w:id="1454"/>
      <w:bookmarkEnd w:id="1458"/>
    </w:p>
    <w:p w14:paraId="104B3A34">
      <w:pPr>
        <w:spacing w:line="360" w:lineRule="auto"/>
        <w:ind w:firstLine="480"/>
        <w:jc w:val="center"/>
        <w:rPr>
          <w:rFonts w:ascii="宋体" w:hAnsi="宋体" w:eastAsia="宋体" w:cs="宋体"/>
          <w:color w:val="000000"/>
          <w:sz w:val="24"/>
          <w:szCs w:val="24"/>
        </w:rPr>
      </w:pPr>
    </w:p>
    <w:p w14:paraId="4C0D19CF">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40AA0B74">
      <w:pPr>
        <w:pStyle w:val="33"/>
        <w:ind w:firstLine="480"/>
        <w:rPr>
          <w:rFonts w:ascii="宋体" w:hAnsi="宋体" w:eastAsia="宋体" w:cs="宋体"/>
          <w:color w:val="000000"/>
          <w:sz w:val="24"/>
          <w:szCs w:val="24"/>
        </w:rPr>
      </w:pPr>
    </w:p>
    <w:p w14:paraId="6E7F7959">
      <w:pPr>
        <w:spacing w:line="360" w:lineRule="auto"/>
        <w:ind w:firstLine="480"/>
        <w:rPr>
          <w:rFonts w:ascii="宋体" w:hAnsi="宋体" w:eastAsia="宋体" w:cs="宋体"/>
          <w:color w:val="000000"/>
          <w:sz w:val="24"/>
          <w:szCs w:val="24"/>
        </w:rPr>
      </w:pPr>
    </w:p>
    <w:p w14:paraId="25430F80">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14:paraId="1E3D471F">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14:paraId="0432E1B8">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14:paraId="31ACB7E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8A57E25">
      <w:pPr>
        <w:spacing w:line="360" w:lineRule="auto"/>
        <w:ind w:firstLine="480"/>
        <w:rPr>
          <w:rFonts w:ascii="宋体" w:hAnsi="宋体" w:eastAsia="宋体" w:cs="宋体"/>
          <w:color w:val="000000"/>
          <w:sz w:val="24"/>
          <w:szCs w:val="24"/>
        </w:rPr>
      </w:pPr>
    </w:p>
    <w:p w14:paraId="79C48364">
      <w:pPr>
        <w:spacing w:line="360" w:lineRule="auto"/>
        <w:ind w:firstLine="480"/>
        <w:rPr>
          <w:rFonts w:ascii="宋体" w:hAnsi="宋体" w:eastAsia="宋体" w:cs="宋体"/>
          <w:color w:val="000000"/>
          <w:sz w:val="24"/>
          <w:szCs w:val="24"/>
        </w:rPr>
      </w:pPr>
    </w:p>
    <w:p w14:paraId="4A8866C2">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单位盖章</w:t>
      </w:r>
      <w:r>
        <w:rPr>
          <w:rFonts w:hint="eastAsia" w:ascii="宋体" w:hAnsi="宋体" w:eastAsia="宋体" w:cs="宋体"/>
          <w:color w:val="000000"/>
          <w:sz w:val="24"/>
          <w:szCs w:val="24"/>
        </w:rPr>
        <w:t>）：</w:t>
      </w:r>
    </w:p>
    <w:p w14:paraId="3DCAB2F3">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702F831A">
      <w:pPr>
        <w:pStyle w:val="18"/>
        <w:ind w:firstLine="422"/>
        <w:rPr>
          <w:rFonts w:ascii="宋体" w:hAnsi="宋体" w:eastAsia="宋体" w:cs="宋体"/>
          <w:b/>
          <w:color w:val="000000"/>
          <w:sz w:val="21"/>
          <w:szCs w:val="21"/>
        </w:rPr>
      </w:pPr>
    </w:p>
    <w:p w14:paraId="3DAF7233">
      <w:pPr>
        <w:pStyle w:val="18"/>
        <w:ind w:firstLine="422"/>
        <w:rPr>
          <w:rFonts w:ascii="宋体" w:hAnsi="宋体" w:eastAsia="宋体" w:cs="宋体"/>
          <w:b/>
          <w:color w:val="000000"/>
          <w:sz w:val="21"/>
          <w:szCs w:val="21"/>
        </w:rPr>
      </w:pPr>
    </w:p>
    <w:p w14:paraId="5BA5C8A5">
      <w:pPr>
        <w:pStyle w:val="18"/>
        <w:ind w:firstLine="422"/>
        <w:rPr>
          <w:rFonts w:ascii="宋体" w:hAnsi="宋体" w:eastAsia="宋体" w:cs="宋体"/>
          <w:b/>
          <w:color w:val="000000"/>
          <w:sz w:val="21"/>
          <w:szCs w:val="21"/>
        </w:rPr>
      </w:pPr>
    </w:p>
    <w:p w14:paraId="44592C6E">
      <w:pPr>
        <w:pStyle w:val="18"/>
        <w:ind w:firstLine="422"/>
        <w:rPr>
          <w:rFonts w:ascii="宋体" w:hAnsi="宋体" w:eastAsia="宋体" w:cs="宋体"/>
          <w:b/>
          <w:color w:val="000000"/>
          <w:sz w:val="21"/>
          <w:szCs w:val="21"/>
        </w:rPr>
      </w:pPr>
    </w:p>
    <w:p w14:paraId="7AFEAF50">
      <w:pPr>
        <w:pStyle w:val="18"/>
        <w:ind w:firstLine="422"/>
        <w:rPr>
          <w:rFonts w:ascii="宋体" w:hAnsi="宋体" w:eastAsia="宋体" w:cs="宋体"/>
          <w:b/>
          <w:color w:val="000000"/>
          <w:sz w:val="21"/>
          <w:szCs w:val="21"/>
        </w:rPr>
      </w:pPr>
    </w:p>
    <w:p w14:paraId="651659F6">
      <w:pPr>
        <w:pStyle w:val="18"/>
        <w:ind w:firstLine="422"/>
        <w:rPr>
          <w:rFonts w:ascii="宋体" w:hAnsi="宋体" w:eastAsia="宋体" w:cs="宋体"/>
          <w:b/>
          <w:color w:val="000000"/>
          <w:sz w:val="21"/>
          <w:szCs w:val="21"/>
        </w:rPr>
      </w:pPr>
    </w:p>
    <w:p w14:paraId="57702230">
      <w:pPr>
        <w:pStyle w:val="18"/>
        <w:ind w:firstLine="422"/>
        <w:rPr>
          <w:rFonts w:ascii="宋体" w:hAnsi="宋体" w:eastAsia="宋体" w:cs="宋体"/>
          <w:b/>
          <w:color w:val="000000"/>
          <w:sz w:val="21"/>
          <w:szCs w:val="21"/>
        </w:rPr>
      </w:pPr>
    </w:p>
    <w:p w14:paraId="2E46025B">
      <w:pPr>
        <w:pStyle w:val="18"/>
        <w:ind w:firstLine="422"/>
        <w:rPr>
          <w:rFonts w:ascii="宋体" w:hAnsi="宋体" w:eastAsia="宋体" w:cs="宋体"/>
          <w:b/>
          <w:color w:val="000000"/>
          <w:sz w:val="21"/>
          <w:szCs w:val="21"/>
        </w:rPr>
      </w:pPr>
    </w:p>
    <w:p w14:paraId="016B40D3">
      <w:pPr>
        <w:pStyle w:val="7"/>
        <w:ind w:left="425" w:firstLine="0" w:firstLineChars="0"/>
        <w:jc w:val="center"/>
        <w:outlineLvl w:val="1"/>
        <w:rPr>
          <w:rFonts w:eastAsia="宋体" w:cs="宋体"/>
          <w:bCs/>
          <w:color w:val="000000"/>
          <w:sz w:val="28"/>
          <w:szCs w:val="28"/>
        </w:rPr>
      </w:pPr>
      <w:bookmarkStart w:id="1459" w:name="_Toc10431"/>
      <w:bookmarkStart w:id="1460" w:name="_Toc2382"/>
      <w:r>
        <w:rPr>
          <w:rFonts w:hint="eastAsia" w:eastAsia="宋体" w:cs="宋体"/>
          <w:bCs/>
          <w:color w:val="000000"/>
          <w:sz w:val="28"/>
          <w:szCs w:val="28"/>
          <w:lang w:eastAsia="zh-CN"/>
        </w:rPr>
        <w:t>八</w:t>
      </w:r>
      <w:r>
        <w:rPr>
          <w:rFonts w:hint="eastAsia" w:eastAsia="宋体" w:cs="宋体"/>
          <w:bCs/>
          <w:color w:val="000000"/>
          <w:sz w:val="28"/>
          <w:szCs w:val="28"/>
        </w:rPr>
        <w:t>、监狱企业证明文件（如有）</w:t>
      </w:r>
      <w:bookmarkEnd w:id="1459"/>
      <w:bookmarkEnd w:id="1460"/>
    </w:p>
    <w:p w14:paraId="72854B7B">
      <w:pPr>
        <w:spacing w:line="360" w:lineRule="auto"/>
        <w:ind w:firstLine="420"/>
        <w:rPr>
          <w:rFonts w:ascii="宋体" w:hAnsi="宋体" w:eastAsia="宋体" w:cs="宋体"/>
          <w:color w:val="000000"/>
          <w:szCs w:val="21"/>
        </w:rPr>
      </w:pPr>
    </w:p>
    <w:p w14:paraId="40534C21">
      <w:pPr>
        <w:spacing w:line="480" w:lineRule="auto"/>
        <w:ind w:firstLine="480"/>
        <w:rPr>
          <w:rFonts w:ascii="宋体" w:hAnsi="宋体" w:eastAsia="宋体" w:cs="宋体"/>
          <w:color w:val="000000"/>
          <w:sz w:val="24"/>
          <w:szCs w:val="24"/>
        </w:rPr>
      </w:pPr>
    </w:p>
    <w:p w14:paraId="7945E29E">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77497693">
      <w:pPr>
        <w:spacing w:line="360" w:lineRule="auto"/>
        <w:ind w:firstLine="420"/>
        <w:jc w:val="center"/>
        <w:rPr>
          <w:rFonts w:ascii="宋体" w:hAnsi="宋体" w:eastAsia="宋体" w:cs="宋体"/>
          <w:color w:val="000000"/>
          <w:szCs w:val="21"/>
        </w:rPr>
      </w:pPr>
    </w:p>
    <w:p w14:paraId="5F09F549">
      <w:pPr>
        <w:spacing w:line="360" w:lineRule="auto"/>
        <w:ind w:firstLine="420"/>
        <w:jc w:val="center"/>
        <w:rPr>
          <w:rFonts w:ascii="宋体" w:hAnsi="宋体" w:eastAsia="宋体" w:cs="宋体"/>
          <w:color w:val="000000"/>
          <w:szCs w:val="21"/>
        </w:rPr>
      </w:pPr>
    </w:p>
    <w:p w14:paraId="5545925A">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14:paraId="6AEBB7D7">
      <w:pPr>
        <w:pStyle w:val="6"/>
        <w:ind w:left="425" w:firstLine="0" w:firstLineChars="0"/>
        <w:rPr>
          <w:rFonts w:ascii="宋体" w:hAnsi="宋体" w:eastAsia="宋体" w:cs="宋体"/>
          <w:sz w:val="28"/>
          <w:szCs w:val="28"/>
        </w:rPr>
      </w:pPr>
    </w:p>
    <w:p w14:paraId="2FF9004F">
      <w:pPr>
        <w:pStyle w:val="6"/>
        <w:ind w:left="425" w:firstLine="0" w:firstLineChars="0"/>
        <w:rPr>
          <w:rFonts w:ascii="宋体" w:hAnsi="宋体" w:eastAsia="宋体" w:cs="宋体"/>
          <w:sz w:val="28"/>
          <w:szCs w:val="28"/>
        </w:rPr>
      </w:pPr>
    </w:p>
    <w:p w14:paraId="36602C23">
      <w:pPr>
        <w:pStyle w:val="6"/>
        <w:ind w:left="425" w:firstLine="0" w:firstLineChars="0"/>
        <w:rPr>
          <w:rFonts w:ascii="宋体" w:hAnsi="宋体" w:eastAsia="宋体" w:cs="宋体"/>
          <w:sz w:val="28"/>
          <w:szCs w:val="28"/>
        </w:rPr>
      </w:pPr>
    </w:p>
    <w:p w14:paraId="49678097">
      <w:pPr>
        <w:pStyle w:val="6"/>
        <w:ind w:left="425" w:firstLine="0" w:firstLineChars="0"/>
        <w:rPr>
          <w:rFonts w:ascii="宋体" w:hAnsi="宋体" w:eastAsia="宋体" w:cs="宋体"/>
          <w:sz w:val="28"/>
          <w:szCs w:val="28"/>
        </w:rPr>
      </w:pPr>
    </w:p>
    <w:p w14:paraId="6A7C88EA">
      <w:pPr>
        <w:pStyle w:val="6"/>
        <w:ind w:left="425" w:firstLine="0" w:firstLineChars="0"/>
        <w:rPr>
          <w:rFonts w:ascii="宋体" w:hAnsi="宋体" w:eastAsia="宋体" w:cs="宋体"/>
          <w:sz w:val="28"/>
          <w:szCs w:val="28"/>
        </w:rPr>
      </w:pPr>
    </w:p>
    <w:p w14:paraId="386B9C58">
      <w:pPr>
        <w:ind w:firstLine="562"/>
        <w:rPr>
          <w:rFonts w:ascii="宋体" w:hAnsi="宋体" w:eastAsia="宋体" w:cs="宋体"/>
          <w:b/>
          <w:bCs/>
          <w:color w:val="000000"/>
          <w:sz w:val="28"/>
          <w:szCs w:val="28"/>
        </w:rPr>
      </w:pPr>
    </w:p>
    <w:p w14:paraId="2537C9C6">
      <w:pPr>
        <w:pStyle w:val="2"/>
        <w:ind w:firstLine="210"/>
      </w:pPr>
    </w:p>
    <w:p w14:paraId="6CE0231B">
      <w:pPr>
        <w:spacing w:line="360" w:lineRule="auto"/>
        <w:ind w:firstLine="422"/>
        <w:jc w:val="center"/>
        <w:rPr>
          <w:rFonts w:ascii="宋体" w:hAnsi="宋体" w:eastAsia="宋体" w:cs="宋体"/>
          <w:b/>
          <w:color w:val="000000"/>
          <w:szCs w:val="21"/>
        </w:rPr>
      </w:pPr>
    </w:p>
    <w:p w14:paraId="1F1CE45F">
      <w:pPr>
        <w:spacing w:line="360" w:lineRule="auto"/>
        <w:ind w:firstLine="422"/>
        <w:jc w:val="center"/>
        <w:rPr>
          <w:rFonts w:ascii="宋体" w:hAnsi="宋体" w:eastAsia="宋体" w:cs="宋体"/>
          <w:b/>
          <w:color w:val="000000"/>
          <w:szCs w:val="21"/>
        </w:rPr>
      </w:pPr>
    </w:p>
    <w:p w14:paraId="19FBA037">
      <w:pPr>
        <w:pStyle w:val="33"/>
        <w:ind w:firstLine="422"/>
        <w:rPr>
          <w:rFonts w:ascii="宋体" w:hAnsi="宋体" w:eastAsia="宋体" w:cs="宋体"/>
          <w:b/>
          <w:color w:val="000000"/>
          <w:szCs w:val="21"/>
        </w:rPr>
      </w:pPr>
    </w:p>
    <w:p w14:paraId="4ACCAA42">
      <w:pPr>
        <w:pStyle w:val="33"/>
        <w:ind w:firstLine="422"/>
        <w:rPr>
          <w:rFonts w:ascii="宋体" w:hAnsi="宋体" w:eastAsia="宋体" w:cs="宋体"/>
          <w:b/>
          <w:color w:val="000000"/>
          <w:szCs w:val="21"/>
        </w:rPr>
      </w:pPr>
    </w:p>
    <w:p w14:paraId="1FD4593C">
      <w:pPr>
        <w:pStyle w:val="33"/>
        <w:ind w:firstLine="422"/>
        <w:rPr>
          <w:rFonts w:ascii="宋体" w:hAnsi="宋体" w:eastAsia="宋体" w:cs="宋体"/>
          <w:b/>
          <w:color w:val="000000"/>
          <w:szCs w:val="21"/>
        </w:rPr>
      </w:pPr>
    </w:p>
    <w:p w14:paraId="6F3DB037">
      <w:pPr>
        <w:pStyle w:val="33"/>
        <w:ind w:firstLine="422"/>
        <w:rPr>
          <w:rFonts w:ascii="宋体" w:hAnsi="宋体" w:eastAsia="宋体" w:cs="宋体"/>
          <w:b/>
          <w:color w:val="000000"/>
          <w:szCs w:val="21"/>
        </w:rPr>
      </w:pPr>
    </w:p>
    <w:p w14:paraId="1FEE001A">
      <w:pPr>
        <w:pStyle w:val="7"/>
        <w:ind w:firstLine="562"/>
        <w:jc w:val="center"/>
        <w:outlineLvl w:val="1"/>
        <w:rPr>
          <w:rFonts w:eastAsia="宋体" w:cs="宋体"/>
          <w:bCs/>
          <w:color w:val="000000"/>
          <w:sz w:val="28"/>
          <w:szCs w:val="28"/>
        </w:rPr>
      </w:pPr>
      <w:bookmarkStart w:id="1461" w:name="_Toc23831"/>
      <w:bookmarkStart w:id="1462" w:name="_Toc16862"/>
      <w:r>
        <w:rPr>
          <w:rFonts w:hint="eastAsia" w:eastAsia="宋体" w:cs="宋体"/>
          <w:bCs/>
          <w:color w:val="000000"/>
          <w:sz w:val="28"/>
          <w:szCs w:val="28"/>
          <w:lang w:eastAsia="zh-CN"/>
        </w:rPr>
        <w:t>九</w:t>
      </w:r>
      <w:r>
        <w:rPr>
          <w:rFonts w:hint="eastAsia" w:eastAsia="宋体" w:cs="宋体"/>
          <w:bCs/>
          <w:color w:val="000000"/>
          <w:sz w:val="28"/>
          <w:szCs w:val="28"/>
        </w:rPr>
        <w:t>、反商业贿赂承诺书</w:t>
      </w:r>
      <w:bookmarkEnd w:id="1461"/>
      <w:bookmarkEnd w:id="1462"/>
    </w:p>
    <w:p w14:paraId="66D5FD1F">
      <w:pPr>
        <w:pStyle w:val="2"/>
        <w:ind w:firstLine="210"/>
        <w:rPr>
          <w:rFonts w:ascii="宋体" w:hAnsi="宋体" w:eastAsia="宋体" w:cs="宋体"/>
          <w:color w:val="000000"/>
          <w:szCs w:val="21"/>
        </w:rPr>
      </w:pPr>
    </w:p>
    <w:p w14:paraId="05560E7B">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5087152E">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14:paraId="304332BD">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0EBD00AB">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A3C4AE4">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7DA508A4">
      <w:pPr>
        <w:spacing w:line="360" w:lineRule="auto"/>
        <w:ind w:left="645" w:firstLine="420"/>
        <w:outlineLvl w:val="0"/>
        <w:rPr>
          <w:rFonts w:ascii="宋体" w:hAnsi="宋体" w:eastAsia="宋体" w:cs="宋体"/>
          <w:color w:val="000000"/>
          <w:szCs w:val="21"/>
        </w:rPr>
      </w:pPr>
    </w:p>
    <w:p w14:paraId="64C7A848">
      <w:pPr>
        <w:spacing w:line="360" w:lineRule="auto"/>
        <w:ind w:left="645" w:firstLine="420"/>
        <w:outlineLvl w:val="0"/>
        <w:rPr>
          <w:rFonts w:ascii="宋体" w:hAnsi="宋体" w:eastAsia="宋体" w:cs="宋体"/>
          <w:color w:val="000000"/>
          <w:szCs w:val="21"/>
        </w:rPr>
      </w:pPr>
    </w:p>
    <w:p w14:paraId="5E46AA74">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3DD39E85">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3DB28C4A">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0F46A631">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pgNumType w:fmt="decimal"/>
          <w:cols w:space="425" w:num="1"/>
          <w:docGrid w:type="lines" w:linePitch="312" w:charSpace="0"/>
        </w:sectPr>
      </w:pPr>
    </w:p>
    <w:p w14:paraId="73D10BCE">
      <w:pPr>
        <w:pStyle w:val="7"/>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1463" w:name="_Toc27343"/>
      <w:r>
        <w:rPr>
          <w:rFonts w:hint="eastAsia" w:ascii="宋体" w:hAnsi="宋体" w:eastAsia="宋体" w:cs="宋体"/>
          <w:b/>
          <w:bCs/>
          <w:color w:val="000000"/>
          <w:kern w:val="2"/>
          <w:sz w:val="28"/>
          <w:szCs w:val="28"/>
          <w:lang w:val="en-US" w:eastAsia="zh-CN" w:bidi="ar-SA"/>
        </w:rPr>
        <w:t>十、其他材料</w:t>
      </w:r>
      <w:bookmarkEnd w:id="1463"/>
    </w:p>
    <w:p w14:paraId="5F72F178">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301A9E5">
      <w:pPr>
        <w:bidi w:val="0"/>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1、采购代理服务费承诺函</w:t>
      </w:r>
    </w:p>
    <w:p w14:paraId="18FD170C">
      <w:pPr>
        <w:pStyle w:val="21"/>
        <w:shd w:val="clear" w:color="auto" w:fill="FFFFFF"/>
        <w:bidi w:val="0"/>
        <w:spacing w:before="0" w:beforeLines="0" w:beforeAutospacing="0" w:after="0" w:afterLines="0" w:afterAutospacing="0"/>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69C3E7EB">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shd w:val="clear" w:color="auto" w:fill="FFFFFF"/>
        </w:rPr>
        <w:t>致</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p>
    <w:p w14:paraId="7172442A">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30C25F60">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0F8F5775">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3FDB0120">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1639D908">
      <w:pPr>
        <w:pStyle w:val="21"/>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供应商名称：</w:t>
      </w:r>
      <w:r>
        <w:rPr>
          <w:rFonts w:hint="eastAsia" w:ascii="宋体" w:hAnsi="宋体" w:eastAsia="宋体" w:cs="宋体"/>
          <w:color w:val="000000"/>
          <w:spacing w:val="8"/>
          <w:sz w:val="24"/>
          <w:szCs w:val="24"/>
          <w:u w:val="single"/>
          <w:shd w:val="clear" w:color="auto" w:fill="FFFFFF"/>
        </w:rPr>
        <w:t>          </w:t>
      </w:r>
      <w:r>
        <w:rPr>
          <w:rFonts w:hint="eastAsia" w:ascii="宋体" w:hAnsi="宋体" w:eastAsia="宋体" w:cs="宋体"/>
          <w:color w:val="000000"/>
          <w:spacing w:val="8"/>
          <w:sz w:val="24"/>
          <w:szCs w:val="24"/>
          <w:shd w:val="clear" w:color="auto" w:fill="FFFFFF"/>
        </w:rPr>
        <w:t>（单位电子签章）</w:t>
      </w:r>
    </w:p>
    <w:p w14:paraId="5BF70269">
      <w:pPr>
        <w:pStyle w:val="21"/>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法定代表人或授权代表：</w:t>
      </w:r>
      <w:r>
        <w:rPr>
          <w:rFonts w:hint="eastAsia" w:ascii="宋体" w:hAnsi="宋体" w:eastAsia="宋体" w:cs="宋体"/>
          <w:color w:val="000000"/>
          <w:spacing w:val="8"/>
          <w:sz w:val="24"/>
          <w:szCs w:val="24"/>
          <w:u w:val="single"/>
          <w:shd w:val="clear" w:color="auto" w:fill="FFFFFF"/>
        </w:rPr>
        <w:t>      </w:t>
      </w:r>
      <w:r>
        <w:rPr>
          <w:rFonts w:hint="eastAsia" w:ascii="宋体" w:hAnsi="宋体" w:eastAsia="宋体" w:cs="宋体"/>
          <w:color w:val="000000"/>
          <w:spacing w:val="8"/>
          <w:sz w:val="24"/>
          <w:szCs w:val="24"/>
          <w:shd w:val="clear" w:color="auto" w:fill="FFFFFF"/>
        </w:rPr>
        <w:t>（电子签名或盖章）</w:t>
      </w:r>
    </w:p>
    <w:p w14:paraId="7C48C4B8">
      <w:pPr>
        <w:pStyle w:val="21"/>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日期：</w:t>
      </w:r>
      <w:r>
        <w:rPr>
          <w:rFonts w:hint="eastAsia" w:ascii="宋体" w:hAnsi="宋体" w:eastAsia="宋体" w:cs="宋体"/>
          <w:color w:val="000000"/>
          <w:spacing w:val="8"/>
          <w:sz w:val="24"/>
          <w:szCs w:val="24"/>
          <w:u w:val="single"/>
          <w:shd w:val="clear" w:color="auto" w:fill="FFFFFF"/>
        </w:rPr>
        <w:t>       </w:t>
      </w:r>
    </w:p>
    <w:p w14:paraId="13370E1C">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27DA50BE">
      <w:pPr>
        <w:bidi w:val="0"/>
        <w:rPr>
          <w:rFonts w:hint="eastAsia" w:ascii="宋体" w:hAnsi="宋体" w:eastAsia="宋体" w:cs="宋体"/>
          <w:color w:val="000000"/>
          <w:sz w:val="21"/>
          <w:szCs w:val="21"/>
        </w:rPr>
      </w:pPr>
    </w:p>
    <w:p w14:paraId="3552CD7A">
      <w:pPr>
        <w:bidi w:val="0"/>
        <w:spacing w:line="360" w:lineRule="auto"/>
        <w:jc w:val="center"/>
        <w:rPr>
          <w:rFonts w:hint="eastAsia" w:ascii="宋体" w:hAnsi="宋体" w:eastAsia="宋体" w:cs="宋体"/>
          <w:color w:val="000000"/>
          <w:sz w:val="21"/>
          <w:szCs w:val="21"/>
        </w:rPr>
      </w:pPr>
    </w:p>
    <w:p w14:paraId="55E6BB76">
      <w:pPr>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2B6DA6E7">
      <w:pPr>
        <w:bidi w:val="0"/>
        <w:jc w:val="center"/>
        <w:rPr>
          <w:rFonts w:hint="eastAsia" w:ascii="宋体" w:hAnsi="宋体" w:eastAsia="宋体" w:cs="宋体"/>
          <w:b/>
          <w:bCs/>
          <w:color w:val="000000"/>
          <w:sz w:val="21"/>
          <w:szCs w:val="21"/>
          <w:lang w:val="en-US" w:eastAsia="zh-CN"/>
        </w:rPr>
      </w:pPr>
    </w:p>
    <w:p w14:paraId="13E22115">
      <w:pPr>
        <w:jc w:val="center"/>
        <w:rPr>
          <w:rFonts w:hint="eastAsia" w:ascii="宋体" w:hAnsi="宋体" w:eastAsia="宋体" w:cs="宋体"/>
          <w:b/>
          <w:bCs/>
          <w:color w:val="auto"/>
          <w:sz w:val="21"/>
          <w:szCs w:val="21"/>
          <w:lang w:val="en-US" w:eastAsia="zh-CN"/>
        </w:rPr>
      </w:pPr>
    </w:p>
    <w:p w14:paraId="480543FB">
      <w:pPr>
        <w:jc w:val="center"/>
        <w:rPr>
          <w:rFonts w:hint="eastAsia" w:ascii="宋体" w:hAnsi="宋体" w:eastAsia="宋体" w:cs="宋体"/>
          <w:b/>
          <w:bCs/>
          <w:color w:val="auto"/>
          <w:sz w:val="21"/>
          <w:szCs w:val="21"/>
          <w:lang w:val="en-US" w:eastAsia="zh-CN"/>
        </w:rPr>
      </w:pPr>
    </w:p>
    <w:p w14:paraId="3EE2486A">
      <w:pPr>
        <w:jc w:val="center"/>
        <w:rPr>
          <w:rFonts w:hint="eastAsia" w:ascii="宋体" w:hAnsi="宋体" w:eastAsia="宋体" w:cs="宋体"/>
          <w:b/>
          <w:bCs/>
          <w:color w:val="auto"/>
          <w:sz w:val="21"/>
          <w:szCs w:val="21"/>
          <w:lang w:val="en-US" w:eastAsia="zh-CN"/>
        </w:rPr>
      </w:pPr>
    </w:p>
    <w:p w14:paraId="27418F39">
      <w:pPr>
        <w:pStyle w:val="2"/>
        <w:rPr>
          <w:rFonts w:hint="eastAsia" w:ascii="宋体" w:hAnsi="宋体" w:eastAsia="宋体" w:cs="宋体"/>
          <w:b/>
          <w:bCs/>
          <w:color w:val="auto"/>
          <w:sz w:val="21"/>
          <w:szCs w:val="21"/>
          <w:lang w:val="en-US" w:eastAsia="zh-CN"/>
        </w:rPr>
      </w:pPr>
    </w:p>
    <w:p w14:paraId="051F02C2">
      <w:pPr>
        <w:pStyle w:val="4"/>
        <w:tabs>
          <w:tab w:val="left" w:pos="945"/>
          <w:tab w:val="left" w:pos="1155"/>
        </w:tabs>
        <w:rPr>
          <w:rFonts w:hint="eastAsia" w:ascii="宋体" w:hAnsi="宋体" w:eastAsia="宋体" w:cs="宋体"/>
          <w:b/>
          <w:bCs/>
          <w:color w:val="auto"/>
          <w:sz w:val="21"/>
          <w:szCs w:val="21"/>
          <w:lang w:val="en-US" w:eastAsia="zh-CN"/>
        </w:rPr>
      </w:pPr>
    </w:p>
    <w:p w14:paraId="4F5C88B9">
      <w:pPr>
        <w:rPr>
          <w:rFonts w:hint="eastAsia" w:ascii="宋体" w:hAnsi="宋体" w:eastAsia="宋体" w:cs="宋体"/>
          <w:b/>
          <w:bCs/>
          <w:color w:val="auto"/>
          <w:sz w:val="21"/>
          <w:szCs w:val="21"/>
          <w:lang w:val="en-US" w:eastAsia="zh-CN"/>
        </w:rPr>
      </w:pPr>
    </w:p>
    <w:p w14:paraId="1463B01B">
      <w:pPr>
        <w:pStyle w:val="2"/>
        <w:rPr>
          <w:rFonts w:hint="eastAsia" w:ascii="宋体" w:hAnsi="宋体" w:eastAsia="宋体" w:cs="宋体"/>
          <w:b/>
          <w:bCs/>
          <w:color w:val="auto"/>
          <w:sz w:val="21"/>
          <w:szCs w:val="21"/>
          <w:lang w:val="en-US" w:eastAsia="zh-CN"/>
        </w:rPr>
      </w:pPr>
    </w:p>
    <w:p w14:paraId="7FAC59E4">
      <w:pPr>
        <w:pStyle w:val="4"/>
        <w:tabs>
          <w:tab w:val="left" w:pos="945"/>
          <w:tab w:val="left" w:pos="1155"/>
        </w:tabs>
        <w:rPr>
          <w:rFonts w:hint="eastAsia" w:ascii="宋体" w:hAnsi="宋体" w:eastAsia="宋体" w:cs="宋体"/>
          <w:b/>
          <w:bCs/>
          <w:color w:val="auto"/>
          <w:sz w:val="21"/>
          <w:szCs w:val="21"/>
          <w:lang w:val="en-US" w:eastAsia="zh-CN"/>
        </w:rPr>
      </w:pPr>
    </w:p>
    <w:p w14:paraId="1CDE9C03">
      <w:pPr>
        <w:rPr>
          <w:rFonts w:hint="eastAsia" w:ascii="宋体" w:hAnsi="宋体" w:eastAsia="宋体" w:cs="宋体"/>
          <w:b/>
          <w:bCs/>
          <w:color w:val="auto"/>
          <w:sz w:val="21"/>
          <w:szCs w:val="21"/>
          <w:lang w:val="en-US" w:eastAsia="zh-CN"/>
        </w:rPr>
      </w:pPr>
    </w:p>
    <w:p w14:paraId="3357D5D0">
      <w:pPr>
        <w:pStyle w:val="2"/>
        <w:rPr>
          <w:rFonts w:hint="eastAsia" w:ascii="宋体" w:hAnsi="宋体" w:eastAsia="宋体" w:cs="宋体"/>
          <w:b/>
          <w:bCs/>
          <w:color w:val="auto"/>
          <w:sz w:val="21"/>
          <w:szCs w:val="21"/>
          <w:lang w:val="en-US" w:eastAsia="zh-CN"/>
        </w:rPr>
      </w:pPr>
    </w:p>
    <w:p w14:paraId="68C9CE61">
      <w:pPr>
        <w:pStyle w:val="4"/>
        <w:tabs>
          <w:tab w:val="left" w:pos="945"/>
          <w:tab w:val="left" w:pos="1155"/>
        </w:tabs>
        <w:rPr>
          <w:rFonts w:hint="eastAsia" w:ascii="宋体" w:hAnsi="宋体" w:eastAsia="宋体" w:cs="宋体"/>
          <w:b/>
          <w:bCs/>
          <w:color w:val="auto"/>
          <w:sz w:val="21"/>
          <w:szCs w:val="21"/>
          <w:lang w:val="en-US" w:eastAsia="zh-CN"/>
        </w:rPr>
      </w:pPr>
    </w:p>
    <w:p w14:paraId="2B309CE4">
      <w:pPr>
        <w:rPr>
          <w:rFonts w:hint="eastAsia" w:ascii="宋体" w:hAnsi="宋体" w:eastAsia="宋体" w:cs="宋体"/>
          <w:b/>
          <w:bCs/>
          <w:color w:val="auto"/>
          <w:sz w:val="21"/>
          <w:szCs w:val="21"/>
          <w:lang w:val="en-US" w:eastAsia="zh-CN"/>
        </w:rPr>
      </w:pPr>
    </w:p>
    <w:p w14:paraId="647CF7D2"/>
    <w:p w14:paraId="363B75E7"/>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9C44">
    <w:pPr>
      <w:pStyle w:val="14"/>
      <w:ind w:left="0" w:leftChars="0"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147E">
    <w:pPr>
      <w:pStyle w:val="14"/>
      <w:ind w:left="0" w:leftChars="0" w:firstLine="0" w:firstLineChars="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CCA4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7CCA4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643A">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6E65F">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36E65F">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B9D7">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7B5AC">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77B5AC">
                    <w:pPr>
                      <w:pStyle w:val="14"/>
                    </w:pPr>
                    <w:r>
                      <w:fldChar w:fldCharType="begin"/>
                    </w:r>
                    <w:r>
                      <w:instrText xml:space="preserve"> PAGE  \* MERGEFORMAT </w:instrText>
                    </w:r>
                    <w:r>
                      <w:fldChar w:fldCharType="separate"/>
                    </w:r>
                    <w:r>
                      <w:t>32</w:t>
                    </w:r>
                    <w:r>
                      <w:fldChar w:fldCharType="end"/>
                    </w:r>
                  </w:p>
                </w:txbxContent>
              </v:textbox>
            </v:shape>
          </w:pict>
        </mc:Fallback>
      </mc:AlternateContent>
    </w:r>
  </w:p>
  <w:p w14:paraId="4908E328">
    <w:pPr>
      <w:pStyle w:val="1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3AB6">
    <w:pPr>
      <w:pStyle w:val="1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F8A19">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DF8A19">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CC93">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0CA4F">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00CA4F">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F895">
    <w:pPr>
      <w:pBdr>
        <w:bottom w:val="none" w:color="auto" w:sz="0" w:space="0"/>
      </w:pBdr>
      <w:jc w:val="right"/>
      <w:rPr>
        <w:rFonts w:hint="eastAsia" w:ascii="宋体" w:hAnsi="宋体" w:eastAsia="宋体"/>
        <w:sz w:val="15"/>
        <w:szCs w:val="15"/>
        <w:lang w:val="en-US" w:eastAsia="zh-CN"/>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1843">
    <w:pPr>
      <w:pStyle w:val="16"/>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ACEB">
    <w:pPr>
      <w:pStyle w:val="16"/>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eastAsia="宋体" w:cs="宋体"/>
        <w:i/>
        <w:iCs/>
        <w:color w:val="0000FF"/>
        <w:sz w:val="18"/>
        <w:szCs w:val="18"/>
        <w:lang w:val="en-US" w:eastAsia="zh-CN"/>
      </w:rPr>
      <w:t xml:space="preserve"> </w:t>
    </w:r>
  </w:p>
  <w:p w14:paraId="72F2E582">
    <w:pPr>
      <w:pStyle w:val="16"/>
      <w:pBdr>
        <w:bottom w:val="none" w:color="auto" w:sz="0" w:space="1"/>
      </w:pBdr>
      <w:tabs>
        <w:tab w:val="left" w:pos="6514"/>
      </w:tabs>
      <w:bidi w:val="0"/>
      <w:jc w:val="left"/>
      <w:rPr>
        <w:rFonts w:hint="eastAsia" w:ascii="宋体" w:hAnsi="宋体" w:eastAsia="宋体"/>
        <w:sz w:val="15"/>
        <w:szCs w:val="15"/>
        <w:lang w:eastAsia="zh-CN"/>
      </w:rPr>
    </w:pPr>
  </w:p>
  <w:p w14:paraId="7CC11E92">
    <w:pPr>
      <w:pStyle w:val="16"/>
      <w:pBdr>
        <w:bottom w:val="none" w:color="auto" w:sz="0" w:space="1"/>
      </w:pBdr>
      <w:bidi w:val="0"/>
      <w:rPr>
        <w:i/>
        <w:iCs/>
        <w:color w:val="0000FF"/>
      </w:rPr>
    </w:pP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4">
    <w:nsid w:val="4B2E3023"/>
    <w:multiLevelType w:val="singleLevel"/>
    <w:tmpl w:val="4B2E3023"/>
    <w:lvl w:ilvl="0" w:tentative="0">
      <w:start w:val="1"/>
      <w:numFmt w:val="decimal"/>
      <w:suff w:val="nothing"/>
      <w:lvlText w:val="（%1）"/>
      <w:lvlJc w:val="left"/>
    </w:lvl>
  </w:abstractNum>
  <w:abstractNum w:abstractNumId="5">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A5DBB2"/>
    <w:multiLevelType w:val="singleLevel"/>
    <w:tmpl w:val="64A5DBB2"/>
    <w:lvl w:ilvl="0" w:tentative="0">
      <w:start w:val="1"/>
      <w:numFmt w:val="decimal"/>
      <w:suff w:val="space"/>
      <w:lvlText w:val="%1."/>
      <w:lvlJc w:val="left"/>
    </w:lvl>
  </w:abstractNum>
  <w:abstractNum w:abstractNumId="7">
    <w:nsid w:val="75AF216A"/>
    <w:multiLevelType w:val="singleLevel"/>
    <w:tmpl w:val="75AF216A"/>
    <w:lvl w:ilvl="0" w:tentative="0">
      <w:start w:val="5"/>
      <w:numFmt w:val="chineseCounting"/>
      <w:suff w:val="space"/>
      <w:lvlText w:val="第%1章"/>
      <w:lvlJc w:val="left"/>
      <w:rPr>
        <w:rFonts w:hint="eastAsia"/>
      </w:r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0F6D2EA0"/>
    <w:rsid w:val="000357E2"/>
    <w:rsid w:val="00125081"/>
    <w:rsid w:val="00293DAD"/>
    <w:rsid w:val="0F6D2EA0"/>
    <w:rsid w:val="0FD25F0F"/>
    <w:rsid w:val="107A51D5"/>
    <w:rsid w:val="1A023784"/>
    <w:rsid w:val="20311C8F"/>
    <w:rsid w:val="21572AB8"/>
    <w:rsid w:val="24E67632"/>
    <w:rsid w:val="30D86805"/>
    <w:rsid w:val="3DE70CD4"/>
    <w:rsid w:val="3F0B3ECC"/>
    <w:rsid w:val="40EA135D"/>
    <w:rsid w:val="41654AEA"/>
    <w:rsid w:val="496B70E1"/>
    <w:rsid w:val="4D6A7583"/>
    <w:rsid w:val="4E202AB9"/>
    <w:rsid w:val="4F2944F1"/>
    <w:rsid w:val="51557302"/>
    <w:rsid w:val="54C52883"/>
    <w:rsid w:val="55235820"/>
    <w:rsid w:val="58A35F9C"/>
    <w:rsid w:val="64F42A39"/>
    <w:rsid w:val="65006AFE"/>
    <w:rsid w:val="672B19B6"/>
    <w:rsid w:val="78C64E50"/>
    <w:rsid w:val="7B792787"/>
    <w:rsid w:val="7BF5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jc w:val="center"/>
      <w:outlineLvl w:val="0"/>
    </w:pPr>
    <w:rPr>
      <w:b/>
      <w:bCs/>
      <w:color w:val="000000"/>
      <w:sz w:val="32"/>
    </w:rPr>
  </w:style>
  <w:style w:type="paragraph" w:styleId="7">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8">
    <w:name w:val="heading 3"/>
    <w:basedOn w:val="1"/>
    <w:next w:val="1"/>
    <w:qFormat/>
    <w:uiPriority w:val="0"/>
    <w:pPr>
      <w:keepNext/>
      <w:keepLines/>
      <w:spacing w:after="0" w:afterLines="0" w:line="460" w:lineRule="exact"/>
      <w:jc w:val="left"/>
      <w:outlineLvl w:val="2"/>
    </w:pPr>
    <w:rPr>
      <w:b/>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afterLines="0" w:afterAutospacing="0"/>
    </w:pPr>
    <w:rPr>
      <w:sz w:val="21"/>
    </w:rPr>
  </w:style>
  <w:style w:type="paragraph" w:styleId="4">
    <w:name w:val="Body Text First Indent 2"/>
    <w:basedOn w:val="5"/>
    <w:qFormat/>
    <w:uiPriority w:val="0"/>
    <w:pPr>
      <w:spacing w:after="120" w:afterLines="0" w:line="240" w:lineRule="auto"/>
      <w:ind w:left="420" w:leftChars="200" w:firstLine="420" w:firstLineChars="200"/>
    </w:pPr>
  </w:style>
  <w:style w:type="paragraph" w:styleId="5">
    <w:name w:val="Body Text Indent"/>
    <w:basedOn w:val="1"/>
    <w:qFormat/>
    <w:uiPriority w:val="0"/>
    <w:pPr>
      <w:spacing w:line="312" w:lineRule="auto"/>
      <w:ind w:firstLine="735" w:firstLineChars="245"/>
    </w:pPr>
  </w:style>
  <w:style w:type="paragraph" w:styleId="9">
    <w:name w:val="Normal Indent"/>
    <w:basedOn w:val="1"/>
    <w:qFormat/>
    <w:uiPriority w:val="0"/>
    <w:pPr>
      <w:ind w:firstLine="420"/>
    </w:pPr>
    <w:rPr>
      <w:sz w:val="21"/>
    </w:rPr>
  </w:style>
  <w:style w:type="paragraph" w:styleId="10">
    <w:name w:val="annotation text"/>
    <w:basedOn w:val="1"/>
    <w:qFormat/>
    <w:uiPriority w:val="0"/>
    <w:pPr>
      <w:jc w:val="left"/>
    </w:pPr>
  </w:style>
  <w:style w:type="paragraph" w:styleId="11">
    <w:name w:val="Body Text 3"/>
    <w:basedOn w:val="1"/>
    <w:qFormat/>
    <w:uiPriority w:val="0"/>
    <w:rPr>
      <w:rFonts w:hAnsi="Times New Roman"/>
      <w:kern w:val="0"/>
      <w:sz w:val="24"/>
      <w:szCs w:val="20"/>
    </w:rPr>
  </w:style>
  <w:style w:type="paragraph" w:styleId="12">
    <w:name w:val="List 2"/>
    <w:basedOn w:val="1"/>
    <w:qFormat/>
    <w:uiPriority w:val="0"/>
    <w:pPr>
      <w:ind w:left="100" w:leftChars="200" w:hanging="200" w:hangingChars="200"/>
    </w:pPr>
    <w:rPr>
      <w:sz w:val="21"/>
      <w:szCs w:val="24"/>
    </w:rPr>
  </w:style>
  <w:style w:type="paragraph" w:styleId="13">
    <w:name w:val="Plain Text"/>
    <w:basedOn w:val="1"/>
    <w:qFormat/>
    <w:uiPriority w:val="0"/>
    <w:rPr>
      <w:rFonts w:ascii="宋体" w:hAnsi="Courier New"/>
      <w:szCs w:val="20"/>
    </w:rPr>
  </w:style>
  <w:style w:type="paragraph" w:styleId="1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5">
    <w:name w:val="envelope return"/>
    <w:basedOn w:val="1"/>
    <w:unhideWhenUsed/>
    <w:qFormat/>
    <w:uiPriority w:val="99"/>
    <w:pPr>
      <w:snapToGrid w:val="0"/>
    </w:pPr>
    <w:rPr>
      <w:rFonts w:ascii="Arial" w:hAnsi="Arial"/>
    </w:rPr>
  </w:style>
  <w:style w:type="paragraph" w:styleId="16">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0">
    <w:name w:val="Body Text 2"/>
    <w:basedOn w:val="1"/>
    <w:next w:val="3"/>
    <w:qFormat/>
    <w:uiPriority w:val="0"/>
    <w:pPr>
      <w:spacing w:after="120" w:afterLines="0" w:afterAutospacing="0" w:line="480" w:lineRule="auto"/>
    </w:pPr>
    <w:rPr>
      <w:sz w:val="21"/>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Title"/>
    <w:basedOn w:val="1"/>
    <w:next w:val="1"/>
    <w:qFormat/>
    <w:uiPriority w:val="0"/>
    <w:pPr>
      <w:jc w:val="center"/>
      <w:outlineLvl w:val="0"/>
    </w:pPr>
    <w:rPr>
      <w:rFonts w:ascii="Cambria" w:hAnsi="Cambria"/>
      <w:b/>
      <w:bCs/>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paragraph" w:customStyle="1" w:styleId="27">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28">
    <w:name w:val="style4"/>
    <w:basedOn w:val="29"/>
    <w:next w:val="30"/>
    <w:qFormat/>
    <w:uiPriority w:val="0"/>
    <w:pPr>
      <w:widowControl/>
      <w:autoSpaceDE/>
      <w:autoSpaceDN/>
      <w:spacing w:before="280" w:after="280" w:line="240" w:lineRule="auto"/>
      <w:ind w:left="0" w:firstLine="0"/>
      <w:jc w:val="both"/>
    </w:pPr>
    <w:rPr>
      <w:rFonts w:ascii="宋体" w:eastAsia="宋体"/>
      <w:sz w:val="18"/>
    </w:rPr>
  </w:style>
  <w:style w:type="paragraph" w:customStyle="1" w:styleId="29">
    <w:name w:val="正文1"/>
    <w:basedOn w:val="1"/>
    <w:next w:val="2"/>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1">
    <w:name w:val="样式 标题 2 + Times New Roman 四号 非加粗 段前: 5 磅 段后: 0 磅 行距: 固定值 20..."/>
    <w:basedOn w:val="7"/>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32">
    <w:name w:val="List Paragraph"/>
    <w:basedOn w:val="1"/>
    <w:qFormat/>
    <w:uiPriority w:val="0"/>
    <w:pPr>
      <w:ind w:firstLine="420" w:firstLineChars="200"/>
    </w:pPr>
    <w:rPr>
      <w:sz w:val="21"/>
      <w:szCs w:val="24"/>
    </w:rPr>
  </w:style>
  <w:style w:type="paragraph" w:customStyle="1" w:styleId="33">
    <w:name w:val="无间隔1"/>
    <w:basedOn w:val="1"/>
    <w:qFormat/>
    <w:uiPriority w:val="1"/>
    <w:pPr>
      <w:spacing w:line="400" w:lineRule="exact"/>
    </w:pPr>
  </w:style>
  <w:style w:type="paragraph" w:customStyle="1" w:styleId="34">
    <w:name w:val="样式 标题 3 + (中文) 黑体 小四 非加粗 段前: 7.8 磅 段后: 0 磅 行距: 固定值 20 磅"/>
    <w:basedOn w:val="8"/>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35">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36">
    <w:name w:val="索引 11"/>
    <w:basedOn w:val="1"/>
    <w:next w:val="1"/>
    <w:qFormat/>
    <w:uiPriority w:val="0"/>
    <w:pPr>
      <w:spacing w:line="360" w:lineRule="auto"/>
    </w:pPr>
    <w:rPr>
      <w:rFonts w:ascii="仿宋_GB2312" w:eastAsia="仿宋_GB2312"/>
      <w:sz w:val="24"/>
      <w:szCs w:val="20"/>
    </w:rPr>
  </w:style>
  <w:style w:type="paragraph" w:customStyle="1" w:styleId="37">
    <w:name w:val="纯文本1"/>
    <w:basedOn w:val="1"/>
    <w:qFormat/>
    <w:uiPriority w:val="0"/>
    <w:rPr>
      <w:rFonts w:ascii="宋体" w:hAnsi="Courier New"/>
      <w:kern w:val="0"/>
      <w:sz w:val="20"/>
      <w:szCs w:val="20"/>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0">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15131</Words>
  <Characters>16444</Characters>
  <Lines>0</Lines>
  <Paragraphs>0</Paragraphs>
  <TotalTime>0</TotalTime>
  <ScaleCrop>false</ScaleCrop>
  <LinksUpToDate>false</LinksUpToDate>
  <CharactersWithSpaces>17173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2024-10-16T04:36:00Z</dcterms:created>
  <dc:creator>LS</dc:creator>
  <cp:lastModifiedBy>辰</cp:lastModifiedBy>
  <dcterms:modified xsi:type="dcterms:W3CDTF">2025-02-27T07:07:01Z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98D531648D9746928A94AFAD2CDF8056_13</vt:lpwstr>
  </property>
  <property fmtid="{D5CDD505-2E9C-101B-9397-08002B2CF9AE}" pid="4" name="KSOTemplateDocerSaveRecord">
    <vt:lpwstr>eyJoZGlkIjoiYzlhMDNkNDI2YzMwMzE4NmExNWUzZjU5ODFmNDdiOTkiLCJ1c2VySWQiOiIyNjMwMzUxMjkifQ==</vt:lpwstr>
  </property>
</Properties>
</file>