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rPr>
          <w:rFonts w:eastAsia="黑体"/>
          <w:b/>
          <w:color w:val="auto"/>
          <w:spacing w:val="40"/>
          <w:sz w:val="40"/>
          <w:szCs w:val="40"/>
        </w:rPr>
      </w:pPr>
    </w:p>
    <w:p>
      <w:pPr>
        <w:widowControl w:val="0"/>
        <w:snapToGrid w:val="0"/>
        <w:spacing w:line="560" w:lineRule="exact"/>
        <w:ind w:firstLine="261" w:firstLineChars="50"/>
        <w:jc w:val="center"/>
        <w:rPr>
          <w:rFonts w:hint="eastAsia" w:ascii="黑体" w:hAnsi="黑体" w:eastAsia="黑体" w:cs="黑体"/>
          <w:b/>
          <w:color w:val="auto"/>
          <w:spacing w:val="40"/>
          <w:sz w:val="44"/>
          <w:szCs w:val="44"/>
          <w:lang w:val="en-US" w:eastAsia="zh-CN"/>
        </w:rPr>
      </w:pPr>
      <w:r>
        <w:rPr>
          <w:rFonts w:hint="eastAsia" w:ascii="黑体" w:hAnsi="黑体" w:eastAsia="黑体" w:cs="黑体"/>
          <w:b/>
          <w:color w:val="auto"/>
          <w:spacing w:val="40"/>
          <w:sz w:val="44"/>
          <w:szCs w:val="44"/>
        </w:rPr>
        <w:t>安阳市人民公园</w:t>
      </w:r>
      <w:r>
        <w:rPr>
          <w:rFonts w:ascii="黑体" w:hAnsi="黑体" w:eastAsia="黑体" w:cs="黑体"/>
          <w:b/>
          <w:color w:val="auto"/>
          <w:spacing w:val="40"/>
          <w:sz w:val="44"/>
          <w:szCs w:val="44"/>
        </w:rPr>
        <w:t>2021</w:t>
      </w:r>
      <w:r>
        <w:rPr>
          <w:rFonts w:hint="eastAsia" w:ascii="黑体" w:hAnsi="黑体" w:eastAsia="黑体" w:cs="黑体"/>
          <w:b/>
          <w:color w:val="auto"/>
          <w:spacing w:val="40"/>
          <w:sz w:val="44"/>
          <w:szCs w:val="44"/>
        </w:rPr>
        <w:t>年政府购买服务绿地管养项目</w:t>
      </w:r>
      <w:r>
        <w:rPr>
          <w:rFonts w:hint="eastAsia" w:ascii="黑体" w:hAnsi="黑体" w:eastAsia="黑体" w:cs="黑体"/>
          <w:b/>
          <w:color w:val="auto"/>
          <w:spacing w:val="40"/>
          <w:sz w:val="44"/>
          <w:szCs w:val="44"/>
          <w:lang w:eastAsia="zh-CN"/>
        </w:rPr>
        <w:t>二次</w:t>
      </w:r>
    </w:p>
    <w:p>
      <w:pPr>
        <w:widowControl w:val="0"/>
        <w:snapToGrid w:val="0"/>
        <w:spacing w:beforeLines="100" w:line="560" w:lineRule="exact"/>
        <w:jc w:val="center"/>
        <w:rPr>
          <w:rFonts w:ascii="黑体" w:hAnsi="黑体" w:eastAsia="黑体" w:cs="黑体"/>
          <w:b/>
          <w:color w:val="auto"/>
          <w:sz w:val="44"/>
        </w:rPr>
      </w:pPr>
    </w:p>
    <w:p>
      <w:pPr>
        <w:widowControl w:val="0"/>
        <w:snapToGrid w:val="0"/>
        <w:spacing w:beforeLines="100" w:line="240" w:lineRule="auto"/>
        <w:jc w:val="center"/>
        <w:rPr>
          <w:rFonts w:ascii="黑体" w:hAnsi="黑体" w:eastAsia="黑体" w:cs="黑体"/>
          <w:b/>
          <w:color w:val="auto"/>
          <w:sz w:val="44"/>
        </w:rPr>
      </w:pPr>
    </w:p>
    <w:p>
      <w:pPr>
        <w:widowControl w:val="0"/>
        <w:snapToGrid w:val="0"/>
        <w:spacing w:beforeLines="100" w:line="240" w:lineRule="auto"/>
        <w:jc w:val="center"/>
        <w:rPr>
          <w:rFonts w:ascii="黑体" w:hAnsi="黑体" w:eastAsia="黑体" w:cs="黑体"/>
          <w:b/>
          <w:color w:val="auto"/>
          <w:sz w:val="44"/>
        </w:rPr>
      </w:pPr>
    </w:p>
    <w:p>
      <w:pPr>
        <w:widowControl w:val="0"/>
        <w:snapToGrid w:val="0"/>
        <w:spacing w:beforeLines="100" w:line="240" w:lineRule="auto"/>
        <w:jc w:val="center"/>
        <w:rPr>
          <w:rFonts w:ascii="黑体" w:hAnsi="黑体" w:eastAsia="黑体" w:cs="黑体"/>
          <w:b/>
          <w:color w:val="auto"/>
          <w:sz w:val="116"/>
          <w:szCs w:val="116"/>
        </w:rPr>
      </w:pPr>
      <w:r>
        <w:rPr>
          <w:rFonts w:hint="eastAsia" w:ascii="黑体" w:hAnsi="黑体" w:eastAsia="黑体" w:cs="黑体"/>
          <w:b/>
          <w:color w:val="auto"/>
          <w:sz w:val="116"/>
          <w:szCs w:val="116"/>
        </w:rPr>
        <w:t>招标文件</w:t>
      </w:r>
    </w:p>
    <w:p>
      <w:pPr>
        <w:widowControl w:val="0"/>
        <w:snapToGrid w:val="0"/>
        <w:spacing w:beforeLines="100" w:line="560" w:lineRule="exact"/>
        <w:ind w:firstLine="2560" w:firstLineChars="800"/>
        <w:jc w:val="left"/>
        <w:rPr>
          <w:rFonts w:ascii="黑体" w:hAnsi="黑体" w:eastAsia="黑体" w:cs="黑体"/>
          <w:color w:val="auto"/>
          <w:sz w:val="32"/>
          <w:szCs w:val="32"/>
        </w:rPr>
      </w:pPr>
    </w:p>
    <w:p>
      <w:pPr>
        <w:widowControl w:val="0"/>
        <w:snapToGrid w:val="0"/>
        <w:spacing w:beforeLines="100" w:line="560" w:lineRule="exact"/>
        <w:ind w:firstLine="2560" w:firstLineChars="800"/>
        <w:jc w:val="left"/>
        <w:rPr>
          <w:rFonts w:ascii="黑体" w:hAnsi="黑体" w:eastAsia="黑体" w:cs="黑体"/>
          <w:sz w:val="32"/>
          <w:szCs w:val="32"/>
        </w:rPr>
      </w:pPr>
      <w:r>
        <w:rPr>
          <w:rFonts w:hint="eastAsia" w:ascii="黑体" w:hAnsi="黑体" w:eastAsia="黑体" w:cs="黑体"/>
          <w:sz w:val="32"/>
          <w:szCs w:val="32"/>
        </w:rPr>
        <w:t xml:space="preserve">招标编号：安财招标采购-2020-68 </w:t>
      </w:r>
    </w:p>
    <w:p>
      <w:pPr>
        <w:pStyle w:val="2"/>
        <w:rPr>
          <w:rFonts w:ascii="黑体" w:hAnsi="黑体" w:eastAsia="黑体" w:cs="黑体"/>
          <w:color w:val="000000"/>
          <w:sz w:val="32"/>
          <w:szCs w:val="32"/>
        </w:rPr>
      </w:pPr>
    </w:p>
    <w:p>
      <w:pPr>
        <w:pStyle w:val="2"/>
        <w:rPr>
          <w:rFonts w:ascii="黑体" w:hAnsi="黑体" w:eastAsia="黑体" w:cs="黑体"/>
          <w:color w:val="000000"/>
          <w:sz w:val="32"/>
          <w:szCs w:val="32"/>
        </w:rPr>
      </w:pPr>
    </w:p>
    <w:p>
      <w:pPr>
        <w:pStyle w:val="2"/>
        <w:rPr>
          <w:rFonts w:ascii="黑体" w:hAnsi="黑体" w:eastAsia="黑体" w:cs="黑体"/>
          <w:color w:val="000000"/>
          <w:sz w:val="32"/>
          <w:szCs w:val="32"/>
        </w:rPr>
      </w:pPr>
    </w:p>
    <w:p>
      <w:pPr>
        <w:pStyle w:val="2"/>
        <w:rPr>
          <w:rFonts w:ascii="黑体" w:hAnsi="黑体" w:eastAsia="黑体" w:cs="黑体"/>
          <w:color w:val="000000"/>
          <w:sz w:val="32"/>
          <w:szCs w:val="32"/>
        </w:rPr>
      </w:pPr>
    </w:p>
    <w:p>
      <w:pPr>
        <w:widowControl w:val="0"/>
        <w:snapToGrid w:val="0"/>
        <w:spacing w:beforeLines="100" w:line="560" w:lineRule="exact"/>
        <w:rPr>
          <w:rFonts w:ascii="黑体" w:hAnsi="黑体" w:eastAsia="黑体" w:cs="黑体"/>
          <w:b/>
          <w:color w:val="auto"/>
          <w:sz w:val="44"/>
        </w:rPr>
      </w:pPr>
    </w:p>
    <w:p>
      <w:pPr>
        <w:widowControl w:val="0"/>
        <w:snapToGrid w:val="0"/>
        <w:spacing w:line="660" w:lineRule="exact"/>
        <w:ind w:firstLine="540" w:firstLineChars="168"/>
        <w:jc w:val="center"/>
        <w:rPr>
          <w:rFonts w:ascii="黑体" w:hAnsi="黑体" w:eastAsia="黑体" w:cs="黑体"/>
          <w:b/>
          <w:color w:val="auto"/>
          <w:sz w:val="32"/>
          <w:szCs w:val="32"/>
        </w:rPr>
      </w:pPr>
      <w:r>
        <w:rPr>
          <w:rFonts w:hint="eastAsia" w:ascii="黑体" w:hAnsi="黑体" w:eastAsia="黑体" w:cs="黑体"/>
          <w:b/>
          <w:color w:val="auto"/>
          <w:sz w:val="32"/>
          <w:szCs w:val="32"/>
        </w:rPr>
        <w:t>采购人：安阳市人民公园</w:t>
      </w:r>
    </w:p>
    <w:p>
      <w:pPr>
        <w:widowControl w:val="0"/>
        <w:snapToGrid w:val="0"/>
        <w:spacing w:line="660" w:lineRule="exact"/>
        <w:ind w:firstLine="540" w:firstLineChars="168"/>
        <w:jc w:val="center"/>
        <w:rPr>
          <w:rFonts w:ascii="黑体" w:hAnsi="黑体" w:eastAsia="黑体" w:cs="黑体"/>
          <w:b/>
          <w:color w:val="auto"/>
          <w:sz w:val="36"/>
          <w:szCs w:val="36"/>
        </w:rPr>
        <w:sectPr>
          <w:footerReference r:id="rId7" w:type="first"/>
          <w:headerReference r:id="rId3" w:type="default"/>
          <w:footerReference r:id="rId5" w:type="default"/>
          <w:headerReference r:id="rId4" w:type="even"/>
          <w:footerReference r:id="rId6" w:type="even"/>
          <w:pgSz w:w="11905" w:h="16837"/>
          <w:pgMar w:top="1418" w:right="1106" w:bottom="1418" w:left="1418" w:header="567" w:footer="567" w:gutter="0"/>
          <w:pgNumType w:fmt="numberInDash" w:start="0"/>
          <w:cols w:space="720" w:num="1"/>
          <w:titlePg/>
        </w:sectPr>
      </w:pPr>
      <w:r>
        <w:rPr>
          <w:rFonts w:hint="eastAsia" w:ascii="黑体" w:hAnsi="黑体" w:eastAsia="黑体" w:cs="黑体"/>
          <w:b/>
          <w:color w:val="auto"/>
          <w:sz w:val="32"/>
          <w:szCs w:val="32"/>
        </w:rPr>
        <w:t>代理机构：中资国际工程咨询集团有限责任公司</w:t>
      </w:r>
    </w:p>
    <w:p>
      <w:pPr>
        <w:pStyle w:val="68"/>
        <w:jc w:val="center"/>
        <w:rPr>
          <w:rFonts w:ascii="黑体" w:hAnsi="黑体" w:eastAsia="黑体"/>
          <w:color w:val="auto"/>
          <w:sz w:val="36"/>
          <w:szCs w:val="36"/>
          <w:lang w:val="zh-CN"/>
        </w:rPr>
      </w:pPr>
      <w:r>
        <w:rPr>
          <w:rFonts w:hint="eastAsia" w:ascii="黑体" w:hAnsi="黑体" w:eastAsia="黑体"/>
          <w:color w:val="auto"/>
          <w:sz w:val="36"/>
          <w:szCs w:val="36"/>
          <w:lang w:val="zh-CN"/>
        </w:rPr>
        <w:t>目录</w:t>
      </w:r>
    </w:p>
    <w:p>
      <w:pPr>
        <w:rPr>
          <w:color w:val="auto"/>
          <w:lang w:val="zh-CN"/>
        </w:rPr>
      </w:pPr>
    </w:p>
    <w:p>
      <w:pPr>
        <w:pStyle w:val="16"/>
        <w:tabs>
          <w:tab w:val="right" w:leader="dot" w:pos="9371"/>
        </w:tabs>
        <w:rPr>
          <w:rFonts w:ascii="Calibri" w:hAnsi="Calibri"/>
          <w:color w:val="auto"/>
          <w:kern w:val="2"/>
          <w:szCs w:val="22"/>
        </w:rPr>
      </w:pPr>
      <w:r>
        <w:rPr>
          <w:color w:val="auto"/>
        </w:rPr>
        <w:fldChar w:fldCharType="begin"/>
      </w:r>
      <w:r>
        <w:rPr>
          <w:color w:val="auto"/>
        </w:rPr>
        <w:instrText xml:space="preserve"> TOC \o "1-3" \h \z \u </w:instrText>
      </w:r>
      <w:r>
        <w:rPr>
          <w:color w:val="auto"/>
        </w:rPr>
        <w:fldChar w:fldCharType="separate"/>
      </w:r>
      <w:r>
        <w:fldChar w:fldCharType="begin"/>
      </w:r>
      <w:r>
        <w:instrText xml:space="preserve"> HYPERLINK \l "_Toc529805748" </w:instrText>
      </w:r>
      <w:r>
        <w:fldChar w:fldCharType="separate"/>
      </w:r>
      <w:r>
        <w:rPr>
          <w:rStyle w:val="30"/>
          <w:rFonts w:hint="eastAsia" w:eastAsia="黑体"/>
          <w:b/>
          <w:color w:val="auto"/>
        </w:rPr>
        <w:t>第一章招标公告</w:t>
      </w:r>
      <w:r>
        <w:rPr>
          <w:color w:val="auto"/>
        </w:rPr>
        <w:tab/>
      </w:r>
      <w:r>
        <w:rPr>
          <w:color w:val="auto"/>
        </w:rPr>
        <w:fldChar w:fldCharType="begin"/>
      </w:r>
      <w:r>
        <w:rPr>
          <w:color w:val="auto"/>
        </w:rPr>
        <w:instrText xml:space="preserve"> PAGEREF _Toc529805748 \h </w:instrText>
      </w:r>
      <w:r>
        <w:rPr>
          <w:color w:val="auto"/>
        </w:rPr>
        <w:fldChar w:fldCharType="separate"/>
      </w:r>
      <w:r>
        <w:rPr>
          <w:color w:val="auto"/>
        </w:rPr>
        <w:t>1</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"_Toc529805749" </w:instrText>
      </w:r>
      <w:r>
        <w:fldChar w:fldCharType="separate"/>
      </w:r>
      <w:r>
        <w:rPr>
          <w:rStyle w:val="30"/>
          <w:rFonts w:hint="eastAsia" w:eastAsia="黑体"/>
          <w:b/>
          <w:color w:val="auto"/>
        </w:rPr>
        <w:t>第二章招标项目要求及采购需求</w:t>
      </w:r>
      <w:r>
        <w:rPr>
          <w:color w:val="auto"/>
        </w:rPr>
        <w:tab/>
      </w:r>
      <w:r>
        <w:rPr>
          <w:color w:val="auto"/>
        </w:rPr>
        <w:fldChar w:fldCharType="begin"/>
      </w:r>
      <w:r>
        <w:rPr>
          <w:color w:val="auto"/>
        </w:rPr>
        <w:instrText xml:space="preserve"> PAGEREF _Toc529805749 \h </w:instrText>
      </w:r>
      <w:r>
        <w:rPr>
          <w:color w:val="auto"/>
        </w:rPr>
        <w:fldChar w:fldCharType="separate"/>
      </w:r>
      <w:r>
        <w:rPr>
          <w:color w:val="auto"/>
        </w:rPr>
        <w:t>1</w:t>
      </w:r>
      <w:r>
        <w:rPr>
          <w:color w:val="auto"/>
        </w:rPr>
        <w:fldChar w:fldCharType="end"/>
      </w:r>
      <w:r>
        <w:rPr>
          <w:color w:val="auto"/>
        </w:rPr>
        <w:fldChar w:fldCharType="end"/>
      </w:r>
    </w:p>
    <w:p>
      <w:pPr>
        <w:pStyle w:val="17"/>
        <w:tabs>
          <w:tab w:val="right" w:leader="dot" w:pos="9371"/>
        </w:tabs>
        <w:rPr>
          <w:rFonts w:ascii="Calibri" w:hAnsi="Calibri"/>
          <w:color w:val="auto"/>
          <w:kern w:val="2"/>
          <w:szCs w:val="22"/>
        </w:rPr>
      </w:pPr>
      <w:r>
        <w:fldChar w:fldCharType="begin"/>
      </w:r>
      <w:r>
        <w:instrText xml:space="preserve"> HYPERLINK \l "_Toc529805750" </w:instrText>
      </w:r>
      <w:r>
        <w:fldChar w:fldCharType="separate"/>
      </w:r>
      <w:r>
        <w:rPr>
          <w:rStyle w:val="30"/>
          <w:rFonts w:ascii="黑体" w:hAnsi="黑体" w:eastAsia="黑体"/>
          <w:b/>
          <w:color w:val="auto"/>
        </w:rPr>
        <w:t xml:space="preserve">1. </w:t>
      </w:r>
      <w:r>
        <w:rPr>
          <w:rStyle w:val="30"/>
          <w:rFonts w:hint="eastAsia" w:ascii="黑体" w:hAnsi="黑体" w:eastAsia="黑体"/>
          <w:b/>
          <w:color w:val="auto"/>
        </w:rPr>
        <w:t>招标项目、标段划分、投标报价</w:t>
      </w:r>
      <w:r>
        <w:rPr>
          <w:color w:val="auto"/>
        </w:rPr>
        <w:tab/>
      </w:r>
      <w:r>
        <w:rPr>
          <w:color w:val="auto"/>
        </w:rPr>
        <w:fldChar w:fldCharType="begin"/>
      </w:r>
      <w:r>
        <w:rPr>
          <w:color w:val="auto"/>
        </w:rPr>
        <w:instrText xml:space="preserve"> PAGEREF _Toc529805750 \h </w:instrText>
      </w:r>
      <w:r>
        <w:rPr>
          <w:color w:val="auto"/>
        </w:rPr>
        <w:fldChar w:fldCharType="separate"/>
      </w:r>
      <w:r>
        <w:rPr>
          <w:color w:val="auto"/>
        </w:rPr>
        <w:t>5</w:t>
      </w:r>
      <w:r>
        <w:rPr>
          <w:color w:val="auto"/>
        </w:rPr>
        <w:fldChar w:fldCharType="end"/>
      </w:r>
      <w:r>
        <w:rPr>
          <w:color w:val="auto"/>
        </w:rPr>
        <w:fldChar w:fldCharType="end"/>
      </w:r>
    </w:p>
    <w:p>
      <w:pPr>
        <w:pStyle w:val="17"/>
        <w:tabs>
          <w:tab w:val="right" w:leader="dot" w:pos="9371"/>
        </w:tabs>
        <w:rPr>
          <w:rFonts w:ascii="Calibri" w:hAnsi="Calibri"/>
          <w:color w:val="auto"/>
          <w:kern w:val="2"/>
          <w:szCs w:val="22"/>
        </w:rPr>
      </w:pPr>
      <w:r>
        <w:fldChar w:fldCharType="begin"/>
      </w:r>
      <w:r>
        <w:instrText xml:space="preserve"> HYPERLINK \l "_Toc529805751" </w:instrText>
      </w:r>
      <w:r>
        <w:fldChar w:fldCharType="separate"/>
      </w:r>
      <w:r>
        <w:rPr>
          <w:rStyle w:val="30"/>
          <w:rFonts w:ascii="黑体" w:hAnsi="黑体" w:eastAsia="黑体"/>
          <w:b/>
          <w:color w:val="auto"/>
        </w:rPr>
        <w:t xml:space="preserve">2. </w:t>
      </w:r>
      <w:r>
        <w:rPr>
          <w:rStyle w:val="30"/>
          <w:rFonts w:hint="eastAsia" w:ascii="黑体" w:hAnsi="黑体" w:eastAsia="黑体"/>
          <w:b/>
          <w:color w:val="auto"/>
        </w:rPr>
        <w:t>标段内容（范围）及具体采购需求</w:t>
      </w:r>
      <w:r>
        <w:rPr>
          <w:color w:val="auto"/>
        </w:rPr>
        <w:tab/>
      </w:r>
      <w:r>
        <w:rPr>
          <w:color w:val="auto"/>
        </w:rPr>
        <w:fldChar w:fldCharType="begin"/>
      </w:r>
      <w:r>
        <w:rPr>
          <w:color w:val="auto"/>
        </w:rPr>
        <w:instrText xml:space="preserve"> PAGEREF _Toc529805751 \h </w:instrText>
      </w:r>
      <w:r>
        <w:rPr>
          <w:color w:val="auto"/>
        </w:rPr>
        <w:fldChar w:fldCharType="separate"/>
      </w:r>
      <w:r>
        <w:rPr>
          <w:color w:val="auto"/>
        </w:rPr>
        <w:t>5</w:t>
      </w:r>
      <w:r>
        <w:rPr>
          <w:color w:val="auto"/>
        </w:rPr>
        <w:fldChar w:fldCharType="end"/>
      </w:r>
      <w:r>
        <w:rPr>
          <w:color w:val="auto"/>
        </w:rPr>
        <w:fldChar w:fldCharType="end"/>
      </w:r>
    </w:p>
    <w:p>
      <w:pPr>
        <w:pStyle w:val="17"/>
        <w:tabs>
          <w:tab w:val="right" w:leader="dot" w:pos="9371"/>
        </w:tabs>
        <w:rPr>
          <w:rFonts w:ascii="Calibri" w:hAnsi="Calibri"/>
          <w:color w:val="auto"/>
          <w:kern w:val="2"/>
          <w:szCs w:val="22"/>
        </w:rPr>
      </w:pPr>
      <w:r>
        <w:fldChar w:fldCharType="begin"/>
      </w:r>
      <w:r>
        <w:instrText xml:space="preserve"> HYPERLINK \l "_Toc529805752" </w:instrText>
      </w:r>
      <w:r>
        <w:fldChar w:fldCharType="separate"/>
      </w:r>
      <w:r>
        <w:rPr>
          <w:rStyle w:val="30"/>
          <w:rFonts w:ascii="黑体" w:hAnsi="黑体" w:eastAsia="黑体"/>
          <w:b/>
          <w:color w:val="auto"/>
        </w:rPr>
        <w:t xml:space="preserve">3. </w:t>
      </w:r>
      <w:r>
        <w:rPr>
          <w:rStyle w:val="30"/>
          <w:rFonts w:hint="eastAsia" w:ascii="黑体" w:hAnsi="黑体" w:eastAsia="黑体"/>
          <w:b/>
          <w:color w:val="auto"/>
        </w:rPr>
        <w:t>项目其他要求</w:t>
      </w:r>
      <w:r>
        <w:rPr>
          <w:color w:val="auto"/>
        </w:rPr>
        <w:tab/>
      </w:r>
      <w:r>
        <w:rPr>
          <w:color w:val="auto"/>
        </w:rPr>
        <w:fldChar w:fldCharType="begin"/>
      </w:r>
      <w:r>
        <w:rPr>
          <w:color w:val="auto"/>
        </w:rPr>
        <w:instrText xml:space="preserve"> PAGEREF _Toc529805752 \h </w:instrText>
      </w:r>
      <w:r>
        <w:rPr>
          <w:color w:val="auto"/>
        </w:rPr>
        <w:fldChar w:fldCharType="separate"/>
      </w:r>
      <w:r>
        <w:rPr>
          <w:color w:val="auto"/>
        </w:rPr>
        <w:t>21</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"_Toc529805753" </w:instrText>
      </w:r>
      <w:r>
        <w:fldChar w:fldCharType="separate"/>
      </w:r>
      <w:r>
        <w:rPr>
          <w:rStyle w:val="30"/>
          <w:rFonts w:hint="eastAsia" w:eastAsia="黑体"/>
          <w:b/>
          <w:color w:val="auto"/>
        </w:rPr>
        <w:t>第三章投标人须知</w:t>
      </w:r>
      <w:r>
        <w:rPr>
          <w:color w:val="auto"/>
        </w:rPr>
        <w:tab/>
      </w:r>
      <w:r>
        <w:rPr>
          <w:color w:val="auto"/>
        </w:rPr>
        <w:fldChar w:fldCharType="begin"/>
      </w:r>
      <w:r>
        <w:rPr>
          <w:color w:val="auto"/>
        </w:rPr>
        <w:instrText xml:space="preserve"> PAGEREF _Toc529805753 \h </w:instrText>
      </w:r>
      <w:r>
        <w:rPr>
          <w:color w:val="auto"/>
        </w:rPr>
        <w:fldChar w:fldCharType="separate"/>
      </w:r>
      <w:r>
        <w:rPr>
          <w:color w:val="auto"/>
        </w:rPr>
        <w:t>22</w:t>
      </w:r>
      <w:r>
        <w:rPr>
          <w:color w:val="auto"/>
        </w:rPr>
        <w:fldChar w:fldCharType="end"/>
      </w:r>
      <w:r>
        <w:rPr>
          <w:color w:val="auto"/>
        </w:rPr>
        <w:fldChar w:fldCharType="end"/>
      </w:r>
    </w:p>
    <w:p>
      <w:pPr>
        <w:pStyle w:val="17"/>
        <w:tabs>
          <w:tab w:val="right" w:leader="dot" w:pos="9371"/>
        </w:tabs>
        <w:rPr>
          <w:rFonts w:ascii="Calibri" w:hAnsi="Calibri"/>
          <w:color w:val="auto"/>
          <w:kern w:val="2"/>
          <w:szCs w:val="22"/>
        </w:rPr>
      </w:pPr>
      <w:r>
        <w:fldChar w:fldCharType="begin"/>
      </w:r>
      <w:r>
        <w:instrText xml:space="preserve"> HYPERLINK \l "_Toc529805754" </w:instrText>
      </w:r>
      <w:r>
        <w:fldChar w:fldCharType="separate"/>
      </w:r>
      <w:r>
        <w:rPr>
          <w:rStyle w:val="30"/>
          <w:rFonts w:hint="eastAsia" w:eastAsia="黑体"/>
          <w:b/>
          <w:color w:val="auto"/>
        </w:rPr>
        <w:t>投标人须知前附表</w:t>
      </w:r>
      <w:r>
        <w:rPr>
          <w:color w:val="auto"/>
        </w:rPr>
        <w:tab/>
      </w:r>
      <w:r>
        <w:rPr>
          <w:color w:val="auto"/>
        </w:rPr>
        <w:fldChar w:fldCharType="begin"/>
      </w:r>
      <w:r>
        <w:rPr>
          <w:color w:val="auto"/>
        </w:rPr>
        <w:instrText xml:space="preserve"> PAGEREF _Toc529805754 \h </w:instrText>
      </w:r>
      <w:r>
        <w:rPr>
          <w:color w:val="auto"/>
        </w:rPr>
        <w:fldChar w:fldCharType="separate"/>
      </w:r>
      <w:r>
        <w:rPr>
          <w:color w:val="auto"/>
        </w:rPr>
        <w:t>22</w:t>
      </w:r>
      <w:r>
        <w:rPr>
          <w:color w:val="auto"/>
        </w:rPr>
        <w:fldChar w:fldCharType="end"/>
      </w:r>
      <w:r>
        <w:rPr>
          <w:color w:val="auto"/>
        </w:rPr>
        <w:fldChar w:fldCharType="end"/>
      </w:r>
    </w:p>
    <w:p>
      <w:pPr>
        <w:pStyle w:val="17"/>
        <w:tabs>
          <w:tab w:val="right" w:leader="dot" w:pos="9371"/>
        </w:tabs>
        <w:rPr>
          <w:rFonts w:ascii="Calibri" w:hAnsi="Calibri"/>
          <w:color w:val="auto"/>
          <w:kern w:val="2"/>
          <w:szCs w:val="22"/>
        </w:rPr>
      </w:pPr>
      <w:r>
        <w:fldChar w:fldCharType="begin"/>
      </w:r>
      <w:r>
        <w:instrText xml:space="preserve"> HYPERLINK \l "_Toc529805755" </w:instrText>
      </w:r>
      <w:r>
        <w:fldChar w:fldCharType="separate"/>
      </w:r>
      <w:r>
        <w:rPr>
          <w:rStyle w:val="30"/>
          <w:rFonts w:ascii="黑体" w:hAnsi="黑体" w:eastAsia="黑体" w:cs="楷体_GB2312"/>
          <w:b/>
          <w:bCs/>
          <w:color w:val="auto"/>
          <w:lang w:val="zh-CN"/>
        </w:rPr>
        <w:t xml:space="preserve">1 </w:t>
      </w:r>
      <w:r>
        <w:rPr>
          <w:rStyle w:val="30"/>
          <w:rFonts w:hint="eastAsia" w:ascii="黑体" w:hAnsi="黑体" w:eastAsia="黑体" w:cs="楷体_GB2312"/>
          <w:b/>
          <w:bCs/>
          <w:color w:val="auto"/>
          <w:lang w:val="zh-CN"/>
        </w:rPr>
        <w:t>总则</w:t>
      </w:r>
      <w:r>
        <w:rPr>
          <w:color w:val="auto"/>
        </w:rPr>
        <w:tab/>
      </w:r>
      <w:r>
        <w:rPr>
          <w:color w:val="auto"/>
        </w:rPr>
        <w:fldChar w:fldCharType="begin"/>
      </w:r>
      <w:r>
        <w:rPr>
          <w:color w:val="auto"/>
        </w:rPr>
        <w:instrText xml:space="preserve"> PAGEREF _Toc529805755 \h </w:instrText>
      </w:r>
      <w:r>
        <w:rPr>
          <w:color w:val="auto"/>
        </w:rPr>
        <w:fldChar w:fldCharType="separate"/>
      </w:r>
      <w:r>
        <w:rPr>
          <w:color w:val="auto"/>
        </w:rPr>
        <w:t>25</w:t>
      </w:r>
      <w:r>
        <w:rPr>
          <w:color w:val="auto"/>
        </w:rPr>
        <w:fldChar w:fldCharType="end"/>
      </w:r>
      <w:r>
        <w:rPr>
          <w:color w:val="auto"/>
        </w:rPr>
        <w:fldChar w:fldCharType="end"/>
      </w:r>
    </w:p>
    <w:p>
      <w:pPr>
        <w:pStyle w:val="17"/>
        <w:tabs>
          <w:tab w:val="right" w:leader="dot" w:pos="9371"/>
        </w:tabs>
        <w:rPr>
          <w:rFonts w:ascii="Calibri" w:hAnsi="Calibri"/>
          <w:color w:val="auto"/>
          <w:kern w:val="2"/>
          <w:szCs w:val="22"/>
        </w:rPr>
      </w:pPr>
      <w:r>
        <w:fldChar w:fldCharType="begin"/>
      </w:r>
      <w:r>
        <w:instrText xml:space="preserve"> HYPERLINK \l "_Toc529805756" </w:instrText>
      </w:r>
      <w:r>
        <w:fldChar w:fldCharType="separate"/>
      </w:r>
      <w:r>
        <w:rPr>
          <w:rStyle w:val="30"/>
          <w:rFonts w:ascii="黑体" w:hAnsi="黑体" w:eastAsia="黑体" w:cs="楷体_GB2312"/>
          <w:b/>
          <w:bCs/>
          <w:color w:val="auto"/>
          <w:lang w:val="zh-CN"/>
        </w:rPr>
        <w:t xml:space="preserve">2 </w:t>
      </w:r>
      <w:r>
        <w:rPr>
          <w:rStyle w:val="30"/>
          <w:rFonts w:hint="eastAsia" w:ascii="黑体" w:hAnsi="黑体" w:eastAsia="黑体" w:cs="楷体_GB2312"/>
          <w:b/>
          <w:bCs/>
          <w:color w:val="auto"/>
          <w:lang w:val="zh-CN"/>
        </w:rPr>
        <w:t>招标文件</w:t>
      </w:r>
      <w:r>
        <w:rPr>
          <w:color w:val="auto"/>
        </w:rPr>
        <w:tab/>
      </w:r>
      <w:r>
        <w:rPr>
          <w:color w:val="auto"/>
        </w:rPr>
        <w:fldChar w:fldCharType="begin"/>
      </w:r>
      <w:r>
        <w:rPr>
          <w:color w:val="auto"/>
        </w:rPr>
        <w:instrText xml:space="preserve"> PAGEREF _Toc529805756 \h </w:instrText>
      </w:r>
      <w:r>
        <w:rPr>
          <w:color w:val="auto"/>
        </w:rPr>
        <w:fldChar w:fldCharType="separate"/>
      </w:r>
      <w:r>
        <w:rPr>
          <w:color w:val="auto"/>
        </w:rPr>
        <w:t>28</w:t>
      </w:r>
      <w:r>
        <w:rPr>
          <w:color w:val="auto"/>
        </w:rPr>
        <w:fldChar w:fldCharType="end"/>
      </w:r>
      <w:r>
        <w:rPr>
          <w:color w:val="auto"/>
        </w:rPr>
        <w:fldChar w:fldCharType="end"/>
      </w:r>
    </w:p>
    <w:p>
      <w:pPr>
        <w:pStyle w:val="17"/>
        <w:tabs>
          <w:tab w:val="right" w:leader="dot" w:pos="9371"/>
        </w:tabs>
        <w:rPr>
          <w:rFonts w:ascii="Calibri" w:hAnsi="Calibri"/>
          <w:color w:val="auto"/>
          <w:kern w:val="2"/>
          <w:szCs w:val="22"/>
        </w:rPr>
      </w:pPr>
      <w:r>
        <w:fldChar w:fldCharType="begin"/>
      </w:r>
      <w:r>
        <w:instrText xml:space="preserve"> HYPERLINK \l "_Toc529805757" </w:instrText>
      </w:r>
      <w:r>
        <w:fldChar w:fldCharType="separate"/>
      </w:r>
      <w:r>
        <w:rPr>
          <w:rStyle w:val="30"/>
          <w:rFonts w:ascii="黑体" w:hAnsi="黑体" w:eastAsia="黑体" w:cs="楷体_GB2312"/>
          <w:b/>
          <w:bCs/>
          <w:color w:val="auto"/>
          <w:lang w:val="zh-CN"/>
        </w:rPr>
        <w:t xml:space="preserve">3 </w:t>
      </w:r>
      <w:r>
        <w:rPr>
          <w:rStyle w:val="30"/>
          <w:rFonts w:hint="eastAsia" w:ascii="黑体" w:hAnsi="黑体" w:eastAsia="黑体" w:cs="楷体_GB2312"/>
          <w:b/>
          <w:bCs/>
          <w:color w:val="auto"/>
          <w:lang w:val="zh-CN"/>
        </w:rPr>
        <w:t>投标文件</w:t>
      </w:r>
      <w:r>
        <w:rPr>
          <w:color w:val="auto"/>
        </w:rPr>
        <w:tab/>
      </w:r>
      <w:r>
        <w:rPr>
          <w:color w:val="auto"/>
        </w:rPr>
        <w:fldChar w:fldCharType="begin"/>
      </w:r>
      <w:r>
        <w:rPr>
          <w:color w:val="auto"/>
        </w:rPr>
        <w:instrText xml:space="preserve"> PAGEREF _Toc529805757 \h </w:instrText>
      </w:r>
      <w:r>
        <w:rPr>
          <w:color w:val="auto"/>
        </w:rPr>
        <w:fldChar w:fldCharType="separate"/>
      </w:r>
      <w:r>
        <w:rPr>
          <w:color w:val="auto"/>
        </w:rPr>
        <w:t>29</w:t>
      </w:r>
      <w:r>
        <w:rPr>
          <w:color w:val="auto"/>
        </w:rPr>
        <w:fldChar w:fldCharType="end"/>
      </w:r>
      <w:r>
        <w:rPr>
          <w:color w:val="auto"/>
        </w:rPr>
        <w:fldChar w:fldCharType="end"/>
      </w:r>
    </w:p>
    <w:p>
      <w:pPr>
        <w:pStyle w:val="17"/>
        <w:tabs>
          <w:tab w:val="right" w:leader="dot" w:pos="9371"/>
        </w:tabs>
        <w:rPr>
          <w:rFonts w:ascii="Calibri" w:hAnsi="Calibri"/>
          <w:color w:val="auto"/>
          <w:kern w:val="2"/>
          <w:szCs w:val="22"/>
        </w:rPr>
      </w:pPr>
      <w:r>
        <w:fldChar w:fldCharType="begin"/>
      </w:r>
      <w:r>
        <w:instrText xml:space="preserve"> HYPERLINK \l "_Toc529805758" </w:instrText>
      </w:r>
      <w:r>
        <w:fldChar w:fldCharType="separate"/>
      </w:r>
      <w:r>
        <w:rPr>
          <w:rStyle w:val="30"/>
          <w:rFonts w:ascii="黑体" w:hAnsi="黑体" w:eastAsia="黑体" w:cs="楷体_GB2312"/>
          <w:b/>
          <w:bCs/>
          <w:color w:val="auto"/>
          <w:lang w:val="zh-CN"/>
        </w:rPr>
        <w:t xml:space="preserve">4 </w:t>
      </w:r>
      <w:r>
        <w:rPr>
          <w:rStyle w:val="30"/>
          <w:rFonts w:hint="eastAsia" w:ascii="黑体" w:hAnsi="黑体" w:eastAsia="黑体" w:cs="楷体_GB2312"/>
          <w:b/>
          <w:bCs/>
          <w:color w:val="auto"/>
          <w:lang w:val="zh-CN"/>
        </w:rPr>
        <w:t>投标</w:t>
      </w:r>
      <w:r>
        <w:rPr>
          <w:color w:val="auto"/>
        </w:rPr>
        <w:tab/>
      </w:r>
      <w:r>
        <w:rPr>
          <w:color w:val="auto"/>
        </w:rPr>
        <w:fldChar w:fldCharType="begin"/>
      </w:r>
      <w:r>
        <w:rPr>
          <w:color w:val="auto"/>
        </w:rPr>
        <w:instrText xml:space="preserve"> PAGEREF _Toc529805758 \h </w:instrText>
      </w:r>
      <w:r>
        <w:rPr>
          <w:color w:val="auto"/>
        </w:rPr>
        <w:fldChar w:fldCharType="separate"/>
      </w:r>
      <w:r>
        <w:rPr>
          <w:color w:val="auto"/>
        </w:rPr>
        <w:t>32</w:t>
      </w:r>
      <w:r>
        <w:rPr>
          <w:color w:val="auto"/>
        </w:rPr>
        <w:fldChar w:fldCharType="end"/>
      </w:r>
      <w:r>
        <w:rPr>
          <w:color w:val="auto"/>
        </w:rPr>
        <w:fldChar w:fldCharType="end"/>
      </w:r>
    </w:p>
    <w:p>
      <w:pPr>
        <w:pStyle w:val="17"/>
        <w:tabs>
          <w:tab w:val="right" w:leader="dot" w:pos="9371"/>
        </w:tabs>
        <w:rPr>
          <w:rFonts w:ascii="Calibri" w:hAnsi="Calibri"/>
          <w:color w:val="auto"/>
          <w:kern w:val="2"/>
          <w:szCs w:val="22"/>
        </w:rPr>
      </w:pPr>
      <w:r>
        <w:fldChar w:fldCharType="begin"/>
      </w:r>
      <w:r>
        <w:instrText xml:space="preserve"> HYPERLINK \l "_Toc529805759" </w:instrText>
      </w:r>
      <w:r>
        <w:fldChar w:fldCharType="separate"/>
      </w:r>
      <w:r>
        <w:rPr>
          <w:rStyle w:val="30"/>
          <w:rFonts w:ascii="黑体" w:hAnsi="黑体" w:eastAsia="黑体" w:cs="楷体_GB2312"/>
          <w:b/>
          <w:bCs/>
          <w:color w:val="auto"/>
          <w:lang w:val="zh-CN"/>
        </w:rPr>
        <w:t xml:space="preserve">5 </w:t>
      </w:r>
      <w:r>
        <w:rPr>
          <w:rStyle w:val="30"/>
          <w:rFonts w:hint="eastAsia" w:ascii="黑体" w:hAnsi="黑体" w:eastAsia="黑体" w:cs="楷体_GB2312"/>
          <w:b/>
          <w:bCs/>
          <w:color w:val="auto"/>
          <w:lang w:val="zh-CN"/>
        </w:rPr>
        <w:t>开标</w:t>
      </w:r>
      <w:r>
        <w:rPr>
          <w:color w:val="auto"/>
        </w:rPr>
        <w:tab/>
      </w:r>
      <w:r>
        <w:rPr>
          <w:color w:val="auto"/>
        </w:rPr>
        <w:fldChar w:fldCharType="begin"/>
      </w:r>
      <w:r>
        <w:rPr>
          <w:color w:val="auto"/>
        </w:rPr>
        <w:instrText xml:space="preserve"> PAGEREF _Toc529805759 \h </w:instrText>
      </w:r>
      <w:r>
        <w:rPr>
          <w:color w:val="auto"/>
        </w:rPr>
        <w:fldChar w:fldCharType="separate"/>
      </w:r>
      <w:r>
        <w:rPr>
          <w:color w:val="auto"/>
        </w:rPr>
        <w:t>33</w:t>
      </w:r>
      <w:r>
        <w:rPr>
          <w:color w:val="auto"/>
        </w:rPr>
        <w:fldChar w:fldCharType="end"/>
      </w:r>
      <w:r>
        <w:rPr>
          <w:color w:val="auto"/>
        </w:rPr>
        <w:fldChar w:fldCharType="end"/>
      </w:r>
    </w:p>
    <w:p>
      <w:pPr>
        <w:pStyle w:val="17"/>
        <w:tabs>
          <w:tab w:val="right" w:leader="dot" w:pos="9371"/>
        </w:tabs>
        <w:rPr>
          <w:rFonts w:ascii="Calibri" w:hAnsi="Calibri"/>
          <w:color w:val="auto"/>
          <w:kern w:val="2"/>
          <w:szCs w:val="22"/>
        </w:rPr>
      </w:pPr>
      <w:r>
        <w:fldChar w:fldCharType="begin"/>
      </w:r>
      <w:r>
        <w:instrText xml:space="preserve"> HYPERLINK \l "_Toc529805760" </w:instrText>
      </w:r>
      <w:r>
        <w:fldChar w:fldCharType="separate"/>
      </w:r>
      <w:r>
        <w:rPr>
          <w:rStyle w:val="30"/>
          <w:rFonts w:ascii="黑体" w:hAnsi="黑体" w:eastAsia="黑体" w:cs="楷体_GB2312"/>
          <w:b/>
          <w:bCs/>
          <w:color w:val="auto"/>
          <w:lang w:val="zh-CN"/>
        </w:rPr>
        <w:t xml:space="preserve">6 </w:t>
      </w:r>
      <w:r>
        <w:rPr>
          <w:rStyle w:val="30"/>
          <w:rFonts w:hint="eastAsia" w:ascii="黑体" w:hAnsi="黑体" w:eastAsia="黑体" w:cs="楷体_GB2312"/>
          <w:b/>
          <w:bCs/>
          <w:color w:val="auto"/>
          <w:lang w:val="zh-CN"/>
        </w:rPr>
        <w:t>资格性审查</w:t>
      </w:r>
      <w:r>
        <w:rPr>
          <w:color w:val="auto"/>
        </w:rPr>
        <w:tab/>
      </w:r>
      <w:r>
        <w:rPr>
          <w:color w:val="auto"/>
        </w:rPr>
        <w:fldChar w:fldCharType="begin"/>
      </w:r>
      <w:r>
        <w:rPr>
          <w:color w:val="auto"/>
        </w:rPr>
        <w:instrText xml:space="preserve"> PAGEREF _Toc529805760 \h </w:instrText>
      </w:r>
      <w:r>
        <w:rPr>
          <w:color w:val="auto"/>
        </w:rPr>
        <w:fldChar w:fldCharType="separate"/>
      </w:r>
      <w:r>
        <w:rPr>
          <w:color w:val="auto"/>
        </w:rPr>
        <w:t>34</w:t>
      </w:r>
      <w:r>
        <w:rPr>
          <w:color w:val="auto"/>
        </w:rPr>
        <w:fldChar w:fldCharType="end"/>
      </w:r>
      <w:r>
        <w:rPr>
          <w:color w:val="auto"/>
        </w:rPr>
        <w:fldChar w:fldCharType="end"/>
      </w:r>
    </w:p>
    <w:p>
      <w:pPr>
        <w:pStyle w:val="17"/>
        <w:tabs>
          <w:tab w:val="right" w:leader="dot" w:pos="9371"/>
        </w:tabs>
        <w:rPr>
          <w:rFonts w:ascii="Calibri" w:hAnsi="Calibri"/>
          <w:color w:val="auto"/>
          <w:kern w:val="2"/>
          <w:szCs w:val="22"/>
        </w:rPr>
      </w:pPr>
      <w:r>
        <w:fldChar w:fldCharType="begin"/>
      </w:r>
      <w:r>
        <w:instrText xml:space="preserve"> HYPERLINK \l "_Toc529805761" </w:instrText>
      </w:r>
      <w:r>
        <w:fldChar w:fldCharType="separate"/>
      </w:r>
      <w:r>
        <w:rPr>
          <w:rStyle w:val="30"/>
          <w:rFonts w:ascii="黑体" w:hAnsi="黑体" w:eastAsia="黑体" w:cs="楷体_GB2312"/>
          <w:b/>
          <w:bCs/>
          <w:color w:val="auto"/>
          <w:lang w:val="zh-CN"/>
        </w:rPr>
        <w:t xml:space="preserve">7 </w:t>
      </w:r>
      <w:r>
        <w:rPr>
          <w:rStyle w:val="30"/>
          <w:rFonts w:hint="eastAsia" w:ascii="黑体" w:hAnsi="黑体" w:eastAsia="黑体" w:cs="楷体_GB2312"/>
          <w:b/>
          <w:bCs/>
          <w:color w:val="auto"/>
          <w:lang w:val="zh-CN"/>
        </w:rPr>
        <w:t>评审</w:t>
      </w:r>
      <w:r>
        <w:rPr>
          <w:color w:val="auto"/>
        </w:rPr>
        <w:tab/>
      </w:r>
      <w:r>
        <w:rPr>
          <w:color w:val="auto"/>
        </w:rPr>
        <w:fldChar w:fldCharType="begin"/>
      </w:r>
      <w:r>
        <w:rPr>
          <w:color w:val="auto"/>
        </w:rPr>
        <w:instrText xml:space="preserve"> PAGEREF _Toc529805761 \h </w:instrText>
      </w:r>
      <w:r>
        <w:rPr>
          <w:color w:val="auto"/>
        </w:rPr>
        <w:fldChar w:fldCharType="separate"/>
      </w:r>
      <w:r>
        <w:rPr>
          <w:color w:val="auto"/>
        </w:rPr>
        <w:t>34</w:t>
      </w:r>
      <w:r>
        <w:rPr>
          <w:color w:val="auto"/>
        </w:rPr>
        <w:fldChar w:fldCharType="end"/>
      </w:r>
      <w:r>
        <w:rPr>
          <w:color w:val="auto"/>
        </w:rPr>
        <w:fldChar w:fldCharType="end"/>
      </w:r>
    </w:p>
    <w:p>
      <w:pPr>
        <w:pStyle w:val="17"/>
        <w:tabs>
          <w:tab w:val="right" w:leader="dot" w:pos="9371"/>
        </w:tabs>
        <w:rPr>
          <w:rFonts w:ascii="Calibri" w:hAnsi="Calibri"/>
          <w:color w:val="auto"/>
          <w:kern w:val="2"/>
          <w:szCs w:val="22"/>
        </w:rPr>
      </w:pPr>
      <w:r>
        <w:fldChar w:fldCharType="begin"/>
      </w:r>
      <w:r>
        <w:instrText xml:space="preserve"> HYPERLINK \l "_Toc529805762" </w:instrText>
      </w:r>
      <w:r>
        <w:fldChar w:fldCharType="separate"/>
      </w:r>
      <w:r>
        <w:rPr>
          <w:rStyle w:val="30"/>
          <w:rFonts w:ascii="黑体" w:hAnsi="黑体" w:eastAsia="黑体" w:cs="楷体_GB2312"/>
          <w:b/>
          <w:bCs/>
          <w:color w:val="auto"/>
          <w:lang w:val="zh-CN"/>
        </w:rPr>
        <w:t xml:space="preserve">8 </w:t>
      </w:r>
      <w:r>
        <w:rPr>
          <w:rStyle w:val="30"/>
          <w:rFonts w:hint="eastAsia" w:ascii="黑体" w:hAnsi="黑体" w:eastAsia="黑体" w:cs="楷体_GB2312"/>
          <w:b/>
          <w:bCs/>
          <w:color w:val="auto"/>
          <w:lang w:val="zh-CN"/>
        </w:rPr>
        <w:t>授予合同</w:t>
      </w:r>
      <w:r>
        <w:rPr>
          <w:color w:val="auto"/>
        </w:rPr>
        <w:tab/>
      </w:r>
      <w:r>
        <w:rPr>
          <w:color w:val="auto"/>
        </w:rPr>
        <w:fldChar w:fldCharType="begin"/>
      </w:r>
      <w:r>
        <w:rPr>
          <w:color w:val="auto"/>
        </w:rPr>
        <w:instrText xml:space="preserve"> PAGEREF _Toc529805762 \h </w:instrText>
      </w:r>
      <w:r>
        <w:rPr>
          <w:color w:val="auto"/>
        </w:rPr>
        <w:fldChar w:fldCharType="separate"/>
      </w:r>
      <w:r>
        <w:rPr>
          <w:color w:val="auto"/>
        </w:rPr>
        <w:t>35</w:t>
      </w:r>
      <w:r>
        <w:rPr>
          <w:color w:val="auto"/>
        </w:rPr>
        <w:fldChar w:fldCharType="end"/>
      </w:r>
      <w:r>
        <w:rPr>
          <w:color w:val="auto"/>
        </w:rPr>
        <w:fldChar w:fldCharType="end"/>
      </w:r>
    </w:p>
    <w:p>
      <w:pPr>
        <w:pStyle w:val="17"/>
        <w:tabs>
          <w:tab w:val="right" w:leader="dot" w:pos="9371"/>
        </w:tabs>
        <w:rPr>
          <w:rFonts w:ascii="Calibri" w:hAnsi="Calibri"/>
          <w:color w:val="auto"/>
          <w:kern w:val="2"/>
          <w:szCs w:val="22"/>
        </w:rPr>
      </w:pPr>
      <w:r>
        <w:fldChar w:fldCharType="begin"/>
      </w:r>
      <w:r>
        <w:instrText xml:space="preserve"> HYPERLINK \l "_Toc529805763" </w:instrText>
      </w:r>
      <w:r>
        <w:fldChar w:fldCharType="separate"/>
      </w:r>
      <w:r>
        <w:rPr>
          <w:rStyle w:val="30"/>
          <w:rFonts w:ascii="黑体" w:hAnsi="黑体" w:eastAsia="黑体" w:cs="楷体_GB2312"/>
          <w:b/>
          <w:bCs/>
          <w:color w:val="auto"/>
          <w:lang w:val="zh-CN"/>
        </w:rPr>
        <w:t xml:space="preserve">9 </w:t>
      </w:r>
      <w:r>
        <w:rPr>
          <w:rStyle w:val="30"/>
          <w:rFonts w:hint="eastAsia" w:ascii="黑体" w:hAnsi="黑体" w:eastAsia="黑体" w:cs="楷体_GB2312"/>
          <w:b/>
          <w:bCs/>
          <w:color w:val="auto"/>
          <w:lang w:val="zh-CN"/>
        </w:rPr>
        <w:t>考核</w:t>
      </w:r>
      <w:r>
        <w:rPr>
          <w:color w:val="auto"/>
        </w:rPr>
        <w:tab/>
      </w:r>
      <w:r>
        <w:rPr>
          <w:color w:val="auto"/>
        </w:rPr>
        <w:fldChar w:fldCharType="begin"/>
      </w:r>
      <w:r>
        <w:rPr>
          <w:color w:val="auto"/>
        </w:rPr>
        <w:instrText xml:space="preserve"> PAGEREF _Toc529805763 \h </w:instrText>
      </w:r>
      <w:r>
        <w:rPr>
          <w:color w:val="auto"/>
        </w:rPr>
        <w:fldChar w:fldCharType="separate"/>
      </w:r>
      <w:r>
        <w:rPr>
          <w:color w:val="auto"/>
        </w:rPr>
        <w:t>37</w:t>
      </w:r>
      <w:r>
        <w:rPr>
          <w:color w:val="auto"/>
        </w:rPr>
        <w:fldChar w:fldCharType="end"/>
      </w:r>
      <w:r>
        <w:rPr>
          <w:color w:val="auto"/>
        </w:rPr>
        <w:fldChar w:fldCharType="end"/>
      </w:r>
    </w:p>
    <w:p>
      <w:pPr>
        <w:pStyle w:val="17"/>
        <w:tabs>
          <w:tab w:val="right" w:leader="dot" w:pos="9371"/>
        </w:tabs>
        <w:rPr>
          <w:rFonts w:ascii="Calibri" w:hAnsi="Calibri"/>
          <w:color w:val="auto"/>
          <w:kern w:val="2"/>
          <w:szCs w:val="22"/>
        </w:rPr>
      </w:pPr>
      <w:r>
        <w:fldChar w:fldCharType="begin"/>
      </w:r>
      <w:r>
        <w:instrText xml:space="preserve"> HYPERLINK \l "_Toc529805764" </w:instrText>
      </w:r>
      <w:r>
        <w:fldChar w:fldCharType="separate"/>
      </w:r>
      <w:r>
        <w:rPr>
          <w:rStyle w:val="30"/>
          <w:rFonts w:ascii="黑体" w:hAnsi="黑体" w:eastAsia="黑体" w:cs="楷体_GB2312"/>
          <w:b/>
          <w:bCs/>
          <w:color w:val="auto"/>
          <w:lang w:val="zh-CN"/>
        </w:rPr>
        <w:t xml:space="preserve">10 </w:t>
      </w:r>
      <w:r>
        <w:rPr>
          <w:rStyle w:val="30"/>
          <w:rFonts w:hint="eastAsia" w:ascii="黑体" w:hAnsi="黑体" w:eastAsia="黑体" w:cs="楷体_GB2312"/>
          <w:b/>
          <w:bCs/>
          <w:color w:val="auto"/>
          <w:lang w:val="zh-CN"/>
        </w:rPr>
        <w:t>付款</w:t>
      </w:r>
      <w:r>
        <w:rPr>
          <w:color w:val="auto"/>
        </w:rPr>
        <w:tab/>
      </w:r>
      <w:r>
        <w:rPr>
          <w:color w:val="auto"/>
        </w:rPr>
        <w:fldChar w:fldCharType="begin"/>
      </w:r>
      <w:r>
        <w:rPr>
          <w:color w:val="auto"/>
        </w:rPr>
        <w:instrText xml:space="preserve"> PAGEREF _Toc529805764 \h </w:instrText>
      </w:r>
      <w:r>
        <w:rPr>
          <w:color w:val="auto"/>
        </w:rPr>
        <w:fldChar w:fldCharType="separate"/>
      </w:r>
      <w:r>
        <w:rPr>
          <w:color w:val="auto"/>
        </w:rPr>
        <w:t>37</w:t>
      </w:r>
      <w:r>
        <w:rPr>
          <w:color w:val="auto"/>
        </w:rPr>
        <w:fldChar w:fldCharType="end"/>
      </w:r>
      <w:r>
        <w:rPr>
          <w:color w:val="auto"/>
        </w:rPr>
        <w:fldChar w:fldCharType="end"/>
      </w:r>
    </w:p>
    <w:p>
      <w:pPr>
        <w:pStyle w:val="17"/>
        <w:tabs>
          <w:tab w:val="right" w:leader="dot" w:pos="9371"/>
        </w:tabs>
        <w:rPr>
          <w:rFonts w:ascii="Calibri" w:hAnsi="Calibri"/>
          <w:color w:val="auto"/>
          <w:kern w:val="2"/>
          <w:szCs w:val="22"/>
        </w:rPr>
      </w:pPr>
      <w:r>
        <w:fldChar w:fldCharType="begin"/>
      </w:r>
      <w:r>
        <w:instrText xml:space="preserve"> HYPERLINK \l "_Toc529805765" </w:instrText>
      </w:r>
      <w:r>
        <w:fldChar w:fldCharType="separate"/>
      </w:r>
      <w:r>
        <w:rPr>
          <w:rStyle w:val="30"/>
          <w:rFonts w:ascii="黑体" w:hAnsi="黑体" w:eastAsia="黑体" w:cs="楷体_GB2312"/>
          <w:b/>
          <w:bCs/>
          <w:color w:val="auto"/>
          <w:lang w:val="zh-CN"/>
        </w:rPr>
        <w:t xml:space="preserve">11 </w:t>
      </w:r>
      <w:r>
        <w:rPr>
          <w:rStyle w:val="30"/>
          <w:rFonts w:hint="eastAsia" w:ascii="黑体" w:hAnsi="黑体" w:eastAsia="黑体" w:cs="楷体_GB2312"/>
          <w:b/>
          <w:bCs/>
          <w:color w:val="auto"/>
          <w:lang w:val="zh-CN"/>
        </w:rPr>
        <w:t>其他</w:t>
      </w:r>
      <w:r>
        <w:rPr>
          <w:color w:val="auto"/>
        </w:rPr>
        <w:tab/>
      </w:r>
      <w:r>
        <w:rPr>
          <w:color w:val="auto"/>
        </w:rPr>
        <w:fldChar w:fldCharType="begin"/>
      </w:r>
      <w:r>
        <w:rPr>
          <w:color w:val="auto"/>
        </w:rPr>
        <w:instrText xml:space="preserve"> PAGEREF _Toc529805765 \h </w:instrText>
      </w:r>
      <w:r>
        <w:rPr>
          <w:color w:val="auto"/>
        </w:rPr>
        <w:fldChar w:fldCharType="separate"/>
      </w:r>
      <w:r>
        <w:rPr>
          <w:color w:val="auto"/>
        </w:rPr>
        <w:t>37</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"_Toc529805766" </w:instrText>
      </w:r>
      <w:r>
        <w:fldChar w:fldCharType="separate"/>
      </w:r>
      <w:r>
        <w:rPr>
          <w:rStyle w:val="30"/>
          <w:rFonts w:hint="eastAsia" w:ascii="黑体" w:hAnsi="黑体" w:eastAsia="黑体"/>
          <w:b/>
          <w:color w:val="auto"/>
          <w:lang w:val="zh-CN"/>
        </w:rPr>
        <w:t>第四章评标办法</w:t>
      </w:r>
      <w:r>
        <w:rPr>
          <w:color w:val="auto"/>
        </w:rPr>
        <w:tab/>
      </w:r>
      <w:r>
        <w:rPr>
          <w:color w:val="auto"/>
        </w:rPr>
        <w:fldChar w:fldCharType="begin"/>
      </w:r>
      <w:r>
        <w:rPr>
          <w:color w:val="auto"/>
        </w:rPr>
        <w:instrText xml:space="preserve"> PAGEREF _Toc529805766 \h </w:instrText>
      </w:r>
      <w:r>
        <w:rPr>
          <w:color w:val="auto"/>
        </w:rPr>
        <w:fldChar w:fldCharType="separate"/>
      </w:r>
      <w:r>
        <w:rPr>
          <w:color w:val="auto"/>
        </w:rPr>
        <w:t>38</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"_Toc529805772" </w:instrText>
      </w:r>
      <w:r>
        <w:fldChar w:fldCharType="separate"/>
      </w:r>
      <w:r>
        <w:rPr>
          <w:rStyle w:val="30"/>
          <w:rFonts w:hint="eastAsia" w:ascii="黑体" w:eastAsia="黑体"/>
          <w:b/>
          <w:color w:val="auto"/>
        </w:rPr>
        <w:t>第五章合同主要条款</w:t>
      </w:r>
      <w:r>
        <w:rPr>
          <w:color w:val="auto"/>
        </w:rPr>
        <w:tab/>
      </w:r>
      <w:r>
        <w:rPr>
          <w:color w:val="auto"/>
        </w:rPr>
        <w:fldChar w:fldCharType="begin"/>
      </w:r>
      <w:r>
        <w:rPr>
          <w:color w:val="auto"/>
        </w:rPr>
        <w:instrText xml:space="preserve"> PAGEREF _Toc529805772 \h </w:instrText>
      </w:r>
      <w:r>
        <w:rPr>
          <w:color w:val="auto"/>
        </w:rPr>
        <w:fldChar w:fldCharType="separate"/>
      </w:r>
      <w:r>
        <w:rPr>
          <w:color w:val="auto"/>
        </w:rPr>
        <w:t>48</w:t>
      </w:r>
      <w:r>
        <w:rPr>
          <w:color w:val="auto"/>
        </w:rPr>
        <w:fldChar w:fldCharType="end"/>
      </w:r>
      <w:r>
        <w:rPr>
          <w:color w:val="auto"/>
        </w:rPr>
        <w:fldChar w:fldCharType="end"/>
      </w:r>
    </w:p>
    <w:p>
      <w:pPr>
        <w:pStyle w:val="16"/>
        <w:tabs>
          <w:tab w:val="right" w:leader="dot" w:pos="9371"/>
        </w:tabs>
        <w:rPr>
          <w:rFonts w:ascii="Calibri" w:hAnsi="Calibri"/>
          <w:color w:val="auto"/>
          <w:kern w:val="2"/>
          <w:szCs w:val="22"/>
        </w:rPr>
      </w:pPr>
      <w:r>
        <w:fldChar w:fldCharType="begin"/>
      </w:r>
      <w:r>
        <w:instrText xml:space="preserve"> HYPERLINK \l "_Toc529805773" </w:instrText>
      </w:r>
      <w:r>
        <w:fldChar w:fldCharType="separate"/>
      </w:r>
      <w:r>
        <w:rPr>
          <w:rStyle w:val="30"/>
          <w:rFonts w:hint="eastAsia" w:ascii="黑体" w:hAnsi="黑体" w:eastAsia="黑体"/>
          <w:b/>
          <w:color w:val="auto"/>
          <w:lang w:val="zh-CN"/>
        </w:rPr>
        <w:t>第六章投标文件格式</w:t>
      </w:r>
      <w:r>
        <w:rPr>
          <w:color w:val="auto"/>
        </w:rPr>
        <w:tab/>
      </w:r>
      <w:r>
        <w:rPr>
          <w:color w:val="auto"/>
        </w:rPr>
        <w:fldChar w:fldCharType="begin"/>
      </w:r>
      <w:r>
        <w:rPr>
          <w:color w:val="auto"/>
        </w:rPr>
        <w:instrText xml:space="preserve"> PAGEREF _Toc529805773 \h </w:instrText>
      </w:r>
      <w:r>
        <w:rPr>
          <w:color w:val="auto"/>
        </w:rPr>
        <w:fldChar w:fldCharType="separate"/>
      </w:r>
      <w:r>
        <w:rPr>
          <w:color w:val="auto"/>
        </w:rPr>
        <w:t>52</w:t>
      </w:r>
      <w:r>
        <w:rPr>
          <w:color w:val="auto"/>
        </w:rPr>
        <w:fldChar w:fldCharType="end"/>
      </w:r>
      <w:r>
        <w:rPr>
          <w:color w:val="auto"/>
        </w:rPr>
        <w:fldChar w:fldCharType="end"/>
      </w:r>
    </w:p>
    <w:p>
      <w:pPr>
        <w:rPr>
          <w:color w:val="auto"/>
        </w:rPr>
      </w:pPr>
      <w:r>
        <w:rPr>
          <w:color w:val="auto"/>
        </w:rPr>
        <w:fldChar w:fldCharType="end"/>
      </w:r>
    </w:p>
    <w:p>
      <w:pPr>
        <w:widowControl w:val="0"/>
        <w:snapToGrid w:val="0"/>
        <w:spacing w:line="560" w:lineRule="exact"/>
        <w:ind w:firstLine="181" w:firstLineChars="50"/>
        <w:rPr>
          <w:rFonts w:ascii="黑体" w:eastAsia="黑体"/>
          <w:b/>
          <w:color w:val="auto"/>
          <w:sz w:val="36"/>
          <w:szCs w:val="36"/>
        </w:rPr>
        <w:sectPr>
          <w:pgSz w:w="11905" w:h="16837"/>
          <w:pgMar w:top="1418" w:right="1106" w:bottom="1418" w:left="1418" w:header="567" w:footer="567" w:gutter="0"/>
          <w:pgNumType w:fmt="numberInDash" w:start="0"/>
          <w:cols w:space="720" w:num="1"/>
          <w:titlePg/>
        </w:sectPr>
      </w:pPr>
    </w:p>
    <w:p>
      <w:pPr>
        <w:widowControl w:val="0"/>
        <w:snapToGrid w:val="0"/>
        <w:spacing w:line="560" w:lineRule="exact"/>
        <w:jc w:val="center"/>
        <w:outlineLvl w:val="0"/>
        <w:rPr>
          <w:color w:val="auto"/>
          <w:sz w:val="36"/>
          <w:szCs w:val="36"/>
        </w:rPr>
      </w:pPr>
      <w:bookmarkStart w:id="0" w:name="_Toc529805748"/>
      <w:r>
        <w:rPr>
          <w:rFonts w:hint="eastAsia" w:eastAsia="黑体"/>
          <w:b/>
          <w:color w:val="auto"/>
          <w:sz w:val="36"/>
          <w:szCs w:val="36"/>
        </w:rPr>
        <w:t>第一章招标公告</w:t>
      </w:r>
      <w:bookmarkEnd w:id="0"/>
    </w:p>
    <w:p>
      <w:pPr>
        <w:widowControl w:val="0"/>
        <w:snapToGrid w:val="0"/>
        <w:spacing w:line="560" w:lineRule="exact"/>
        <w:outlineLvl w:val="0"/>
        <w:rPr>
          <w:rFonts w:ascii="宋体"/>
          <w:b/>
          <w:sz w:val="24"/>
          <w:szCs w:val="24"/>
        </w:rPr>
      </w:pPr>
      <w:bookmarkStart w:id="1" w:name="_Toc529805749"/>
    </w:p>
    <w:p>
      <w:pPr>
        <w:widowControl w:val="0"/>
        <w:tabs>
          <w:tab w:val="left" w:pos="39"/>
          <w:tab w:val="left" w:pos="96"/>
        </w:tabs>
        <w:snapToGrid w:val="0"/>
        <w:spacing w:line="360" w:lineRule="auto"/>
        <w:rPr>
          <w:rFonts w:ascii="宋体"/>
          <w:b/>
          <w:sz w:val="24"/>
          <w:szCs w:val="24"/>
        </w:rPr>
      </w:pPr>
      <w:r>
        <w:rPr>
          <w:rFonts w:hint="eastAsia" w:ascii="宋体" w:hAnsi="宋体"/>
          <w:b/>
          <w:sz w:val="24"/>
          <w:szCs w:val="24"/>
        </w:rPr>
        <w:t>一、项目基本情况</w:t>
      </w:r>
    </w:p>
    <w:p>
      <w:pPr>
        <w:widowControl w:val="0"/>
        <w:tabs>
          <w:tab w:val="left" w:pos="39"/>
          <w:tab w:val="left" w:pos="96"/>
        </w:tabs>
        <w:snapToGrid w:val="0"/>
        <w:spacing w:line="360" w:lineRule="auto"/>
        <w:ind w:firstLine="542" w:firstLineChars="225"/>
        <w:rPr>
          <w:rFonts w:ascii="宋体"/>
          <w:b/>
          <w:sz w:val="24"/>
          <w:szCs w:val="24"/>
        </w:rPr>
      </w:pPr>
      <w:r>
        <w:rPr>
          <w:rFonts w:ascii="宋体" w:hAnsi="宋体"/>
          <w:b/>
          <w:sz w:val="24"/>
          <w:szCs w:val="24"/>
        </w:rPr>
        <w:t>1</w:t>
      </w:r>
      <w:r>
        <w:rPr>
          <w:rFonts w:hint="eastAsia" w:ascii="宋体" w:hAnsi="宋体"/>
          <w:b/>
          <w:sz w:val="24"/>
          <w:szCs w:val="24"/>
        </w:rPr>
        <w:t xml:space="preserve">、采购项目编号：安财招标采购-2020-68 </w:t>
      </w:r>
      <w:r>
        <w:rPr>
          <w:rFonts w:ascii="宋体" w:hAnsi="宋体"/>
          <w:bCs/>
          <w:sz w:val="24"/>
          <w:szCs w:val="24"/>
        </w:rPr>
        <w:t xml:space="preserve">   </w:t>
      </w:r>
      <w:r>
        <w:rPr>
          <w:rFonts w:ascii="宋体" w:hAnsi="宋体"/>
          <w:b/>
          <w:sz w:val="24"/>
          <w:szCs w:val="24"/>
        </w:rPr>
        <w:t xml:space="preserve">  </w:t>
      </w:r>
    </w:p>
    <w:p>
      <w:pPr>
        <w:widowControl w:val="0"/>
        <w:tabs>
          <w:tab w:val="left" w:pos="39"/>
          <w:tab w:val="left" w:pos="96"/>
        </w:tabs>
        <w:snapToGrid w:val="0"/>
        <w:spacing w:line="360" w:lineRule="auto"/>
        <w:ind w:firstLine="542" w:firstLineChars="225"/>
        <w:rPr>
          <w:rFonts w:hint="eastAsia" w:ascii="宋体" w:eastAsia="宋体"/>
          <w:bCs/>
          <w:sz w:val="24"/>
          <w:szCs w:val="24"/>
          <w:lang w:eastAsia="zh-CN"/>
        </w:rPr>
      </w:pPr>
      <w:r>
        <w:rPr>
          <w:rFonts w:ascii="宋体" w:hAnsi="宋体"/>
          <w:b/>
          <w:sz w:val="24"/>
          <w:szCs w:val="24"/>
        </w:rPr>
        <w:t>2</w:t>
      </w:r>
      <w:r>
        <w:rPr>
          <w:rFonts w:hint="eastAsia" w:ascii="宋体" w:hAnsi="宋体"/>
          <w:b/>
          <w:sz w:val="24"/>
          <w:szCs w:val="24"/>
        </w:rPr>
        <w:t>、采购项目名称：安阳市人民公园</w:t>
      </w:r>
      <w:r>
        <w:rPr>
          <w:rFonts w:ascii="宋体" w:hAnsi="宋体"/>
          <w:b/>
          <w:sz w:val="24"/>
          <w:szCs w:val="24"/>
        </w:rPr>
        <w:t>2021</w:t>
      </w:r>
      <w:r>
        <w:rPr>
          <w:rFonts w:hint="eastAsia" w:ascii="宋体" w:hAnsi="宋体"/>
          <w:b/>
          <w:sz w:val="24"/>
          <w:szCs w:val="24"/>
        </w:rPr>
        <w:t>年政府购买服务绿地管养项目</w:t>
      </w:r>
      <w:r>
        <w:rPr>
          <w:rFonts w:hint="eastAsia" w:ascii="宋体" w:hAnsi="宋体"/>
          <w:b/>
          <w:sz w:val="24"/>
          <w:szCs w:val="24"/>
          <w:lang w:eastAsia="zh-CN"/>
        </w:rPr>
        <w:t>二次</w:t>
      </w:r>
    </w:p>
    <w:p>
      <w:pPr>
        <w:widowControl w:val="0"/>
        <w:tabs>
          <w:tab w:val="left" w:pos="39"/>
          <w:tab w:val="left" w:pos="96"/>
        </w:tabs>
        <w:snapToGrid w:val="0"/>
        <w:spacing w:line="360" w:lineRule="auto"/>
        <w:ind w:firstLine="542" w:firstLineChars="225"/>
        <w:rPr>
          <w:rFonts w:ascii="宋体"/>
          <w:b/>
          <w:sz w:val="24"/>
          <w:szCs w:val="24"/>
        </w:rPr>
      </w:pPr>
      <w:r>
        <w:rPr>
          <w:rFonts w:ascii="宋体" w:hAnsi="宋体"/>
          <w:b/>
          <w:sz w:val="24"/>
          <w:szCs w:val="24"/>
        </w:rPr>
        <w:t>3</w:t>
      </w:r>
      <w:r>
        <w:rPr>
          <w:rFonts w:hint="eastAsia" w:ascii="宋体" w:hAnsi="宋体"/>
          <w:b/>
          <w:sz w:val="24"/>
          <w:szCs w:val="24"/>
        </w:rPr>
        <w:t>、采购方式：公开招标</w:t>
      </w:r>
    </w:p>
    <w:p>
      <w:pPr>
        <w:widowControl w:val="0"/>
        <w:tabs>
          <w:tab w:val="left" w:pos="39"/>
          <w:tab w:val="left" w:pos="96"/>
        </w:tabs>
        <w:snapToGrid w:val="0"/>
        <w:spacing w:line="360" w:lineRule="auto"/>
        <w:ind w:firstLine="542" w:firstLineChars="225"/>
        <w:rPr>
          <w:rFonts w:ascii="宋体"/>
          <w:b/>
          <w:sz w:val="24"/>
          <w:szCs w:val="24"/>
        </w:rPr>
      </w:pPr>
      <w:r>
        <w:rPr>
          <w:rFonts w:ascii="宋体" w:hAnsi="宋体"/>
          <w:b/>
          <w:sz w:val="24"/>
          <w:szCs w:val="24"/>
        </w:rPr>
        <w:t>4</w:t>
      </w:r>
      <w:r>
        <w:rPr>
          <w:rFonts w:hint="eastAsia" w:ascii="宋体" w:hAnsi="宋体"/>
          <w:b/>
          <w:sz w:val="24"/>
          <w:szCs w:val="24"/>
        </w:rPr>
        <w:t>、预算金额：</w:t>
      </w:r>
      <w:r>
        <w:rPr>
          <w:rFonts w:ascii="宋体" w:hAnsi="宋体"/>
          <w:bCs/>
          <w:sz w:val="24"/>
          <w:szCs w:val="24"/>
        </w:rPr>
        <w:t>4672800.00</w:t>
      </w:r>
      <w:r>
        <w:rPr>
          <w:rFonts w:hint="eastAsia" w:ascii="宋体" w:hAnsi="宋体"/>
          <w:bCs/>
          <w:sz w:val="24"/>
          <w:szCs w:val="24"/>
        </w:rPr>
        <w:t>元</w:t>
      </w:r>
    </w:p>
    <w:p>
      <w:pPr>
        <w:widowControl w:val="0"/>
        <w:tabs>
          <w:tab w:val="left" w:pos="39"/>
          <w:tab w:val="left" w:pos="96"/>
        </w:tabs>
        <w:snapToGrid w:val="0"/>
        <w:spacing w:line="360" w:lineRule="auto"/>
        <w:ind w:firstLine="964" w:firstLineChars="400"/>
        <w:jc w:val="left"/>
        <w:rPr>
          <w:rFonts w:ascii="宋体"/>
          <w:bCs/>
          <w:sz w:val="24"/>
          <w:szCs w:val="24"/>
        </w:rPr>
      </w:pPr>
      <w:r>
        <w:rPr>
          <w:rFonts w:hint="eastAsia" w:ascii="宋体" w:hAnsi="宋体"/>
          <w:b/>
          <w:sz w:val="24"/>
          <w:szCs w:val="24"/>
        </w:rPr>
        <w:t>最高限价：</w:t>
      </w:r>
      <w:r>
        <w:rPr>
          <w:rFonts w:ascii="宋体" w:hAnsi="宋体"/>
          <w:bCs/>
          <w:sz w:val="24"/>
          <w:szCs w:val="24"/>
        </w:rPr>
        <w:t>4672800.00</w:t>
      </w:r>
      <w:r>
        <w:rPr>
          <w:rFonts w:hint="eastAsia" w:ascii="宋体" w:hAnsi="宋体"/>
          <w:bCs/>
          <w:sz w:val="24"/>
          <w:szCs w:val="24"/>
        </w:rPr>
        <w:t>元</w:t>
      </w:r>
    </w:p>
    <w:p>
      <w:pPr>
        <w:pStyle w:val="2"/>
        <w:spacing w:line="360" w:lineRule="auto"/>
        <w:ind w:firstLine="482" w:firstLineChars="200"/>
        <w:rPr>
          <w:rFonts w:ascii="宋体"/>
          <w:b/>
          <w:color w:val="000000"/>
          <w:sz w:val="24"/>
          <w:szCs w:val="24"/>
        </w:rPr>
      </w:pPr>
      <w:r>
        <w:rPr>
          <w:rFonts w:ascii="宋体" w:hAnsi="宋体"/>
          <w:b/>
          <w:color w:val="000000"/>
          <w:sz w:val="24"/>
          <w:szCs w:val="24"/>
        </w:rPr>
        <w:t>5</w:t>
      </w:r>
      <w:r>
        <w:rPr>
          <w:rFonts w:hint="eastAsia" w:ascii="宋体" w:hAnsi="宋体"/>
          <w:b/>
          <w:color w:val="000000"/>
          <w:sz w:val="24"/>
          <w:szCs w:val="24"/>
        </w:rPr>
        <w:t>、采购需求（包括但不限于标的名称、数量、技术要求或服务要求等）</w:t>
      </w:r>
    </w:p>
    <w:p>
      <w:pPr>
        <w:pStyle w:val="2"/>
        <w:spacing w:line="360" w:lineRule="auto"/>
        <w:ind w:firstLine="480" w:firstLineChars="200"/>
        <w:rPr>
          <w:rFonts w:ascii="宋体" w:cs="宋体"/>
          <w:sz w:val="24"/>
          <w:szCs w:val="24"/>
        </w:rPr>
      </w:pPr>
      <w:r>
        <w:rPr>
          <w:rFonts w:ascii="宋体" w:hAnsi="宋体"/>
          <w:bCs/>
          <w:color w:val="000000"/>
          <w:sz w:val="24"/>
          <w:szCs w:val="24"/>
        </w:rPr>
        <w:t>5.1</w:t>
      </w:r>
      <w:r>
        <w:rPr>
          <w:rFonts w:hint="eastAsia" w:ascii="宋体" w:hAnsi="宋体"/>
          <w:bCs/>
          <w:color w:val="000000"/>
          <w:sz w:val="24"/>
          <w:szCs w:val="24"/>
        </w:rPr>
        <w:t>服务内容：绿地管养、卫生保洁、水面保洁、公厕保洁、草花、盆景养殖、动物饲养笼舍清扫、安全巡逻。</w:t>
      </w:r>
    </w:p>
    <w:p>
      <w:pPr>
        <w:pStyle w:val="2"/>
        <w:spacing w:line="360" w:lineRule="auto"/>
        <w:ind w:firstLine="480" w:firstLineChars="200"/>
        <w:rPr>
          <w:rFonts w:ascii="宋体" w:cs="宋体"/>
          <w:sz w:val="24"/>
          <w:szCs w:val="24"/>
        </w:rPr>
      </w:pPr>
      <w:r>
        <w:rPr>
          <w:rFonts w:ascii="宋体" w:hAnsi="宋体" w:cs="宋体"/>
          <w:sz w:val="24"/>
          <w:szCs w:val="24"/>
        </w:rPr>
        <w:t>5.2</w:t>
      </w:r>
      <w:r>
        <w:rPr>
          <w:rFonts w:hint="eastAsia" w:ascii="宋体" w:hAnsi="宋体" w:cs="宋体"/>
          <w:sz w:val="24"/>
          <w:szCs w:val="24"/>
        </w:rPr>
        <w:t>服务要求：详见文件内技术服务。</w:t>
      </w:r>
    </w:p>
    <w:p>
      <w:pPr>
        <w:pStyle w:val="2"/>
        <w:spacing w:line="360" w:lineRule="auto"/>
        <w:ind w:firstLine="480" w:firstLineChars="200"/>
        <w:rPr>
          <w:rFonts w:hint="eastAsia" w:ascii="宋体" w:hAnsi="宋体" w:cs="宋体"/>
          <w:sz w:val="24"/>
          <w:szCs w:val="24"/>
        </w:rPr>
      </w:pPr>
      <w:r>
        <w:rPr>
          <w:rFonts w:ascii="宋体" w:hAnsi="宋体" w:cs="宋体"/>
          <w:sz w:val="24"/>
          <w:szCs w:val="24"/>
        </w:rPr>
        <w:t>5.3</w:t>
      </w:r>
      <w:r>
        <w:rPr>
          <w:rFonts w:hint="eastAsia" w:ascii="宋体" w:hAnsi="宋体" w:cs="宋体"/>
          <w:sz w:val="24"/>
          <w:szCs w:val="24"/>
        </w:rPr>
        <w:t>服务地点：安阳市人民公园</w:t>
      </w:r>
    </w:p>
    <w:p>
      <w:pPr>
        <w:pStyle w:val="2"/>
        <w:spacing w:line="360" w:lineRule="auto"/>
        <w:ind w:firstLine="480" w:firstLineChars="200"/>
        <w:rPr>
          <w:rFonts w:hint="eastAsia" w:ascii="宋体" w:hAnsi="宋体" w:cs="宋体"/>
          <w:sz w:val="24"/>
          <w:szCs w:val="24"/>
        </w:rPr>
      </w:pPr>
      <w:r>
        <w:rPr>
          <w:rFonts w:hint="eastAsia" w:ascii="宋体" w:hAnsi="宋体" w:cs="宋体"/>
          <w:sz w:val="24"/>
          <w:szCs w:val="24"/>
        </w:rPr>
        <w:t>5.4服务期：三年</w:t>
      </w:r>
    </w:p>
    <w:p>
      <w:pPr>
        <w:pStyle w:val="2"/>
        <w:numPr>
          <w:ilvl w:val="0"/>
          <w:numId w:val="1"/>
        </w:numPr>
        <w:spacing w:line="360" w:lineRule="auto"/>
        <w:ind w:firstLine="482" w:firstLineChars="200"/>
        <w:jc w:val="left"/>
        <w:rPr>
          <w:rFonts w:ascii="宋体" w:cs="宋体"/>
          <w:b/>
          <w:bCs/>
          <w:sz w:val="24"/>
          <w:szCs w:val="24"/>
        </w:rPr>
      </w:pPr>
      <w:r>
        <w:rPr>
          <w:rFonts w:hint="eastAsia" w:ascii="宋体" w:hAnsi="宋体" w:cs="宋体"/>
          <w:b/>
          <w:bCs/>
          <w:sz w:val="24"/>
          <w:szCs w:val="24"/>
        </w:rPr>
        <w:t>合同履行期限：三年</w:t>
      </w:r>
    </w:p>
    <w:p>
      <w:pPr>
        <w:pStyle w:val="2"/>
        <w:spacing w:line="360" w:lineRule="auto"/>
        <w:ind w:firstLine="482" w:firstLineChars="200"/>
        <w:jc w:val="left"/>
        <w:rPr>
          <w:rFonts w:ascii="宋体" w:cs="宋体"/>
          <w:sz w:val="24"/>
          <w:szCs w:val="24"/>
        </w:rPr>
      </w:pPr>
      <w:r>
        <w:rPr>
          <w:rFonts w:ascii="宋体" w:hAnsi="宋体" w:cs="宋体"/>
          <w:b/>
          <w:bCs/>
          <w:sz w:val="24"/>
          <w:szCs w:val="24"/>
        </w:rPr>
        <w:t>7</w:t>
      </w:r>
      <w:r>
        <w:rPr>
          <w:rFonts w:hint="eastAsia" w:ascii="宋体" w:hAnsi="宋体" w:cs="宋体"/>
          <w:b/>
          <w:bCs/>
          <w:sz w:val="24"/>
          <w:szCs w:val="24"/>
        </w:rPr>
        <w:t>、本项目是否接受联合体投标：</w:t>
      </w:r>
      <w:r>
        <w:rPr>
          <w:rFonts w:hint="eastAsia" w:ascii="宋体" w:hAnsi="宋体" w:cs="宋体"/>
          <w:sz w:val="24"/>
          <w:szCs w:val="24"/>
        </w:rPr>
        <w:t>否</w:t>
      </w:r>
    </w:p>
    <w:p>
      <w:pPr>
        <w:pStyle w:val="2"/>
        <w:spacing w:after="200" w:line="360" w:lineRule="auto"/>
        <w:ind w:firstLine="482" w:firstLineChars="200"/>
        <w:jc w:val="left"/>
        <w:rPr>
          <w:rFonts w:ascii="宋体" w:cs="宋体"/>
          <w:sz w:val="24"/>
          <w:szCs w:val="24"/>
        </w:rPr>
      </w:pPr>
      <w:r>
        <w:rPr>
          <w:rFonts w:ascii="宋体" w:hAnsi="宋体" w:cs="宋体"/>
          <w:b/>
          <w:bCs/>
          <w:sz w:val="24"/>
          <w:szCs w:val="24"/>
        </w:rPr>
        <w:t>8</w:t>
      </w:r>
      <w:r>
        <w:rPr>
          <w:rFonts w:hint="eastAsia" w:ascii="宋体" w:hAnsi="宋体" w:cs="宋体"/>
          <w:b/>
          <w:bCs/>
          <w:sz w:val="24"/>
          <w:szCs w:val="24"/>
        </w:rPr>
        <w:t>、是否接受进口产品</w:t>
      </w:r>
      <w:r>
        <w:rPr>
          <w:rFonts w:hint="eastAsia" w:ascii="宋体" w:hAnsi="宋体" w:cs="宋体"/>
          <w:sz w:val="24"/>
          <w:szCs w:val="24"/>
        </w:rPr>
        <w:t>：否</w:t>
      </w:r>
    </w:p>
    <w:p>
      <w:pPr>
        <w:pStyle w:val="2"/>
        <w:spacing w:after="200" w:line="360" w:lineRule="auto"/>
        <w:jc w:val="left"/>
        <w:rPr>
          <w:rFonts w:ascii="宋体" w:cs="宋体"/>
          <w:sz w:val="24"/>
          <w:szCs w:val="24"/>
        </w:rPr>
      </w:pPr>
      <w:r>
        <w:rPr>
          <w:rFonts w:hint="eastAsia" w:ascii="宋体" w:hAnsi="宋体" w:cs="宋体"/>
          <w:b/>
          <w:bCs/>
          <w:sz w:val="24"/>
          <w:szCs w:val="24"/>
        </w:rPr>
        <w:t>二、申请人资格要求：</w:t>
      </w:r>
    </w:p>
    <w:p>
      <w:pPr>
        <w:pStyle w:val="2"/>
        <w:spacing w:after="200" w:line="360" w:lineRule="auto"/>
        <w:ind w:firstLine="482" w:firstLineChars="200"/>
        <w:jc w:val="left"/>
        <w:rPr>
          <w:rFonts w:ascii="宋体" w:cs="宋体"/>
          <w:sz w:val="24"/>
          <w:szCs w:val="24"/>
        </w:rPr>
      </w:pPr>
      <w:r>
        <w:rPr>
          <w:rFonts w:ascii="宋体" w:hAnsi="宋体" w:cs="宋体"/>
          <w:b/>
          <w:bCs/>
          <w:sz w:val="24"/>
          <w:szCs w:val="24"/>
        </w:rPr>
        <w:t>1</w:t>
      </w:r>
      <w:r>
        <w:rPr>
          <w:rFonts w:hint="eastAsia" w:ascii="宋体" w:hAnsi="宋体" w:cs="宋体"/>
          <w:b/>
          <w:bCs/>
          <w:sz w:val="24"/>
          <w:szCs w:val="24"/>
        </w:rPr>
        <w:t>、满足《中华人民共和国》第二十二条规定；</w:t>
      </w:r>
    </w:p>
    <w:p>
      <w:pPr>
        <w:widowControl w:val="0"/>
        <w:adjustRightInd w:val="0"/>
        <w:snapToGrid w:val="0"/>
        <w:spacing w:line="360" w:lineRule="auto"/>
        <w:ind w:firstLine="542" w:firstLineChars="225"/>
        <w:jc w:val="left"/>
        <w:rPr>
          <w:rFonts w:ascii="宋体" w:cs="宋体"/>
          <w:sz w:val="24"/>
          <w:szCs w:val="24"/>
        </w:rPr>
      </w:pPr>
      <w:r>
        <w:rPr>
          <w:rFonts w:ascii="宋体" w:hAnsi="宋体" w:cs="宋体"/>
          <w:b/>
          <w:bCs/>
          <w:sz w:val="24"/>
          <w:szCs w:val="24"/>
        </w:rPr>
        <w:t>2</w:t>
      </w:r>
      <w:r>
        <w:rPr>
          <w:rFonts w:hint="eastAsia" w:ascii="宋体" w:hAnsi="宋体" w:cs="宋体"/>
          <w:b/>
          <w:bCs/>
          <w:sz w:val="24"/>
          <w:szCs w:val="24"/>
        </w:rPr>
        <w:t>、落实政府采购政策满足的资格要求：无</w:t>
      </w:r>
    </w:p>
    <w:p>
      <w:pPr>
        <w:widowControl w:val="0"/>
        <w:adjustRightInd w:val="0"/>
        <w:snapToGrid w:val="0"/>
        <w:spacing w:line="360" w:lineRule="auto"/>
        <w:ind w:firstLine="542" w:firstLineChars="225"/>
        <w:rPr>
          <w:rFonts w:ascii="宋体"/>
          <w:color w:val="auto"/>
          <w:sz w:val="24"/>
          <w:szCs w:val="24"/>
        </w:rPr>
      </w:pPr>
      <w:r>
        <w:rPr>
          <w:rFonts w:ascii="宋体" w:hAnsi="宋体" w:cs="宋体"/>
          <w:b/>
          <w:bCs/>
          <w:sz w:val="24"/>
          <w:szCs w:val="24"/>
        </w:rPr>
        <w:t>3</w:t>
      </w:r>
      <w:r>
        <w:rPr>
          <w:rFonts w:hint="eastAsia" w:ascii="宋体" w:hAnsi="宋体" w:cs="宋体"/>
          <w:b/>
          <w:bCs/>
          <w:sz w:val="24"/>
          <w:szCs w:val="24"/>
        </w:rPr>
        <w:t>、本项目的特定资格要求：</w:t>
      </w:r>
      <w:r>
        <w:rPr>
          <w:rFonts w:hint="eastAsia" w:ascii="宋体" w:hAnsi="宋体"/>
          <w:color w:val="auto"/>
          <w:sz w:val="24"/>
          <w:szCs w:val="24"/>
        </w:rPr>
        <w:t>供应商应符合下述《政府采购法》第二十二条第一款规定的法定基本资格条件、及项目（标段）资格要求且无不良信用记录，并提供相关资格证明材料（文件）：</w:t>
      </w:r>
    </w:p>
    <w:p>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）具有独立承担民事责任的能力。■提供营业执照；■提供税务登记证（三证合一的只需提供三证合一的营业执照）。</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）具有良好的商业信誉和健全的财务会计制度，有依法缴纳税收和社会保障资金的良好记录。■提供银行出具的近</w:t>
      </w:r>
      <w:r>
        <w:rPr>
          <w:rFonts w:ascii="宋体" w:hAnsi="宋体"/>
          <w:color w:val="auto"/>
          <w:sz w:val="24"/>
          <w:szCs w:val="24"/>
        </w:rPr>
        <w:t>1</w:t>
      </w:r>
      <w:r>
        <w:rPr>
          <w:rFonts w:hint="eastAsia" w:ascii="宋体" w:hAnsi="宋体"/>
          <w:color w:val="auto"/>
          <w:sz w:val="24"/>
          <w:szCs w:val="24"/>
        </w:rPr>
        <w:t>年内资信证明（法人为基本开户行）、或</w:t>
      </w:r>
      <w:r>
        <w:rPr>
          <w:rFonts w:ascii="宋体" w:hAnsi="宋体"/>
          <w:color w:val="auto"/>
          <w:sz w:val="24"/>
          <w:szCs w:val="24"/>
        </w:rPr>
        <w:t>2018</w:t>
      </w:r>
      <w:r>
        <w:rPr>
          <w:rFonts w:hint="eastAsia" w:ascii="宋体" w:hAnsi="宋体"/>
          <w:color w:val="auto"/>
          <w:sz w:val="24"/>
          <w:szCs w:val="24"/>
        </w:rPr>
        <w:t>年度以来（任意一年）经审计的财务报告、或财政部门认可的担保机构的投标担保函；■提供近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个月）已依法缴纳税收的凭据；■提供近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个月）已依法缴纳社会保险的凭据；依法免税或不需要缴纳社会保障资金的供应商，应提供相应证明文件。</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）具备履行合同所必需的</w:t>
      </w:r>
      <w:r>
        <w:rPr>
          <w:rFonts w:hint="eastAsia" w:ascii="宋体" w:hAnsi="宋体"/>
          <w:color w:val="auto"/>
          <w:sz w:val="24"/>
          <w:szCs w:val="24"/>
          <w:lang w:eastAsia="zh-CN"/>
        </w:rPr>
        <w:t>设备和</w:t>
      </w:r>
      <w:r>
        <w:rPr>
          <w:rFonts w:hint="eastAsia" w:ascii="宋体" w:hAnsi="宋体"/>
          <w:color w:val="auto"/>
          <w:sz w:val="24"/>
          <w:szCs w:val="24"/>
        </w:rPr>
        <w:t>专业技术能力。■提供相关设备（设施）的购置发票或单据（任一）</w:t>
      </w:r>
      <w:r>
        <w:rPr>
          <w:rFonts w:hint="eastAsia" w:ascii="宋体" w:hAnsi="宋体"/>
          <w:color w:val="auto"/>
          <w:sz w:val="24"/>
          <w:szCs w:val="24"/>
          <w:lang w:eastAsia="zh-CN"/>
        </w:rPr>
        <w:t>；</w:t>
      </w:r>
      <w:r>
        <w:rPr>
          <w:rFonts w:hint="eastAsia" w:ascii="宋体" w:hAnsi="宋体"/>
          <w:color w:val="auto"/>
          <w:sz w:val="24"/>
          <w:szCs w:val="24"/>
        </w:rPr>
        <w:t>■专业人员用工合同（任一人），或技术人员的职称证书或职业（执业）资格证或等级证书等相关证书（任一人）等的证明材料。项目负责人具备园林绿化相关专业中级及以上职称或技师及以上职业资格证书，且不得担任其它项目的项目负责人。</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）参加政府采购活动前</w:t>
      </w:r>
      <w:r>
        <w:rPr>
          <w:rFonts w:ascii="宋体" w:hAnsi="宋体"/>
          <w:color w:val="auto"/>
          <w:sz w:val="24"/>
          <w:szCs w:val="24"/>
        </w:rPr>
        <w:t>3</w:t>
      </w:r>
      <w:r>
        <w:rPr>
          <w:rFonts w:hint="eastAsia" w:ascii="宋体" w:hAnsi="宋体"/>
          <w:color w:val="auto"/>
          <w:sz w:val="24"/>
          <w:szCs w:val="24"/>
        </w:rPr>
        <w:t>年内在经营活动中没有重大违法记录。■提供供应商书面声明；供应商自行承诺并承担后果，声明函不实的，按《政府采购法》有关提供虚假材料的有关规定给予处罚。</w:t>
      </w:r>
    </w:p>
    <w:p>
      <w:pPr>
        <w:widowControl w:val="0"/>
        <w:snapToGrid w:val="0"/>
        <w:spacing w:line="360" w:lineRule="auto"/>
        <w:ind w:firstLine="540" w:firstLineChars="225"/>
        <w:rPr>
          <w:rFonts w:hint="eastAsia" w:ascii="宋体" w:eastAsia="宋体"/>
          <w:color w:val="auto"/>
          <w:sz w:val="24"/>
          <w:szCs w:val="24"/>
          <w:lang w:eastAsia="zh-CN"/>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）无不良信用记录。</w:t>
      </w:r>
      <w:r>
        <w:rPr>
          <w:rFonts w:ascii="宋体" w:hAnsi="宋体"/>
          <w:color w:val="auto"/>
          <w:sz w:val="24"/>
          <w:szCs w:val="24"/>
        </w:rPr>
        <w:t>(</w:t>
      </w:r>
      <w:r>
        <w:rPr>
          <w:rFonts w:hint="eastAsia" w:ascii="宋体" w:hAnsi="宋体"/>
          <w:color w:val="auto"/>
          <w:sz w:val="24"/>
          <w:szCs w:val="24"/>
        </w:rPr>
        <w:t>在“信用中国”</w:t>
      </w:r>
      <w:r>
        <w:rPr>
          <w:rFonts w:ascii="宋体" w:hAnsi="宋体"/>
          <w:color w:val="auto"/>
          <w:sz w:val="24"/>
          <w:szCs w:val="24"/>
        </w:rPr>
        <w:t>&lt;www.creditchina.gov.cn&gt;</w:t>
      </w:r>
      <w:r>
        <w:rPr>
          <w:rFonts w:hint="eastAsia" w:ascii="宋体" w:hAnsi="宋体"/>
          <w:color w:val="auto"/>
          <w:sz w:val="24"/>
          <w:szCs w:val="24"/>
        </w:rPr>
        <w:t>网站的“失信被执行人”和“重大税收违法案件当事人名单”及“中国政府采购网”</w:t>
      </w:r>
      <w:r>
        <w:rPr>
          <w:rFonts w:ascii="宋体" w:hAnsi="宋体"/>
          <w:color w:val="auto"/>
          <w:sz w:val="24"/>
          <w:szCs w:val="24"/>
        </w:rPr>
        <w:t>&lt;www.ccgp.gov.cn&gt;</w:t>
      </w:r>
      <w:r>
        <w:rPr>
          <w:rFonts w:hint="eastAsia" w:ascii="宋体" w:hAnsi="宋体"/>
          <w:color w:val="auto"/>
          <w:sz w:val="24"/>
          <w:szCs w:val="24"/>
        </w:rPr>
        <w:t>网站的“政府采购严重违法失信行为记录名单”均未列入</w:t>
      </w:r>
      <w:r>
        <w:rPr>
          <w:rFonts w:ascii="宋体" w:hAnsi="宋体"/>
          <w:color w:val="auto"/>
          <w:sz w:val="24"/>
          <w:szCs w:val="24"/>
        </w:rPr>
        <w:t>)</w:t>
      </w:r>
      <w:r>
        <w:rPr>
          <w:rFonts w:hint="eastAsia" w:ascii="宋体" w:hAnsi="宋体"/>
          <w:color w:val="auto"/>
          <w:sz w:val="24"/>
          <w:szCs w:val="24"/>
        </w:rPr>
        <w:t>■</w:t>
      </w:r>
      <w:r>
        <w:rPr>
          <w:rFonts w:hint="eastAsia" w:ascii="宋体" w:hAnsi="宋体"/>
          <w:color w:val="auto"/>
          <w:sz w:val="24"/>
          <w:szCs w:val="24"/>
          <w:lang w:eastAsia="zh-CN"/>
        </w:rPr>
        <w:t>提供查询网页截图。</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w:t>
      </w:r>
      <w:r>
        <w:rPr>
          <w:rFonts w:ascii="宋体" w:hAnsi="宋体"/>
          <w:color w:val="auto"/>
          <w:sz w:val="24"/>
          <w:szCs w:val="24"/>
        </w:rPr>
        <w:t>6</w:t>
      </w:r>
      <w:r>
        <w:rPr>
          <w:rFonts w:hint="eastAsia" w:ascii="宋体" w:hAnsi="宋体"/>
          <w:color w:val="auto"/>
          <w:sz w:val="24"/>
          <w:szCs w:val="24"/>
        </w:rPr>
        <w:t>）联合体投标：不接受</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w:t>
      </w:r>
      <w:r>
        <w:rPr>
          <w:rFonts w:ascii="宋体" w:hAnsi="宋体"/>
          <w:color w:val="auto"/>
          <w:sz w:val="24"/>
          <w:szCs w:val="24"/>
        </w:rPr>
        <w:t>7</w:t>
      </w:r>
      <w:r>
        <w:rPr>
          <w:rFonts w:hint="eastAsia" w:ascii="宋体" w:hAnsi="宋体"/>
          <w:color w:val="auto"/>
          <w:sz w:val="24"/>
          <w:szCs w:val="24"/>
        </w:rPr>
        <w:t>）单位负责人为同一人或者存在直接控股、管理关系的不同供应商，不得参加本合同项下的政府采购活动。供应商自行承诺并承担后果，声明函不实的，按《政府采购法》有关提供虚假材料的有关规定给予处罚。</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w:t>
      </w:r>
      <w:r>
        <w:rPr>
          <w:rFonts w:ascii="宋体" w:hAnsi="宋体"/>
          <w:color w:val="auto"/>
          <w:sz w:val="24"/>
          <w:szCs w:val="24"/>
        </w:rPr>
        <w:t>8</w:t>
      </w:r>
      <w:r>
        <w:rPr>
          <w:rFonts w:hint="eastAsia" w:ascii="宋体" w:hAnsi="宋体"/>
          <w:color w:val="auto"/>
          <w:sz w:val="24"/>
          <w:szCs w:val="24"/>
        </w:rPr>
        <w:t>）为本采购项目提供整体设计、规范编制或者项目管理、监理、检测等服务的供应商，不得再参加本采购项目。供应商自行承诺并承担后果，声明函不实的，按《政府采购法》有关提供虚假材料的有关规定给予处罚。</w:t>
      </w:r>
    </w:p>
    <w:p>
      <w:pPr>
        <w:shd w:val="clear" w:color="auto" w:fill="FFFFFF"/>
        <w:spacing w:line="360" w:lineRule="auto"/>
        <w:ind w:firstLine="480"/>
        <w:jc w:val="left"/>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9</w:t>
      </w:r>
      <w:r>
        <w:rPr>
          <w:rFonts w:hint="eastAsia" w:ascii="宋体" w:hAnsi="宋体"/>
          <w:color w:val="auto"/>
          <w:sz w:val="24"/>
          <w:szCs w:val="24"/>
        </w:rPr>
        <w:t>）具备法律、行政法规规定的其他条件。</w:t>
      </w:r>
    </w:p>
    <w:p>
      <w:pPr>
        <w:shd w:val="clear" w:color="auto" w:fill="FFFFFF"/>
        <w:spacing w:line="360" w:lineRule="auto"/>
        <w:ind w:firstLine="480"/>
        <w:jc w:val="left"/>
        <w:textAlignment w:val="auto"/>
        <w:rPr>
          <w:sz w:val="24"/>
          <w:szCs w:val="24"/>
        </w:rPr>
      </w:pPr>
      <w:r>
        <w:rPr>
          <w:rFonts w:ascii="宋体" w:hAnsi="宋体"/>
          <w:sz w:val="24"/>
          <w:szCs w:val="24"/>
        </w:rPr>
        <w:t>2</w:t>
      </w:r>
      <w:r>
        <w:rPr>
          <w:rFonts w:hint="eastAsia"/>
          <w:sz w:val="24"/>
          <w:szCs w:val="24"/>
        </w:rPr>
        <w:t>所有证照均应在有效期内，证照如需年检的、应为经年检有效的证照；文中“近”、“前”指距投标截止时间。</w:t>
      </w:r>
    </w:p>
    <w:p>
      <w:pPr>
        <w:shd w:val="clear" w:color="auto" w:fill="FFFFFF"/>
        <w:spacing w:line="360" w:lineRule="auto"/>
        <w:ind w:firstLine="480"/>
        <w:jc w:val="left"/>
        <w:textAlignment w:val="auto"/>
        <w:rPr>
          <w:sz w:val="24"/>
          <w:szCs w:val="24"/>
        </w:rPr>
      </w:pPr>
      <w:r>
        <w:rPr>
          <w:rFonts w:ascii="宋体" w:hAnsi="宋体"/>
          <w:sz w:val="24"/>
          <w:szCs w:val="24"/>
        </w:rPr>
        <w:t>3</w:t>
      </w:r>
      <w:r>
        <w:rPr>
          <w:rFonts w:hint="eastAsia" w:ascii="宋体" w:hAnsi="宋体"/>
          <w:sz w:val="24"/>
          <w:szCs w:val="24"/>
        </w:rPr>
        <w:t>资格证明材料（文件）应附于响应文件中并经供应商电子签章。供应商对资格证明文件真实性有效合规承担责任，提供虚假材料的为无效投标并将进一步追究其责任。</w:t>
      </w:r>
    </w:p>
    <w:p>
      <w:pPr>
        <w:pStyle w:val="19"/>
        <w:shd w:val="clear" w:color="auto" w:fill="FFFFFF"/>
        <w:adjustRightInd w:val="0"/>
        <w:spacing w:before="50" w:beforeAutospacing="0" w:after="0" w:afterAutospacing="0" w:line="360" w:lineRule="auto"/>
        <w:ind w:firstLine="540" w:firstLineChars="225"/>
        <w:rPr>
          <w:color w:val="auto"/>
        </w:rPr>
      </w:pPr>
      <w:r>
        <w:t>4</w:t>
      </w:r>
      <w:r>
        <w:rPr>
          <w:rFonts w:hint="eastAsia"/>
          <w:color w:val="auto"/>
        </w:rPr>
        <w:t>本项目采取资格后审，开标后，将由采购人对供应商的资格证明材料（文件）等进行资格审核，未按要求逐一提供、或资格审查不合格的为无效投标，供应商应自负其风险费用。</w:t>
      </w:r>
    </w:p>
    <w:p>
      <w:pPr>
        <w:pStyle w:val="19"/>
        <w:numPr>
          <w:ilvl w:val="0"/>
          <w:numId w:val="2"/>
        </w:numPr>
        <w:shd w:val="clear" w:color="auto" w:fill="FFFFFF"/>
        <w:adjustRightInd w:val="0"/>
        <w:spacing w:before="50" w:beforeAutospacing="0" w:after="0" w:afterAutospacing="0" w:line="360" w:lineRule="auto"/>
        <w:rPr>
          <w:b/>
          <w:bCs/>
          <w:color w:val="auto"/>
        </w:rPr>
      </w:pPr>
      <w:r>
        <w:rPr>
          <w:rFonts w:hint="eastAsia"/>
          <w:b/>
          <w:bCs/>
          <w:color w:val="auto"/>
        </w:rPr>
        <w:t>获取采购文件</w:t>
      </w:r>
    </w:p>
    <w:p>
      <w:pPr>
        <w:pStyle w:val="19"/>
        <w:shd w:val="clear" w:color="auto" w:fill="FFFFFF"/>
        <w:adjustRightInd w:val="0"/>
        <w:spacing w:before="50" w:beforeAutospacing="0" w:after="0" w:afterAutospacing="0" w:line="360" w:lineRule="auto"/>
        <w:ind w:firstLine="482" w:firstLineChars="200"/>
        <w:rPr>
          <w:color w:val="auto"/>
        </w:rPr>
      </w:pPr>
      <w:r>
        <w:rPr>
          <w:b/>
          <w:bCs/>
          <w:color w:val="auto"/>
        </w:rPr>
        <w:t>1.</w:t>
      </w:r>
      <w:r>
        <w:rPr>
          <w:rFonts w:hint="eastAsia"/>
          <w:b/>
          <w:bCs/>
          <w:color w:val="auto"/>
        </w:rPr>
        <w:t>时间：</w:t>
      </w:r>
      <w:r>
        <w:rPr>
          <w:color w:val="auto"/>
        </w:rPr>
        <w:t>2020</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07</w:t>
      </w:r>
      <w:r>
        <w:rPr>
          <w:rFonts w:hint="eastAsia"/>
          <w:color w:val="auto"/>
        </w:rPr>
        <w:t>日至</w:t>
      </w:r>
      <w:r>
        <w:rPr>
          <w:color w:val="auto"/>
        </w:rPr>
        <w:t>2020</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11</w:t>
      </w:r>
      <w:r>
        <w:rPr>
          <w:rFonts w:hint="eastAsia"/>
          <w:color w:val="auto"/>
        </w:rPr>
        <w:t>日每天上午</w:t>
      </w:r>
      <w:r>
        <w:rPr>
          <w:color w:val="auto"/>
        </w:rPr>
        <w:t>00</w:t>
      </w:r>
      <w:r>
        <w:rPr>
          <w:rFonts w:hint="eastAsia"/>
          <w:color w:val="auto"/>
        </w:rPr>
        <w:t>时</w:t>
      </w:r>
      <w:r>
        <w:rPr>
          <w:color w:val="auto"/>
        </w:rPr>
        <w:t>00</w:t>
      </w:r>
      <w:r>
        <w:rPr>
          <w:rFonts w:hint="eastAsia"/>
          <w:color w:val="auto"/>
        </w:rPr>
        <w:t>分至</w:t>
      </w:r>
      <w:r>
        <w:rPr>
          <w:color w:val="auto"/>
        </w:rPr>
        <w:t>12</w:t>
      </w:r>
      <w:r>
        <w:rPr>
          <w:rFonts w:hint="eastAsia"/>
          <w:color w:val="auto"/>
        </w:rPr>
        <w:t>时</w:t>
      </w:r>
      <w:r>
        <w:rPr>
          <w:color w:val="auto"/>
        </w:rPr>
        <w:t>00</w:t>
      </w:r>
      <w:r>
        <w:rPr>
          <w:rFonts w:hint="eastAsia"/>
          <w:color w:val="auto"/>
        </w:rPr>
        <w:t>分，下午</w:t>
      </w:r>
      <w:r>
        <w:rPr>
          <w:color w:val="auto"/>
        </w:rPr>
        <w:t>12</w:t>
      </w:r>
      <w:r>
        <w:rPr>
          <w:rFonts w:hint="eastAsia"/>
          <w:color w:val="auto"/>
        </w:rPr>
        <w:t>时</w:t>
      </w:r>
      <w:r>
        <w:rPr>
          <w:color w:val="auto"/>
        </w:rPr>
        <w:t>00</w:t>
      </w:r>
      <w:r>
        <w:rPr>
          <w:rFonts w:hint="eastAsia"/>
          <w:color w:val="auto"/>
        </w:rPr>
        <w:t>分至</w:t>
      </w:r>
      <w:r>
        <w:rPr>
          <w:color w:val="auto"/>
        </w:rPr>
        <w:t>23</w:t>
      </w:r>
      <w:r>
        <w:rPr>
          <w:rFonts w:hint="eastAsia"/>
          <w:color w:val="auto"/>
        </w:rPr>
        <w:t>时</w:t>
      </w:r>
      <w:r>
        <w:rPr>
          <w:color w:val="auto"/>
        </w:rPr>
        <w:t>59</w:t>
      </w:r>
      <w:r>
        <w:rPr>
          <w:rFonts w:hint="eastAsia"/>
          <w:color w:val="auto"/>
        </w:rPr>
        <w:t>分（北京时间，法定节假日除外。）</w:t>
      </w:r>
    </w:p>
    <w:p>
      <w:pPr>
        <w:pStyle w:val="19"/>
        <w:shd w:val="clear" w:color="auto" w:fill="FFFFFF"/>
        <w:adjustRightInd w:val="0"/>
        <w:spacing w:before="50" w:beforeAutospacing="0" w:after="0" w:afterAutospacing="0" w:line="360" w:lineRule="auto"/>
        <w:ind w:firstLine="482" w:firstLineChars="200"/>
        <w:rPr>
          <w:color w:val="auto"/>
        </w:rPr>
      </w:pPr>
      <w:r>
        <w:rPr>
          <w:b/>
          <w:bCs/>
          <w:color w:val="auto"/>
        </w:rPr>
        <w:t>2.</w:t>
      </w:r>
      <w:r>
        <w:rPr>
          <w:rFonts w:hint="eastAsia"/>
          <w:b/>
          <w:bCs/>
          <w:color w:val="auto"/>
        </w:rPr>
        <w:t>地点：</w:t>
      </w:r>
      <w:r>
        <w:rPr>
          <w:rFonts w:hint="eastAsia"/>
          <w:color w:val="auto"/>
        </w:rPr>
        <w:t>安阳市公共资源交易中心网站</w:t>
      </w:r>
    </w:p>
    <w:p>
      <w:pPr>
        <w:pStyle w:val="19"/>
        <w:shd w:val="clear" w:color="auto" w:fill="FFFFFF"/>
        <w:adjustRightInd w:val="0"/>
        <w:spacing w:before="50" w:beforeAutospacing="0" w:after="0" w:afterAutospacing="0" w:line="360" w:lineRule="auto"/>
        <w:ind w:firstLine="482" w:firstLineChars="200"/>
      </w:pPr>
      <w:r>
        <w:rPr>
          <w:b/>
          <w:bCs/>
          <w:color w:val="auto"/>
        </w:rPr>
        <w:t>3.</w:t>
      </w:r>
      <w:r>
        <w:rPr>
          <w:rFonts w:hint="eastAsia"/>
          <w:b/>
          <w:bCs/>
          <w:color w:val="auto"/>
        </w:rPr>
        <w:t>方式：</w:t>
      </w:r>
      <w:r>
        <w:rPr>
          <w:rFonts w:hint="eastAsia"/>
        </w:rPr>
        <w:t>凭企业数字证书点击“投标用户入口”登录“政府采购”系统，获取电子版</w:t>
      </w:r>
      <w:r>
        <w:rPr>
          <w:rFonts w:hint="eastAsia"/>
          <w:lang w:eastAsia="zh-CN"/>
        </w:rPr>
        <w:t>招标</w:t>
      </w:r>
      <w:r>
        <w:rPr>
          <w:rFonts w:hint="eastAsia"/>
        </w:rPr>
        <w:t>文件及其它资料（网上下载）。</w:t>
      </w:r>
    </w:p>
    <w:p>
      <w:pPr>
        <w:pStyle w:val="19"/>
        <w:shd w:val="clear" w:color="auto" w:fill="FFFFFF"/>
        <w:adjustRightInd w:val="0"/>
        <w:spacing w:before="50" w:beforeAutospacing="0" w:after="0" w:afterAutospacing="0" w:line="360" w:lineRule="auto"/>
        <w:ind w:firstLine="482" w:firstLineChars="200"/>
      </w:pPr>
      <w:r>
        <w:rPr>
          <w:b/>
          <w:bCs/>
        </w:rPr>
        <w:t>4.</w:t>
      </w:r>
      <w:r>
        <w:rPr>
          <w:rFonts w:hint="eastAsia"/>
          <w:b/>
          <w:bCs/>
        </w:rPr>
        <w:t>售价：</w:t>
      </w:r>
      <w:r>
        <w:t>0</w:t>
      </w:r>
      <w:r>
        <w:rPr>
          <w:rFonts w:hint="eastAsia"/>
        </w:rPr>
        <w:t>元</w:t>
      </w:r>
    </w:p>
    <w:p>
      <w:pPr>
        <w:pStyle w:val="19"/>
        <w:shd w:val="clear" w:color="auto" w:fill="FFFFFF"/>
        <w:adjustRightInd w:val="0"/>
        <w:spacing w:before="50" w:beforeAutospacing="0" w:after="0" w:afterAutospacing="0" w:line="360" w:lineRule="auto"/>
        <w:rPr>
          <w:b/>
          <w:bCs/>
          <w:color w:val="auto"/>
        </w:rPr>
      </w:pPr>
      <w:r>
        <w:rPr>
          <w:rFonts w:hint="eastAsia"/>
          <w:b/>
          <w:bCs/>
        </w:rPr>
        <w:t>四、响应文件提交</w:t>
      </w:r>
    </w:p>
    <w:p>
      <w:pPr>
        <w:widowControl w:val="0"/>
        <w:tabs>
          <w:tab w:val="left" w:pos="39"/>
          <w:tab w:val="left" w:pos="96"/>
        </w:tabs>
        <w:snapToGrid w:val="0"/>
        <w:spacing w:line="360" w:lineRule="auto"/>
        <w:ind w:firstLine="542" w:firstLineChars="225"/>
        <w:rPr>
          <w:rFonts w:ascii="宋体" w:cs="宋体"/>
          <w:color w:val="auto"/>
          <w:sz w:val="24"/>
          <w:szCs w:val="24"/>
        </w:rPr>
      </w:pPr>
      <w:r>
        <w:rPr>
          <w:rFonts w:ascii="宋体" w:hAnsi="宋体" w:cs="宋体"/>
          <w:b/>
          <w:bCs/>
          <w:color w:val="auto"/>
          <w:sz w:val="24"/>
          <w:szCs w:val="24"/>
        </w:rPr>
        <w:t>1.</w:t>
      </w:r>
      <w:r>
        <w:rPr>
          <w:rFonts w:hint="eastAsia" w:cs="宋体"/>
          <w:b/>
          <w:bCs/>
          <w:color w:val="auto"/>
          <w:sz w:val="24"/>
          <w:szCs w:val="24"/>
        </w:rPr>
        <w:t>截至时间：</w:t>
      </w:r>
      <w:r>
        <w:rPr>
          <w:rFonts w:ascii="宋体" w:hAnsi="宋体" w:cs="宋体"/>
          <w:color w:val="auto"/>
          <w:sz w:val="24"/>
          <w:szCs w:val="24"/>
        </w:rPr>
        <w:t>2020</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29</w:t>
      </w:r>
      <w:r>
        <w:rPr>
          <w:rFonts w:hint="eastAsia" w:ascii="宋体" w:hAnsi="宋体" w:cs="宋体"/>
          <w:color w:val="auto"/>
          <w:sz w:val="24"/>
          <w:szCs w:val="24"/>
        </w:rPr>
        <w:t>日</w:t>
      </w:r>
      <w:r>
        <w:rPr>
          <w:rFonts w:ascii="宋体" w:hAnsi="宋体" w:cs="宋体"/>
          <w:color w:val="auto"/>
          <w:sz w:val="24"/>
          <w:szCs w:val="24"/>
        </w:rPr>
        <w:t>09</w:t>
      </w:r>
      <w:r>
        <w:rPr>
          <w:rFonts w:hint="eastAsia" w:ascii="宋体" w:hAnsi="宋体" w:cs="宋体"/>
          <w:color w:val="auto"/>
          <w:sz w:val="24"/>
          <w:szCs w:val="24"/>
        </w:rPr>
        <w:t>时</w:t>
      </w:r>
      <w:r>
        <w:rPr>
          <w:rFonts w:ascii="宋体" w:cs="宋体"/>
          <w:color w:val="auto"/>
          <w:sz w:val="24"/>
          <w:szCs w:val="24"/>
        </w:rPr>
        <w:t>00</w:t>
      </w:r>
      <w:r>
        <w:rPr>
          <w:rFonts w:hint="eastAsia" w:ascii="宋体" w:hAnsi="宋体" w:cs="宋体"/>
          <w:color w:val="auto"/>
          <w:sz w:val="24"/>
          <w:szCs w:val="24"/>
        </w:rPr>
        <w:t>分（北京时间）</w:t>
      </w:r>
    </w:p>
    <w:p>
      <w:pPr>
        <w:pStyle w:val="19"/>
        <w:shd w:val="clear" w:color="auto" w:fill="FFFFFF"/>
        <w:adjustRightInd w:val="0"/>
        <w:spacing w:before="50" w:beforeAutospacing="0" w:after="0" w:afterAutospacing="0" w:line="360" w:lineRule="auto"/>
        <w:ind w:firstLine="482" w:firstLineChars="200"/>
        <w:rPr>
          <w:color w:val="auto"/>
        </w:rPr>
      </w:pPr>
      <w:r>
        <w:rPr>
          <w:b/>
          <w:bCs/>
          <w:color w:val="auto"/>
        </w:rPr>
        <w:t>2.</w:t>
      </w:r>
      <w:r>
        <w:rPr>
          <w:rFonts w:hint="eastAsia"/>
          <w:b/>
          <w:bCs/>
          <w:color w:val="auto"/>
        </w:rPr>
        <w:t>地点：</w:t>
      </w:r>
      <w:r>
        <w:rPr>
          <w:rFonts w:hint="eastAsia"/>
          <w:color w:val="auto"/>
        </w:rPr>
        <w:t>安阳市公共资源交易中心网站，点击“投标用户入口”登录“政府采购”系统，进入本项目相匹配的网上开标室，并由供应商在规定时间远程解密（投标单位无需到达开标现场）。</w:t>
      </w:r>
    </w:p>
    <w:p>
      <w:pPr>
        <w:pStyle w:val="19"/>
        <w:shd w:val="clear" w:color="auto" w:fill="FFFFFF"/>
        <w:adjustRightInd w:val="0"/>
        <w:spacing w:before="50" w:beforeAutospacing="0" w:after="0" w:afterAutospacing="0" w:line="360" w:lineRule="auto"/>
        <w:rPr>
          <w:b/>
          <w:bCs/>
          <w:color w:val="auto"/>
        </w:rPr>
      </w:pPr>
      <w:r>
        <w:rPr>
          <w:rFonts w:hint="eastAsia"/>
          <w:b/>
          <w:bCs/>
          <w:color w:val="auto"/>
        </w:rPr>
        <w:t>五、响应文件开启</w:t>
      </w:r>
    </w:p>
    <w:p>
      <w:pPr>
        <w:pStyle w:val="19"/>
        <w:shd w:val="clear" w:color="auto" w:fill="FFFFFF"/>
        <w:adjustRightInd w:val="0"/>
        <w:spacing w:before="50" w:beforeAutospacing="0" w:after="0" w:afterAutospacing="0" w:line="360" w:lineRule="auto"/>
        <w:ind w:firstLine="480" w:firstLineChars="200"/>
        <w:rPr>
          <w:color w:val="auto"/>
        </w:rPr>
      </w:pPr>
      <w:r>
        <w:rPr>
          <w:color w:val="auto"/>
        </w:rPr>
        <w:t>1.</w:t>
      </w:r>
      <w:r>
        <w:rPr>
          <w:rFonts w:hint="eastAsia"/>
          <w:color w:val="auto"/>
        </w:rPr>
        <w:t>时间：</w:t>
      </w:r>
      <w:r>
        <w:rPr>
          <w:color w:val="auto"/>
        </w:rPr>
        <w:t>2020</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29</w:t>
      </w:r>
      <w:r>
        <w:rPr>
          <w:rFonts w:hint="eastAsia"/>
          <w:color w:val="auto"/>
        </w:rPr>
        <w:t>日</w:t>
      </w:r>
      <w:r>
        <w:rPr>
          <w:color w:val="auto"/>
        </w:rPr>
        <w:t>09</w:t>
      </w:r>
      <w:r>
        <w:rPr>
          <w:rFonts w:hint="eastAsia"/>
          <w:color w:val="auto"/>
        </w:rPr>
        <w:t>时</w:t>
      </w:r>
      <w:r>
        <w:rPr>
          <w:color w:val="auto"/>
        </w:rPr>
        <w:t>00</w:t>
      </w:r>
      <w:r>
        <w:rPr>
          <w:rFonts w:hint="eastAsia"/>
          <w:color w:val="auto"/>
        </w:rPr>
        <w:t>分（北京时间）</w:t>
      </w:r>
    </w:p>
    <w:p>
      <w:pPr>
        <w:pStyle w:val="19"/>
        <w:shd w:val="clear" w:color="auto" w:fill="FFFFFF"/>
        <w:adjustRightInd w:val="0"/>
        <w:spacing w:before="50" w:beforeAutospacing="0" w:after="0" w:afterAutospacing="0" w:line="360" w:lineRule="auto"/>
        <w:ind w:firstLine="480" w:firstLineChars="200"/>
        <w:rPr>
          <w:color w:val="auto"/>
        </w:rPr>
      </w:pPr>
      <w:r>
        <w:rPr>
          <w:color w:val="auto"/>
        </w:rPr>
        <w:t>2.</w:t>
      </w:r>
      <w:r>
        <w:rPr>
          <w:rFonts w:hint="eastAsia"/>
          <w:color w:val="auto"/>
        </w:rPr>
        <w:t>地点：安阳市公共资源交易中心五楼集中开标大厅</w:t>
      </w:r>
      <w:r>
        <w:rPr>
          <w:rFonts w:hint="eastAsia"/>
          <w:color w:val="auto"/>
          <w:lang w:val="en-US" w:eastAsia="zh-CN"/>
        </w:rPr>
        <w:t>一</w:t>
      </w:r>
      <w:r>
        <w:rPr>
          <w:rFonts w:hint="eastAsia"/>
          <w:color w:val="auto"/>
        </w:rPr>
        <w:t>室。</w:t>
      </w:r>
    </w:p>
    <w:p>
      <w:pPr>
        <w:pStyle w:val="19"/>
        <w:shd w:val="clear" w:color="auto" w:fill="FFFFFF"/>
        <w:adjustRightInd w:val="0"/>
        <w:spacing w:before="50" w:beforeAutospacing="0" w:after="0" w:afterAutospacing="0" w:line="360" w:lineRule="auto"/>
        <w:rPr>
          <w:b/>
          <w:bCs/>
          <w:color w:val="auto"/>
        </w:rPr>
      </w:pPr>
      <w:r>
        <w:rPr>
          <w:rFonts w:hint="eastAsia"/>
          <w:b/>
          <w:bCs/>
          <w:color w:val="auto"/>
        </w:rPr>
        <w:t>六、发布公告的媒介及公告期限</w:t>
      </w:r>
    </w:p>
    <w:p>
      <w:pPr>
        <w:pStyle w:val="19"/>
        <w:shd w:val="clear" w:color="auto" w:fill="FFFFFF"/>
        <w:adjustRightInd w:val="0"/>
        <w:spacing w:before="50" w:beforeAutospacing="0" w:after="0" w:afterAutospacing="0" w:line="360" w:lineRule="auto"/>
        <w:ind w:firstLine="480" w:firstLineChars="200"/>
        <w:rPr>
          <w:color w:val="auto"/>
        </w:rPr>
      </w:pPr>
      <w:r>
        <w:rPr>
          <w:rFonts w:hint="eastAsia"/>
          <w:color w:val="auto"/>
        </w:rPr>
        <w:t>本次公告在《河南省政府采购网》、</w:t>
      </w:r>
      <w:r>
        <w:rPr>
          <w:rFonts w:hint="eastAsia"/>
        </w:rPr>
        <w:t>《安阳市政府采购网》、《安阳市公共资源交易中心网》上同时发</w:t>
      </w:r>
      <w:r>
        <w:rPr>
          <w:rFonts w:hint="eastAsia"/>
          <w:color w:val="auto"/>
        </w:rPr>
        <w:t>布。公告期限为五个工作日</w:t>
      </w:r>
      <w:r>
        <w:rPr>
          <w:color w:val="auto"/>
        </w:rPr>
        <w:t>2020</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07</w:t>
      </w:r>
      <w:r>
        <w:rPr>
          <w:rFonts w:hint="eastAsia"/>
          <w:color w:val="auto"/>
        </w:rPr>
        <w:t>日至</w:t>
      </w:r>
      <w:r>
        <w:rPr>
          <w:color w:val="auto"/>
        </w:rPr>
        <w:t>2020</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11</w:t>
      </w:r>
      <w:r>
        <w:rPr>
          <w:rFonts w:hint="eastAsia"/>
          <w:color w:val="auto"/>
        </w:rPr>
        <w:t>日。</w:t>
      </w:r>
    </w:p>
    <w:p>
      <w:pPr>
        <w:pStyle w:val="19"/>
        <w:shd w:val="clear" w:color="auto" w:fill="FFFFFF"/>
        <w:adjustRightInd w:val="0"/>
        <w:spacing w:before="50" w:beforeAutospacing="0" w:after="0" w:afterAutospacing="0" w:line="360" w:lineRule="auto"/>
      </w:pPr>
      <w:r>
        <w:rPr>
          <w:rFonts w:hint="eastAsia"/>
          <w:b/>
          <w:bCs/>
          <w:color w:val="auto"/>
        </w:rPr>
        <w:t>七、其他补充事宜</w:t>
      </w:r>
    </w:p>
    <w:p>
      <w:pPr>
        <w:pStyle w:val="19"/>
        <w:shd w:val="clear" w:color="auto" w:fill="FFFFFF"/>
        <w:adjustRightInd w:val="0"/>
        <w:spacing w:before="50" w:beforeAutospacing="0" w:after="0" w:afterAutospacing="0" w:line="360" w:lineRule="auto"/>
        <w:ind w:firstLine="480" w:firstLineChars="200"/>
      </w:pPr>
      <w:r>
        <w:rPr>
          <w:rFonts w:hint="eastAsia"/>
        </w:rPr>
        <w:t>强制节能产品强制采购、节能产品及环境标志产品优先采购、促进中小企业发展扶持政策、促进残疾人就业、支持监狱企业发展等。</w:t>
      </w:r>
    </w:p>
    <w:p>
      <w:pPr>
        <w:pStyle w:val="19"/>
        <w:shd w:val="clear" w:color="auto" w:fill="FFFFFF"/>
        <w:adjustRightInd w:val="0"/>
        <w:spacing w:before="50" w:beforeAutospacing="0" w:after="0" w:afterAutospacing="0" w:line="360" w:lineRule="auto"/>
      </w:pPr>
      <w:r>
        <w:rPr>
          <w:rFonts w:hint="eastAsia"/>
          <w:bCs/>
        </w:rPr>
        <w:t>政府采购合同融资</w:t>
      </w:r>
      <w:r>
        <w:rPr>
          <w:rFonts w:hint="eastAsia"/>
        </w:rPr>
        <w:t>：根据豫财购〔</w:t>
      </w:r>
      <w:r>
        <w:t>2017</w:t>
      </w:r>
      <w:r>
        <w:rPr>
          <w:rFonts w:hint="eastAsia"/>
        </w:rPr>
        <w:t>〕</w:t>
      </w:r>
      <w:r>
        <w:t>10</w:t>
      </w:r>
      <w:r>
        <w:rPr>
          <w:rFonts w:hint="eastAsia"/>
        </w:rPr>
        <w:t>号和安财购〔</w:t>
      </w:r>
      <w:r>
        <w:t>2017</w:t>
      </w:r>
      <w:r>
        <w:rPr>
          <w:rFonts w:hint="eastAsia"/>
        </w:rPr>
        <w:t>〕</w:t>
      </w:r>
      <w:r>
        <w:t>7</w:t>
      </w:r>
      <w:r>
        <w:rPr>
          <w:rFonts w:hint="eastAsia"/>
        </w:rPr>
        <w:t>号文要求，参加政府采购项目的中小微企业供应商，持中标（成交）通知书可向金融机构申请合同融资，详情请登录安阳市政府采购网（</w:t>
      </w:r>
      <w:r>
        <w:t>http://anyang.hngp.gov.cn/anyang</w:t>
      </w:r>
      <w:r>
        <w:rPr>
          <w:rFonts w:hint="eastAsia"/>
        </w:rPr>
        <w:t>），进入网站飘窗或业务指南窗口了解金融机构提供的融资服务内容。</w:t>
      </w:r>
    </w:p>
    <w:p>
      <w:pPr>
        <w:pStyle w:val="19"/>
        <w:shd w:val="clear" w:color="auto" w:fill="FFFFFF"/>
        <w:adjustRightInd w:val="0"/>
        <w:spacing w:before="50" w:beforeAutospacing="0" w:after="0" w:afterAutospacing="0" w:line="360" w:lineRule="auto"/>
        <w:rPr>
          <w:b/>
          <w:bCs/>
        </w:rPr>
      </w:pPr>
      <w:r>
        <w:rPr>
          <w:rFonts w:hint="eastAsia"/>
          <w:b/>
          <w:bCs/>
        </w:rPr>
        <w:t>八、凡对本次招标提出询问，请按照以下方式联系</w:t>
      </w:r>
    </w:p>
    <w:p>
      <w:pPr>
        <w:pStyle w:val="19"/>
        <w:shd w:val="clear" w:color="auto" w:fill="FFFFFF"/>
        <w:adjustRightInd w:val="0"/>
        <w:spacing w:before="50" w:beforeAutospacing="0" w:after="0" w:afterAutospacing="0" w:line="360" w:lineRule="auto"/>
        <w:ind w:firstLine="482" w:firstLineChars="200"/>
        <w:rPr>
          <w:b/>
          <w:bCs/>
        </w:rPr>
      </w:pPr>
      <w:r>
        <w:rPr>
          <w:b/>
          <w:bCs/>
        </w:rPr>
        <w:t>1.</w:t>
      </w:r>
      <w:r>
        <w:rPr>
          <w:rFonts w:hint="eastAsia"/>
          <w:b/>
          <w:bCs/>
        </w:rPr>
        <w:t>采购人信息</w:t>
      </w:r>
    </w:p>
    <w:p>
      <w:pPr>
        <w:spacing w:line="360" w:lineRule="auto"/>
        <w:ind w:firstLine="480" w:firstLineChars="200"/>
        <w:rPr>
          <w:rFonts w:ascii="宋体" w:cs="宋体"/>
          <w:color w:val="auto"/>
          <w:sz w:val="24"/>
          <w:szCs w:val="24"/>
        </w:rPr>
      </w:pPr>
      <w:r>
        <w:rPr>
          <w:rFonts w:hint="eastAsia" w:ascii="宋体" w:hAnsi="宋体" w:cs="宋体"/>
          <w:color w:val="auto"/>
          <w:sz w:val="24"/>
          <w:szCs w:val="24"/>
        </w:rPr>
        <w:t>名称：安阳市人民公园</w:t>
      </w:r>
    </w:p>
    <w:p>
      <w:pPr>
        <w:spacing w:line="360" w:lineRule="auto"/>
        <w:ind w:firstLine="480" w:firstLineChars="200"/>
        <w:rPr>
          <w:rFonts w:ascii="宋体" w:cs="宋体"/>
          <w:color w:val="auto"/>
          <w:sz w:val="24"/>
          <w:szCs w:val="24"/>
        </w:rPr>
      </w:pPr>
      <w:r>
        <w:rPr>
          <w:rFonts w:hint="eastAsia" w:ascii="宋体" w:hAnsi="宋体" w:cs="宋体"/>
          <w:color w:val="auto"/>
          <w:sz w:val="24"/>
          <w:szCs w:val="24"/>
        </w:rPr>
        <w:t>地址：安阳市东风路</w:t>
      </w:r>
      <w:r>
        <w:rPr>
          <w:rFonts w:ascii="宋体" w:hAnsi="宋体" w:cs="宋体"/>
          <w:color w:val="auto"/>
          <w:sz w:val="24"/>
          <w:szCs w:val="24"/>
        </w:rPr>
        <w:t>73</w:t>
      </w:r>
      <w:r>
        <w:rPr>
          <w:rFonts w:hint="eastAsia" w:ascii="宋体" w:hAnsi="宋体" w:cs="宋体"/>
          <w:color w:val="auto"/>
          <w:sz w:val="24"/>
          <w:szCs w:val="24"/>
        </w:rPr>
        <w:t>号</w:t>
      </w:r>
    </w:p>
    <w:p>
      <w:pPr>
        <w:spacing w:line="360" w:lineRule="auto"/>
        <w:ind w:firstLine="480" w:firstLineChars="200"/>
        <w:rPr>
          <w:rFonts w:ascii="宋体" w:cs="宋体"/>
          <w:color w:val="auto"/>
          <w:sz w:val="24"/>
          <w:szCs w:val="24"/>
        </w:rPr>
      </w:pPr>
      <w:r>
        <w:rPr>
          <w:rFonts w:hint="eastAsia" w:ascii="宋体" w:hAnsi="宋体" w:cs="宋体"/>
          <w:color w:val="auto"/>
          <w:sz w:val="24"/>
          <w:szCs w:val="24"/>
        </w:rPr>
        <w:t>联系人：李老师</w:t>
      </w:r>
    </w:p>
    <w:p>
      <w:pPr>
        <w:spacing w:line="360" w:lineRule="auto"/>
        <w:ind w:firstLine="480" w:firstLineChars="200"/>
        <w:rPr>
          <w:rFonts w:ascii="宋体" w:cs="宋体"/>
          <w:color w:val="auto"/>
          <w:sz w:val="24"/>
          <w:szCs w:val="24"/>
        </w:rPr>
      </w:pPr>
      <w:r>
        <w:rPr>
          <w:rFonts w:hint="eastAsia" w:ascii="宋体" w:hAnsi="宋体" w:cs="宋体"/>
          <w:color w:val="auto"/>
          <w:sz w:val="24"/>
          <w:szCs w:val="24"/>
        </w:rPr>
        <w:t>联系方式：</w:t>
      </w:r>
      <w:r>
        <w:rPr>
          <w:rFonts w:ascii="宋体" w:hAnsi="宋体" w:cs="宋体"/>
          <w:color w:val="auto"/>
          <w:sz w:val="24"/>
          <w:szCs w:val="24"/>
        </w:rPr>
        <w:t>15518800717</w:t>
      </w:r>
    </w:p>
    <w:p>
      <w:pPr>
        <w:spacing w:line="360" w:lineRule="auto"/>
        <w:ind w:firstLine="482" w:firstLineChars="200"/>
        <w:rPr>
          <w:rFonts w:ascii="宋体" w:cs="宋体"/>
          <w:b/>
          <w:bCs/>
          <w:color w:val="auto"/>
          <w:sz w:val="24"/>
          <w:szCs w:val="24"/>
        </w:rPr>
      </w:pPr>
      <w:r>
        <w:rPr>
          <w:rFonts w:ascii="宋体" w:hAnsi="宋体" w:cs="宋体"/>
          <w:b/>
          <w:bCs/>
          <w:color w:val="auto"/>
          <w:sz w:val="24"/>
          <w:szCs w:val="24"/>
        </w:rPr>
        <w:t>2.</w:t>
      </w:r>
      <w:r>
        <w:rPr>
          <w:rFonts w:hint="eastAsia" w:ascii="宋体" w:hAnsi="宋体" w:cs="宋体"/>
          <w:b/>
          <w:bCs/>
          <w:color w:val="auto"/>
          <w:sz w:val="24"/>
          <w:szCs w:val="24"/>
        </w:rPr>
        <w:t>代理机构信息</w:t>
      </w:r>
    </w:p>
    <w:p>
      <w:pPr>
        <w:widowControl w:val="0"/>
        <w:tabs>
          <w:tab w:val="left" w:pos="39"/>
          <w:tab w:val="left" w:pos="96"/>
        </w:tabs>
        <w:snapToGrid w:val="0"/>
        <w:spacing w:line="360" w:lineRule="auto"/>
        <w:ind w:firstLine="480" w:firstLineChars="200"/>
        <w:rPr>
          <w:rFonts w:ascii="宋体" w:cs="宋体"/>
          <w:color w:val="auto"/>
          <w:sz w:val="24"/>
          <w:szCs w:val="24"/>
        </w:rPr>
      </w:pPr>
      <w:r>
        <w:rPr>
          <w:rFonts w:hint="eastAsia" w:ascii="宋体" w:hAnsi="宋体" w:cs="宋体"/>
          <w:color w:val="auto"/>
          <w:sz w:val="24"/>
          <w:szCs w:val="24"/>
        </w:rPr>
        <w:t>名称：</w:t>
      </w:r>
      <w:r>
        <w:rPr>
          <w:rFonts w:hint="eastAsia" w:ascii="宋体" w:hAnsi="宋体" w:cs="宋体"/>
          <w:sz w:val="24"/>
          <w:szCs w:val="24"/>
        </w:rPr>
        <w:t>中资国际工程咨询集团有限责任公司</w:t>
      </w:r>
    </w:p>
    <w:p>
      <w:pPr>
        <w:spacing w:line="360" w:lineRule="auto"/>
        <w:ind w:firstLine="480" w:firstLineChars="200"/>
        <w:rPr>
          <w:rFonts w:ascii="宋体" w:cs="宋体"/>
          <w:color w:val="auto"/>
          <w:sz w:val="24"/>
          <w:szCs w:val="24"/>
        </w:rPr>
      </w:pPr>
      <w:r>
        <w:rPr>
          <w:rFonts w:hint="eastAsia" w:ascii="宋体" w:hAnsi="宋体" w:cs="宋体"/>
          <w:color w:val="auto"/>
          <w:sz w:val="24"/>
          <w:szCs w:val="24"/>
        </w:rPr>
        <w:t>地址：</w:t>
      </w:r>
      <w:r>
        <w:rPr>
          <w:rFonts w:hint="eastAsia" w:ascii="宋体" w:hAnsi="宋体" w:cs="宋体"/>
          <w:sz w:val="24"/>
          <w:szCs w:val="24"/>
        </w:rPr>
        <w:t>海河大道与平原路交叉口向西</w:t>
      </w:r>
      <w:r>
        <w:rPr>
          <w:rFonts w:ascii="宋体" w:hAnsi="宋体" w:cs="宋体"/>
          <w:sz w:val="24"/>
          <w:szCs w:val="24"/>
        </w:rPr>
        <w:t>100</w:t>
      </w:r>
      <w:r>
        <w:rPr>
          <w:rFonts w:hint="eastAsia" w:ascii="宋体" w:hAnsi="宋体" w:cs="宋体"/>
          <w:sz w:val="24"/>
          <w:szCs w:val="24"/>
        </w:rPr>
        <w:t>米路南安阳高新技术创业服务中心一楼</w:t>
      </w:r>
    </w:p>
    <w:p>
      <w:pPr>
        <w:spacing w:line="360" w:lineRule="auto"/>
        <w:ind w:firstLine="480" w:firstLineChars="200"/>
        <w:rPr>
          <w:rFonts w:ascii="宋体" w:cs="宋体"/>
          <w:color w:val="auto"/>
          <w:sz w:val="24"/>
          <w:szCs w:val="24"/>
        </w:rPr>
      </w:pPr>
      <w:r>
        <w:rPr>
          <w:rFonts w:hint="eastAsia" w:ascii="宋体" w:hAnsi="宋体" w:cs="宋体"/>
          <w:color w:val="auto"/>
          <w:sz w:val="24"/>
          <w:szCs w:val="24"/>
        </w:rPr>
        <w:t>联系人：唐晓</w:t>
      </w:r>
    </w:p>
    <w:p>
      <w:pPr>
        <w:spacing w:line="360" w:lineRule="auto"/>
        <w:ind w:firstLine="480" w:firstLineChars="200"/>
        <w:rPr>
          <w:rFonts w:hint="default" w:ascii="宋体" w:eastAsia="宋体" w:cs="宋体"/>
          <w:sz w:val="24"/>
          <w:szCs w:val="24"/>
          <w:lang w:val="en-US" w:eastAsia="zh-CN"/>
        </w:rPr>
      </w:pPr>
      <w:r>
        <w:rPr>
          <w:rFonts w:hint="eastAsia" w:ascii="宋体" w:hAnsi="宋体" w:cs="宋体"/>
          <w:color w:val="auto"/>
          <w:sz w:val="24"/>
          <w:szCs w:val="24"/>
        </w:rPr>
        <w:t>联系方式：</w:t>
      </w:r>
      <w:r>
        <w:rPr>
          <w:rFonts w:ascii="宋体" w:hAnsi="宋体" w:cs="宋体"/>
          <w:sz w:val="24"/>
          <w:szCs w:val="24"/>
        </w:rPr>
        <w:t xml:space="preserve">0372-2166011    </w:t>
      </w:r>
      <w:r>
        <w:rPr>
          <w:rFonts w:hint="eastAsia" w:ascii="宋体" w:hAnsi="宋体" w:cs="宋体"/>
          <w:sz w:val="24"/>
          <w:szCs w:val="24"/>
          <w:lang w:val="en-US" w:eastAsia="zh-CN"/>
        </w:rPr>
        <w:t>15670017762</w:t>
      </w:r>
    </w:p>
    <w:p>
      <w:pPr>
        <w:pStyle w:val="2"/>
        <w:spacing w:line="360" w:lineRule="auto"/>
        <w:ind w:firstLine="482" w:firstLineChars="200"/>
        <w:rPr>
          <w:rFonts w:ascii="宋体" w:cs="宋体"/>
          <w:color w:val="000000"/>
          <w:sz w:val="24"/>
          <w:szCs w:val="24"/>
        </w:rPr>
      </w:pPr>
      <w:r>
        <w:rPr>
          <w:rFonts w:ascii="宋体" w:hAnsi="宋体" w:cs="宋体"/>
          <w:b/>
          <w:bCs/>
          <w:color w:val="000000"/>
          <w:sz w:val="24"/>
          <w:szCs w:val="24"/>
        </w:rPr>
        <w:t>3.</w:t>
      </w:r>
      <w:r>
        <w:rPr>
          <w:rFonts w:hint="eastAsia" w:ascii="宋体" w:hAnsi="宋体" w:cs="宋体"/>
          <w:b/>
          <w:bCs/>
          <w:color w:val="000000"/>
          <w:sz w:val="24"/>
          <w:szCs w:val="24"/>
        </w:rPr>
        <w:t>项目联系方式</w:t>
      </w:r>
    </w:p>
    <w:p>
      <w:pPr>
        <w:pStyle w:val="2"/>
        <w:spacing w:line="360" w:lineRule="auto"/>
        <w:ind w:firstLine="480" w:firstLineChars="200"/>
        <w:rPr>
          <w:rFonts w:ascii="宋体" w:cs="宋体"/>
          <w:color w:val="000000"/>
          <w:sz w:val="24"/>
          <w:szCs w:val="24"/>
        </w:rPr>
      </w:pPr>
      <w:r>
        <w:rPr>
          <w:rFonts w:hint="eastAsia" w:ascii="宋体" w:hAnsi="宋体" w:cs="宋体"/>
          <w:color w:val="000000"/>
          <w:sz w:val="24"/>
          <w:szCs w:val="24"/>
        </w:rPr>
        <w:t>项目联系人：</w:t>
      </w:r>
      <w:r>
        <w:rPr>
          <w:rFonts w:hint="eastAsia" w:ascii="宋体" w:hAnsi="宋体" w:cs="宋体"/>
          <w:sz w:val="24"/>
          <w:szCs w:val="24"/>
          <w:u w:color="000000"/>
        </w:rPr>
        <w:t>唐晓</w:t>
      </w:r>
    </w:p>
    <w:p>
      <w:pPr>
        <w:spacing w:line="360" w:lineRule="auto"/>
        <w:ind w:firstLine="480" w:firstLineChars="200"/>
        <w:rPr>
          <w:rFonts w:ascii="宋体" w:cs="宋体"/>
          <w:sz w:val="24"/>
          <w:szCs w:val="24"/>
        </w:rPr>
      </w:pPr>
      <w:r>
        <w:rPr>
          <w:rFonts w:hint="eastAsia" w:ascii="宋体" w:hAnsi="宋体" w:cs="宋体"/>
          <w:sz w:val="24"/>
          <w:szCs w:val="24"/>
        </w:rPr>
        <w:t>联系方式：</w:t>
      </w:r>
      <w:r>
        <w:rPr>
          <w:rFonts w:ascii="宋体" w:hAnsi="宋体" w:cs="宋体"/>
          <w:sz w:val="24"/>
          <w:szCs w:val="24"/>
        </w:rPr>
        <w:t xml:space="preserve">0372-2166011    </w:t>
      </w:r>
      <w:r>
        <w:rPr>
          <w:rFonts w:hint="eastAsia" w:ascii="宋体" w:hAnsi="宋体" w:cs="宋体"/>
          <w:sz w:val="24"/>
          <w:szCs w:val="24"/>
          <w:lang w:val="en-US" w:eastAsia="zh-CN"/>
        </w:rPr>
        <w:t>15670017762</w:t>
      </w:r>
    </w:p>
    <w:p/>
    <w:p>
      <w:pPr>
        <w:widowControl w:val="0"/>
        <w:tabs>
          <w:tab w:val="left" w:pos="39"/>
          <w:tab w:val="left" w:pos="96"/>
        </w:tabs>
        <w:snapToGrid w:val="0"/>
        <w:spacing w:line="360" w:lineRule="auto"/>
        <w:jc w:val="center"/>
        <w:rPr>
          <w:rFonts w:eastAsia="黑体"/>
          <w:b/>
          <w:color w:val="auto"/>
          <w:sz w:val="36"/>
          <w:szCs w:val="36"/>
        </w:rPr>
      </w:pPr>
      <w:r>
        <w:rPr>
          <w:rFonts w:eastAsia="黑体"/>
          <w:b/>
          <w:color w:val="auto"/>
          <w:sz w:val="36"/>
          <w:szCs w:val="36"/>
        </w:rPr>
        <w:br w:type="page"/>
      </w:r>
    </w:p>
    <w:p>
      <w:pPr>
        <w:widowControl w:val="0"/>
        <w:tabs>
          <w:tab w:val="left" w:pos="39"/>
          <w:tab w:val="left" w:pos="96"/>
        </w:tabs>
        <w:snapToGrid w:val="0"/>
        <w:spacing w:line="360" w:lineRule="auto"/>
        <w:jc w:val="center"/>
        <w:rPr>
          <w:rFonts w:eastAsia="方正黑体简体"/>
          <w:color w:val="auto"/>
          <w:sz w:val="36"/>
          <w:szCs w:val="36"/>
        </w:rPr>
      </w:pPr>
      <w:r>
        <w:rPr>
          <w:rFonts w:hint="eastAsia" w:eastAsia="黑体"/>
          <w:b/>
          <w:color w:val="auto"/>
          <w:sz w:val="36"/>
          <w:szCs w:val="36"/>
        </w:rPr>
        <w:t>第二章招标项目要求及采购需求</w:t>
      </w:r>
      <w:bookmarkEnd w:id="1"/>
    </w:p>
    <w:p>
      <w:pPr>
        <w:widowControl w:val="0"/>
        <w:snapToGrid w:val="0"/>
        <w:spacing w:line="360" w:lineRule="auto"/>
        <w:jc w:val="center"/>
        <w:rPr>
          <w:b/>
          <w:color w:val="auto"/>
          <w:sz w:val="28"/>
        </w:rPr>
      </w:pPr>
    </w:p>
    <w:p>
      <w:pPr>
        <w:widowControl w:val="0"/>
        <w:snapToGrid w:val="0"/>
        <w:spacing w:line="360" w:lineRule="auto"/>
        <w:ind w:firstLine="422" w:firstLineChars="150"/>
        <w:jc w:val="left"/>
        <w:outlineLvl w:val="1"/>
        <w:rPr>
          <w:rFonts w:ascii="黑体" w:hAnsi="黑体" w:eastAsia="黑体"/>
          <w:b/>
          <w:color w:val="auto"/>
          <w:sz w:val="28"/>
        </w:rPr>
      </w:pPr>
      <w:bookmarkStart w:id="2" w:name="_Toc529805750"/>
      <w:r>
        <w:rPr>
          <w:rFonts w:ascii="黑体" w:hAnsi="黑体" w:eastAsia="黑体"/>
          <w:b/>
          <w:color w:val="auto"/>
          <w:sz w:val="28"/>
        </w:rPr>
        <w:t xml:space="preserve">1. </w:t>
      </w:r>
      <w:r>
        <w:rPr>
          <w:rFonts w:hint="eastAsia" w:ascii="黑体" w:hAnsi="黑体" w:eastAsia="黑体"/>
          <w:b/>
          <w:color w:val="auto"/>
          <w:sz w:val="28"/>
        </w:rPr>
        <w:t>招标项目、标段划分、投标报价</w:t>
      </w:r>
      <w:bookmarkEnd w:id="2"/>
    </w:p>
    <w:p>
      <w:pPr>
        <w:widowControl w:val="0"/>
        <w:snapToGrid w:val="0"/>
        <w:spacing w:line="360" w:lineRule="auto"/>
        <w:ind w:firstLine="482" w:firstLineChars="200"/>
        <w:jc w:val="left"/>
        <w:rPr>
          <w:rFonts w:hint="eastAsia" w:eastAsia="宋体"/>
          <w:color w:val="auto"/>
          <w:sz w:val="24"/>
          <w:szCs w:val="24"/>
          <w:lang w:eastAsia="zh-CN"/>
        </w:rPr>
      </w:pPr>
      <w:r>
        <w:rPr>
          <w:rFonts w:ascii="黑体" w:hAnsi="黑体" w:eastAsia="黑体"/>
          <w:b/>
          <w:color w:val="auto"/>
          <w:sz w:val="24"/>
          <w:szCs w:val="24"/>
        </w:rPr>
        <w:t>1.1</w:t>
      </w:r>
      <w:r>
        <w:rPr>
          <w:rFonts w:hint="eastAsia" w:ascii="黑体" w:hAnsi="黑体" w:eastAsia="黑体"/>
          <w:b/>
          <w:color w:val="auto"/>
          <w:sz w:val="24"/>
          <w:szCs w:val="24"/>
        </w:rPr>
        <w:t>招标（标段）项目名称</w:t>
      </w:r>
      <w:r>
        <w:rPr>
          <w:rFonts w:hint="eastAsia"/>
          <w:color w:val="auto"/>
          <w:sz w:val="24"/>
          <w:szCs w:val="24"/>
        </w:rPr>
        <w:t>：安阳市人民公园</w:t>
      </w:r>
      <w:r>
        <w:rPr>
          <w:color w:val="auto"/>
          <w:sz w:val="24"/>
          <w:szCs w:val="24"/>
        </w:rPr>
        <w:t>202</w:t>
      </w:r>
      <w:r>
        <w:rPr>
          <w:rFonts w:hint="eastAsia"/>
          <w:color w:val="auto"/>
          <w:sz w:val="24"/>
          <w:szCs w:val="24"/>
          <w:lang w:val="en-US" w:eastAsia="zh-CN"/>
        </w:rPr>
        <w:t>1</w:t>
      </w:r>
      <w:r>
        <w:rPr>
          <w:rFonts w:hint="eastAsia"/>
          <w:color w:val="auto"/>
          <w:sz w:val="24"/>
          <w:szCs w:val="24"/>
        </w:rPr>
        <w:t>年政府购买服务绿地管养项目</w:t>
      </w:r>
      <w:r>
        <w:rPr>
          <w:rFonts w:hint="eastAsia"/>
          <w:color w:val="auto"/>
          <w:sz w:val="24"/>
          <w:szCs w:val="24"/>
          <w:lang w:eastAsia="zh-CN"/>
        </w:rPr>
        <w:t>二次</w:t>
      </w:r>
    </w:p>
    <w:p>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标段划分及其交付（实施）期交付（实施）地点</w:t>
      </w:r>
      <w:r>
        <w:rPr>
          <w:rFonts w:hint="eastAsia"/>
          <w:color w:val="auto"/>
          <w:sz w:val="24"/>
          <w:szCs w:val="24"/>
        </w:rPr>
        <w:t>：本次招标项目划分为</w:t>
      </w:r>
      <w:r>
        <w:rPr>
          <w:color w:val="auto"/>
          <w:sz w:val="24"/>
          <w:szCs w:val="24"/>
        </w:rPr>
        <w:t>1</w:t>
      </w:r>
      <w:r>
        <w:rPr>
          <w:rFonts w:hint="eastAsia"/>
          <w:color w:val="auto"/>
          <w:sz w:val="24"/>
          <w:szCs w:val="24"/>
        </w:rPr>
        <w:t>个标段。</w:t>
      </w:r>
    </w:p>
    <w:tbl>
      <w:tblPr>
        <w:tblStyle w:val="23"/>
        <w:tblW w:w="9898"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2917"/>
        <w:gridCol w:w="1896"/>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574" w:type="dxa"/>
            <w:vAlign w:val="center"/>
          </w:tcPr>
          <w:p>
            <w:pPr>
              <w:widowControl w:val="0"/>
              <w:snapToGrid w:val="0"/>
              <w:spacing w:line="240" w:lineRule="auto"/>
              <w:jc w:val="center"/>
              <w:rPr>
                <w:b/>
                <w:color w:val="auto"/>
                <w:sz w:val="24"/>
                <w:szCs w:val="24"/>
              </w:rPr>
            </w:pPr>
            <w:r>
              <w:rPr>
                <w:rFonts w:hint="eastAsia"/>
                <w:b/>
                <w:color w:val="auto"/>
                <w:sz w:val="24"/>
                <w:szCs w:val="24"/>
              </w:rPr>
              <w:t>项目名称</w:t>
            </w:r>
          </w:p>
        </w:tc>
        <w:tc>
          <w:tcPr>
            <w:tcW w:w="2917" w:type="dxa"/>
            <w:vAlign w:val="center"/>
          </w:tcPr>
          <w:p>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标段内容（范围）</w:t>
            </w:r>
          </w:p>
        </w:tc>
        <w:tc>
          <w:tcPr>
            <w:tcW w:w="1896" w:type="dxa"/>
            <w:vAlign w:val="center"/>
          </w:tcPr>
          <w:p>
            <w:pPr>
              <w:widowControl w:val="0"/>
              <w:snapToGrid w:val="0"/>
              <w:spacing w:line="240" w:lineRule="auto"/>
              <w:jc w:val="center"/>
              <w:rPr>
                <w:b/>
                <w:color w:val="auto"/>
                <w:sz w:val="24"/>
                <w:szCs w:val="24"/>
              </w:rPr>
            </w:pPr>
            <w:r>
              <w:rPr>
                <w:rFonts w:hint="eastAsia" w:ascii="宋体" w:hAnsi="宋体"/>
                <w:b/>
                <w:color w:val="auto"/>
                <w:sz w:val="24"/>
                <w:szCs w:val="24"/>
              </w:rPr>
              <w:t>服务期</w:t>
            </w:r>
          </w:p>
        </w:tc>
        <w:tc>
          <w:tcPr>
            <w:tcW w:w="2511" w:type="dxa"/>
            <w:vAlign w:val="center"/>
          </w:tcPr>
          <w:p>
            <w:pPr>
              <w:widowControl w:val="0"/>
              <w:snapToGrid w:val="0"/>
              <w:spacing w:line="240" w:lineRule="auto"/>
              <w:jc w:val="center"/>
              <w:rPr>
                <w:b/>
                <w:color w:val="auto"/>
                <w:sz w:val="24"/>
                <w:szCs w:val="24"/>
              </w:rPr>
            </w:pPr>
            <w:r>
              <w:rPr>
                <w:rFonts w:hint="eastAsia" w:ascii="宋体" w:hAnsi="宋体"/>
                <w:b/>
                <w:color w:val="auto"/>
                <w:sz w:val="24"/>
                <w:szCs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2574" w:type="dxa"/>
            <w:vAlign w:val="center"/>
          </w:tcPr>
          <w:p>
            <w:pPr>
              <w:widowControl w:val="0"/>
              <w:adjustRightInd w:val="0"/>
              <w:snapToGrid w:val="0"/>
              <w:spacing w:line="240" w:lineRule="auto"/>
              <w:jc w:val="center"/>
              <w:rPr>
                <w:rFonts w:hint="eastAsia" w:ascii="宋体" w:eastAsia="宋体" w:cs="宋体"/>
                <w:b/>
                <w:color w:val="auto"/>
                <w:sz w:val="24"/>
                <w:szCs w:val="24"/>
                <w:lang w:eastAsia="zh-CN"/>
              </w:rPr>
            </w:pPr>
            <w:r>
              <w:rPr>
                <w:rFonts w:hint="eastAsia" w:ascii="宋体" w:hAnsi="宋体" w:cs="宋体"/>
                <w:b/>
                <w:color w:val="auto"/>
                <w:sz w:val="24"/>
                <w:szCs w:val="24"/>
              </w:rPr>
              <w:t>安阳市人民公园</w:t>
            </w:r>
            <w:r>
              <w:rPr>
                <w:rFonts w:ascii="宋体" w:hAnsi="宋体" w:cs="宋体"/>
                <w:b/>
                <w:color w:val="auto"/>
                <w:sz w:val="24"/>
                <w:szCs w:val="24"/>
              </w:rPr>
              <w:t>2021</w:t>
            </w:r>
            <w:r>
              <w:rPr>
                <w:rFonts w:hint="eastAsia" w:ascii="宋体" w:hAnsi="宋体" w:cs="宋体"/>
                <w:b/>
                <w:color w:val="auto"/>
                <w:sz w:val="24"/>
                <w:szCs w:val="24"/>
              </w:rPr>
              <w:t>年政府购买服务绿地管养项目</w:t>
            </w:r>
            <w:r>
              <w:rPr>
                <w:rFonts w:hint="eastAsia" w:ascii="宋体" w:hAnsi="宋体" w:cs="宋体"/>
                <w:b/>
                <w:color w:val="auto"/>
                <w:sz w:val="24"/>
                <w:szCs w:val="24"/>
                <w:lang w:eastAsia="zh-CN"/>
              </w:rPr>
              <w:t>二次</w:t>
            </w:r>
          </w:p>
        </w:tc>
        <w:tc>
          <w:tcPr>
            <w:tcW w:w="2917" w:type="dxa"/>
            <w:vAlign w:val="center"/>
          </w:tcPr>
          <w:p>
            <w:pPr>
              <w:widowControl w:val="0"/>
              <w:adjustRightInd w:val="0"/>
              <w:snapToGrid w:val="0"/>
              <w:spacing w:line="240" w:lineRule="auto"/>
              <w:jc w:val="center"/>
              <w:rPr>
                <w:rFonts w:ascii="宋体" w:cs="宋体"/>
                <w:color w:val="auto"/>
                <w:sz w:val="24"/>
                <w:szCs w:val="24"/>
              </w:rPr>
            </w:pPr>
            <w:r>
              <w:rPr>
                <w:rFonts w:hint="eastAsia" w:ascii="宋体" w:hAnsi="宋体" w:cs="宋体"/>
                <w:color w:val="auto"/>
                <w:sz w:val="24"/>
                <w:szCs w:val="24"/>
              </w:rPr>
              <w:t>见“第二章第</w:t>
            </w:r>
            <w:r>
              <w:rPr>
                <w:rFonts w:ascii="宋体" w:hAnsi="宋体" w:cs="宋体"/>
                <w:color w:val="auto"/>
                <w:sz w:val="24"/>
                <w:szCs w:val="24"/>
              </w:rPr>
              <w:t>2</w:t>
            </w:r>
            <w:r>
              <w:rPr>
                <w:rFonts w:hint="eastAsia" w:ascii="宋体" w:hAnsi="宋体" w:cs="宋体"/>
                <w:color w:val="auto"/>
                <w:sz w:val="24"/>
                <w:szCs w:val="24"/>
              </w:rPr>
              <w:t>条：标段内容（范围）及具体采购需求”</w:t>
            </w:r>
          </w:p>
        </w:tc>
        <w:tc>
          <w:tcPr>
            <w:tcW w:w="1896" w:type="dxa"/>
            <w:vAlign w:val="center"/>
          </w:tcPr>
          <w:p>
            <w:pPr>
              <w:widowControl w:val="0"/>
              <w:adjustRightInd w:val="0"/>
              <w:snapToGrid w:val="0"/>
              <w:spacing w:line="240" w:lineRule="auto"/>
              <w:jc w:val="center"/>
              <w:rPr>
                <w:rFonts w:ascii="宋体" w:cs="宋体"/>
                <w:color w:val="auto"/>
                <w:sz w:val="24"/>
                <w:szCs w:val="24"/>
              </w:rPr>
            </w:pPr>
            <w:r>
              <w:rPr>
                <w:rFonts w:hint="eastAsia" w:ascii="宋体" w:hAnsi="宋体" w:cs="宋体"/>
                <w:color w:val="auto"/>
                <w:sz w:val="24"/>
                <w:szCs w:val="24"/>
              </w:rPr>
              <w:t>三年</w:t>
            </w:r>
          </w:p>
        </w:tc>
        <w:tc>
          <w:tcPr>
            <w:tcW w:w="2511" w:type="dxa"/>
            <w:vAlign w:val="center"/>
          </w:tcPr>
          <w:p>
            <w:pPr>
              <w:widowControl w:val="0"/>
              <w:adjustRightInd w:val="0"/>
              <w:snapToGrid w:val="0"/>
              <w:spacing w:line="240" w:lineRule="auto"/>
              <w:jc w:val="center"/>
              <w:rPr>
                <w:rFonts w:ascii="宋体" w:cs="宋体"/>
                <w:color w:val="auto"/>
                <w:sz w:val="24"/>
                <w:szCs w:val="24"/>
              </w:rPr>
            </w:pPr>
            <w:r>
              <w:rPr>
                <w:rFonts w:hint="eastAsia" w:ascii="宋体" w:hAnsi="宋体" w:cs="宋体"/>
                <w:color w:val="auto"/>
                <w:sz w:val="24"/>
                <w:szCs w:val="24"/>
              </w:rPr>
              <w:t>采购人指定地点</w:t>
            </w:r>
          </w:p>
        </w:tc>
      </w:tr>
    </w:tbl>
    <w:p>
      <w:pPr>
        <w:spacing w:line="560" w:lineRule="exact"/>
        <w:ind w:firstLine="482" w:firstLineChars="200"/>
        <w:rPr>
          <w:rFonts w:ascii="黑体" w:hAnsi="黑体" w:eastAsia="黑体"/>
          <w:b/>
          <w:color w:val="auto"/>
          <w:sz w:val="24"/>
          <w:szCs w:val="24"/>
        </w:rPr>
      </w:pPr>
    </w:p>
    <w:p>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 xml:space="preserve">1.3 </w:t>
      </w:r>
      <w:r>
        <w:rPr>
          <w:rFonts w:hint="eastAsia" w:ascii="黑体" w:hAnsi="黑体" w:eastAsia="黑体"/>
          <w:b/>
          <w:color w:val="auto"/>
          <w:sz w:val="24"/>
          <w:szCs w:val="24"/>
        </w:rPr>
        <w:t>投标报价（价格构成）</w:t>
      </w:r>
    </w:p>
    <w:p>
      <w:pPr>
        <w:widowControl w:val="0"/>
        <w:snapToGrid w:val="0"/>
        <w:spacing w:line="360" w:lineRule="auto"/>
        <w:ind w:firstLine="480" w:firstLineChars="200"/>
        <w:jc w:val="left"/>
        <w:rPr>
          <w:color w:val="auto"/>
          <w:sz w:val="24"/>
          <w:szCs w:val="24"/>
        </w:rPr>
      </w:pPr>
      <w:r>
        <w:rPr>
          <w:color w:val="auto"/>
          <w:sz w:val="24"/>
          <w:szCs w:val="24"/>
        </w:rPr>
        <w:t xml:space="preserve">1.3.1 </w:t>
      </w:r>
      <w:r>
        <w:rPr>
          <w:rFonts w:hint="eastAsia"/>
          <w:color w:val="auto"/>
          <w:sz w:val="24"/>
          <w:szCs w:val="24"/>
        </w:rPr>
        <w:t>投标人应按标段进行投标，投标人的投标报价均为达到正常使用条件下的目的地交验价，包括</w:t>
      </w:r>
      <w:r>
        <w:rPr>
          <w:rFonts w:hint="eastAsia"/>
          <w:b/>
          <w:bCs/>
          <w:color w:val="auto"/>
          <w:sz w:val="24"/>
          <w:szCs w:val="24"/>
        </w:rPr>
        <w:t>绿地管养费、人员工资、相关税款、人工费、交通费、材料费、技术服务费等与招标项目相关的、必须的款项及费用（包括未列明而完成交验所必须的所有</w:t>
      </w:r>
      <w:r>
        <w:rPr>
          <w:rFonts w:hint="eastAsia"/>
          <w:color w:val="auto"/>
          <w:sz w:val="24"/>
          <w:szCs w:val="24"/>
        </w:rPr>
        <w:t>材料、工具费用）。</w:t>
      </w:r>
    </w:p>
    <w:p>
      <w:pPr>
        <w:pStyle w:val="2"/>
        <w:ind w:firstLine="482" w:firstLineChars="200"/>
        <w:rPr>
          <w:b/>
          <w:bCs/>
          <w:highlight w:val="none"/>
        </w:rPr>
      </w:pPr>
      <w:r>
        <w:rPr>
          <w:rFonts w:hint="eastAsia"/>
          <w:b/>
          <w:bCs/>
          <w:sz w:val="24"/>
          <w:szCs w:val="24"/>
          <w:highlight w:val="none"/>
        </w:rPr>
        <w:t>注：本项目投标报价应按照</w:t>
      </w:r>
      <w:r>
        <w:rPr>
          <w:b/>
          <w:bCs/>
          <w:sz w:val="24"/>
          <w:szCs w:val="24"/>
          <w:highlight w:val="none"/>
        </w:rPr>
        <w:t>**</w:t>
      </w:r>
      <w:r>
        <w:rPr>
          <w:rFonts w:hint="eastAsia"/>
          <w:b/>
          <w:bCs/>
          <w:sz w:val="24"/>
          <w:szCs w:val="24"/>
          <w:highlight w:val="none"/>
        </w:rPr>
        <w:t>元</w:t>
      </w:r>
      <w:r>
        <w:rPr>
          <w:b/>
          <w:bCs/>
          <w:sz w:val="24"/>
          <w:szCs w:val="24"/>
          <w:highlight w:val="none"/>
        </w:rPr>
        <w:t>/</w:t>
      </w:r>
      <w:r>
        <w:rPr>
          <w:rFonts w:hint="eastAsia"/>
          <w:b/>
          <w:bCs/>
          <w:sz w:val="24"/>
          <w:szCs w:val="24"/>
          <w:highlight w:val="none"/>
        </w:rPr>
        <w:t>年进行分项报价，最后合计投标总报价，每年投标报价</w:t>
      </w:r>
      <w:r>
        <w:rPr>
          <w:rFonts w:hint="eastAsia"/>
          <w:b/>
          <w:bCs/>
          <w:sz w:val="24"/>
          <w:szCs w:val="24"/>
          <w:highlight w:val="none"/>
          <w:lang w:eastAsia="zh-CN"/>
        </w:rPr>
        <w:t>、</w:t>
      </w:r>
      <w:r>
        <w:rPr>
          <w:rFonts w:hint="eastAsia"/>
          <w:b/>
          <w:bCs/>
          <w:sz w:val="24"/>
          <w:szCs w:val="24"/>
          <w:highlight w:val="none"/>
        </w:rPr>
        <w:t>总报价不能超出最高限价。</w:t>
      </w:r>
    </w:p>
    <w:p>
      <w:pPr>
        <w:widowControl w:val="0"/>
        <w:snapToGrid w:val="0"/>
        <w:spacing w:line="360" w:lineRule="auto"/>
        <w:ind w:firstLine="480" w:firstLineChars="200"/>
        <w:jc w:val="left"/>
        <w:rPr>
          <w:color w:val="auto"/>
          <w:sz w:val="24"/>
          <w:szCs w:val="24"/>
        </w:rPr>
      </w:pPr>
      <w:r>
        <w:rPr>
          <w:color w:val="auto"/>
          <w:sz w:val="24"/>
          <w:szCs w:val="24"/>
        </w:rPr>
        <w:t>1.3.2</w:t>
      </w:r>
      <w:r>
        <w:rPr>
          <w:rFonts w:hint="eastAsia"/>
          <w:color w:val="auto"/>
          <w:sz w:val="24"/>
          <w:szCs w:val="24"/>
        </w:rPr>
        <w:t>投标报价为一次性报价，报价时间截止后对投标报价的任何承诺、修改，除法定修正或招标文件规定修正情形外，评标委员会将不予考虑。</w:t>
      </w:r>
    </w:p>
    <w:p>
      <w:pPr>
        <w:widowControl w:val="0"/>
        <w:snapToGrid w:val="0"/>
        <w:spacing w:line="360" w:lineRule="auto"/>
        <w:ind w:firstLine="480" w:firstLineChars="200"/>
        <w:jc w:val="left"/>
        <w:rPr>
          <w:color w:val="auto"/>
          <w:sz w:val="24"/>
          <w:szCs w:val="24"/>
        </w:rPr>
      </w:pPr>
      <w:r>
        <w:rPr>
          <w:color w:val="auto"/>
          <w:sz w:val="24"/>
          <w:szCs w:val="24"/>
        </w:rPr>
        <w:t xml:space="preserve">1.3.3 </w:t>
      </w:r>
      <w:r>
        <w:rPr>
          <w:rFonts w:hint="eastAsia"/>
          <w:color w:val="auto"/>
          <w:sz w:val="24"/>
          <w:szCs w:val="24"/>
        </w:rPr>
        <w:t>如各投标人的投标报价未超过各标段的</w:t>
      </w:r>
      <w:r>
        <w:rPr>
          <w:rFonts w:hint="eastAsia" w:ascii="宋体" w:hAnsi="宋体" w:cs="仿宋_GB2312"/>
          <w:color w:val="auto"/>
          <w:sz w:val="24"/>
          <w:szCs w:val="24"/>
        </w:rPr>
        <w:t>最高限价</w:t>
      </w:r>
      <w:r>
        <w:rPr>
          <w:rFonts w:hint="eastAsia"/>
          <w:color w:val="auto"/>
          <w:sz w:val="24"/>
          <w:szCs w:val="24"/>
        </w:rPr>
        <w:t>（见招标公告</w:t>
      </w:r>
      <w:r>
        <w:rPr>
          <w:color w:val="auto"/>
          <w:sz w:val="24"/>
          <w:szCs w:val="24"/>
        </w:rPr>
        <w:t>1.5</w:t>
      </w:r>
      <w:r>
        <w:rPr>
          <w:rFonts w:hint="eastAsia"/>
          <w:color w:val="auto"/>
          <w:sz w:val="24"/>
          <w:szCs w:val="24"/>
        </w:rPr>
        <w:t>）的供应商不足三家的，该项目做废标处理。</w:t>
      </w:r>
    </w:p>
    <w:p>
      <w:pPr>
        <w:widowControl w:val="0"/>
        <w:snapToGrid w:val="0"/>
        <w:spacing w:line="360" w:lineRule="auto"/>
        <w:ind w:firstLine="480" w:firstLineChars="200"/>
        <w:jc w:val="left"/>
        <w:rPr>
          <w:rFonts w:ascii="黑体" w:hAnsi="黑体" w:eastAsia="黑体"/>
          <w:b/>
          <w:color w:val="auto"/>
          <w:sz w:val="28"/>
        </w:rPr>
      </w:pPr>
      <w:r>
        <w:rPr>
          <w:color w:val="auto"/>
          <w:sz w:val="24"/>
          <w:szCs w:val="24"/>
        </w:rPr>
        <w:t xml:space="preserve">1.3.4 </w:t>
      </w:r>
      <w:r>
        <w:rPr>
          <w:rFonts w:hint="eastAsia"/>
          <w:color w:val="auto"/>
          <w:sz w:val="24"/>
          <w:szCs w:val="24"/>
        </w:rPr>
        <w:t>遵循第三章投标人须知</w:t>
      </w:r>
      <w:r>
        <w:rPr>
          <w:color w:val="auto"/>
          <w:sz w:val="24"/>
          <w:szCs w:val="24"/>
        </w:rPr>
        <w:t>3.7.5</w:t>
      </w:r>
      <w:r>
        <w:rPr>
          <w:rFonts w:hint="eastAsia"/>
          <w:color w:val="auto"/>
          <w:sz w:val="24"/>
          <w:szCs w:val="24"/>
        </w:rPr>
        <w:t>项规定。</w:t>
      </w:r>
    </w:p>
    <w:p>
      <w:pPr>
        <w:spacing w:line="560" w:lineRule="exact"/>
        <w:ind w:firstLine="562" w:firstLineChars="200"/>
        <w:outlineLvl w:val="1"/>
        <w:rPr>
          <w:rFonts w:ascii="黑体" w:hAnsi="黑体" w:eastAsia="黑体"/>
          <w:b/>
          <w:color w:val="auto"/>
          <w:sz w:val="28"/>
        </w:rPr>
      </w:pPr>
      <w:bookmarkStart w:id="3" w:name="_Toc529805751"/>
      <w:r>
        <w:rPr>
          <w:rFonts w:ascii="黑体" w:hAnsi="黑体" w:eastAsia="黑体"/>
          <w:b/>
          <w:color w:val="auto"/>
          <w:sz w:val="28"/>
        </w:rPr>
        <w:t xml:space="preserve">2. </w:t>
      </w:r>
      <w:r>
        <w:rPr>
          <w:rFonts w:hint="eastAsia" w:ascii="黑体" w:hAnsi="黑体" w:eastAsia="黑体"/>
          <w:b/>
          <w:color w:val="auto"/>
          <w:sz w:val="28"/>
        </w:rPr>
        <w:t>标段内容（范围）及具体采购需求</w:t>
      </w:r>
      <w:bookmarkEnd w:id="3"/>
    </w:p>
    <w:p>
      <w:pPr>
        <w:spacing w:line="560" w:lineRule="exact"/>
        <w:ind w:firstLine="482" w:firstLineChars="200"/>
        <w:rPr>
          <w:color w:val="auto"/>
          <w:sz w:val="24"/>
          <w:szCs w:val="24"/>
        </w:rPr>
      </w:pPr>
      <w:r>
        <w:rPr>
          <w:rFonts w:ascii="黑体" w:hAnsi="黑体" w:eastAsia="黑体"/>
          <w:b/>
          <w:color w:val="auto"/>
          <w:sz w:val="24"/>
          <w:szCs w:val="24"/>
        </w:rPr>
        <w:t>2.1</w:t>
      </w:r>
      <w:r>
        <w:rPr>
          <w:rFonts w:hint="eastAsia" w:ascii="黑体" w:hAnsi="黑体" w:eastAsia="黑体"/>
          <w:b/>
          <w:color w:val="auto"/>
          <w:sz w:val="24"/>
          <w:szCs w:val="24"/>
        </w:rPr>
        <w:t>采购标的需实现的功能或者目标，标段总体范围：</w:t>
      </w:r>
    </w:p>
    <w:p>
      <w:pPr>
        <w:adjustRightInd w:val="0"/>
        <w:snapToGrid w:val="0"/>
        <w:spacing w:line="300" w:lineRule="auto"/>
        <w:ind w:firstLine="600" w:firstLineChars="250"/>
        <w:jc w:val="left"/>
        <w:rPr>
          <w:color w:val="auto"/>
          <w:sz w:val="24"/>
          <w:szCs w:val="24"/>
        </w:rPr>
      </w:pPr>
      <w:r>
        <w:rPr>
          <w:rFonts w:ascii="宋体" w:hAnsi="宋体" w:cs="宋体"/>
          <w:color w:val="auto"/>
          <w:sz w:val="24"/>
        </w:rPr>
        <w:t>1</w:t>
      </w:r>
      <w:r>
        <w:rPr>
          <w:rFonts w:hint="eastAsia" w:ascii="宋体" w:hAnsi="宋体" w:cs="宋体"/>
          <w:color w:val="auto"/>
          <w:sz w:val="24"/>
        </w:rPr>
        <w:t>、按时保质保量的满足采购人要求。</w:t>
      </w:r>
    </w:p>
    <w:p>
      <w:pPr>
        <w:adjustRightInd w:val="0"/>
        <w:snapToGrid w:val="0"/>
        <w:spacing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 xml:space="preserve">2.2 </w:t>
      </w:r>
      <w:r>
        <w:rPr>
          <w:rFonts w:hint="eastAsia" w:ascii="黑体" w:hAnsi="黑体" w:eastAsia="黑体"/>
          <w:b/>
          <w:color w:val="auto"/>
          <w:sz w:val="24"/>
          <w:szCs w:val="24"/>
        </w:rPr>
        <w:t>项目落实的政府采购政策（法规标准条款）</w:t>
      </w:r>
    </w:p>
    <w:p>
      <w:pPr>
        <w:widowControl w:val="0"/>
        <w:snapToGrid w:val="0"/>
        <w:spacing w:line="360" w:lineRule="auto"/>
        <w:ind w:firstLine="480" w:firstLineChars="200"/>
        <w:jc w:val="left"/>
        <w:rPr>
          <w:color w:val="auto"/>
          <w:sz w:val="24"/>
          <w:szCs w:val="24"/>
        </w:rPr>
      </w:pPr>
      <w:r>
        <w:rPr>
          <w:color w:val="auto"/>
          <w:sz w:val="24"/>
          <w:szCs w:val="24"/>
        </w:rPr>
        <w:t xml:space="preserve">2.2.1 </w:t>
      </w:r>
      <w:r>
        <w:rPr>
          <w:rFonts w:hint="eastAsia"/>
          <w:color w:val="auto"/>
          <w:sz w:val="24"/>
          <w:szCs w:val="24"/>
        </w:rPr>
        <w:t>本次采购产品属于政府强制采购节能产品范围的，应为投标截止日当期“节能产品政府采购清单”所列产品，投标文件应注明投标产品的“节字标志认证证书号”，并将投标产品所列示的当期“节能产品政府采购清单”页面附于投标文件中。</w:t>
      </w:r>
    </w:p>
    <w:p>
      <w:pPr>
        <w:widowControl w:val="0"/>
        <w:snapToGrid w:val="0"/>
        <w:spacing w:line="360" w:lineRule="auto"/>
        <w:ind w:firstLine="480" w:firstLineChars="200"/>
        <w:jc w:val="left"/>
        <w:rPr>
          <w:color w:val="auto"/>
          <w:sz w:val="24"/>
          <w:szCs w:val="24"/>
        </w:rPr>
      </w:pPr>
      <w:r>
        <w:rPr>
          <w:rFonts w:hint="eastAsia"/>
          <w:color w:val="auto"/>
          <w:sz w:val="24"/>
          <w:szCs w:val="24"/>
        </w:rPr>
        <w:t>属于政府强制采购节能产品范围、而未按要求提供相应资料的，为无效投标。</w:t>
      </w:r>
    </w:p>
    <w:p>
      <w:pPr>
        <w:widowControl w:val="0"/>
        <w:snapToGrid w:val="0"/>
        <w:spacing w:line="360" w:lineRule="auto"/>
        <w:ind w:firstLine="480" w:firstLineChars="200"/>
        <w:jc w:val="left"/>
        <w:rPr>
          <w:color w:val="auto"/>
          <w:sz w:val="24"/>
          <w:szCs w:val="24"/>
        </w:rPr>
      </w:pPr>
      <w:r>
        <w:rPr>
          <w:color w:val="auto"/>
          <w:sz w:val="24"/>
          <w:szCs w:val="24"/>
        </w:rPr>
        <w:t xml:space="preserve">2.2.2 </w:t>
      </w:r>
      <w:r>
        <w:rPr>
          <w:rFonts w:hint="eastAsia"/>
          <w:color w:val="auto"/>
          <w:sz w:val="24"/>
          <w:szCs w:val="24"/>
        </w:rPr>
        <w:t>同等条件下，节能产品及环境标志产品优先采购。</w:t>
      </w:r>
    </w:p>
    <w:p>
      <w:pPr>
        <w:widowControl w:val="0"/>
        <w:snapToGrid w:val="0"/>
        <w:spacing w:line="360" w:lineRule="auto"/>
        <w:ind w:firstLine="480" w:firstLineChars="200"/>
        <w:jc w:val="left"/>
        <w:rPr>
          <w:color w:val="auto"/>
          <w:sz w:val="24"/>
          <w:szCs w:val="24"/>
        </w:rPr>
      </w:pPr>
      <w:r>
        <w:rPr>
          <w:color w:val="auto"/>
          <w:sz w:val="24"/>
          <w:szCs w:val="24"/>
        </w:rPr>
        <w:t xml:space="preserve">2.2.3 </w:t>
      </w:r>
      <w:r>
        <w:rPr>
          <w:rFonts w:hint="eastAsia"/>
          <w:color w:val="auto"/>
          <w:sz w:val="24"/>
          <w:szCs w:val="24"/>
        </w:rPr>
        <w:t>本次采购允许进口产品参加。</w:t>
      </w:r>
    </w:p>
    <w:p>
      <w:pPr>
        <w:widowControl w:val="0"/>
        <w:snapToGrid w:val="0"/>
        <w:spacing w:line="360" w:lineRule="auto"/>
        <w:ind w:firstLine="480" w:firstLineChars="200"/>
        <w:jc w:val="left"/>
        <w:rPr>
          <w:color w:val="auto"/>
          <w:sz w:val="24"/>
          <w:szCs w:val="24"/>
        </w:rPr>
      </w:pPr>
      <w:r>
        <w:rPr>
          <w:color w:val="auto"/>
          <w:sz w:val="24"/>
          <w:szCs w:val="24"/>
        </w:rPr>
        <w:t>2.2.4</w:t>
      </w:r>
      <w:r>
        <w:rPr>
          <w:rFonts w:hint="eastAsia"/>
          <w:color w:val="auto"/>
          <w:sz w:val="24"/>
          <w:szCs w:val="24"/>
        </w:rPr>
        <w:t>信息安全产品须通过国家信息安全认证中心认证，计算机产品须预装正版操作系统软件。</w:t>
      </w:r>
    </w:p>
    <w:p>
      <w:pPr>
        <w:widowControl w:val="0"/>
        <w:snapToGrid w:val="0"/>
        <w:spacing w:line="360" w:lineRule="auto"/>
        <w:ind w:firstLine="480" w:firstLineChars="200"/>
        <w:jc w:val="left"/>
        <w:rPr>
          <w:color w:val="auto"/>
          <w:sz w:val="24"/>
          <w:szCs w:val="24"/>
        </w:rPr>
      </w:pPr>
      <w:r>
        <w:rPr>
          <w:color w:val="auto"/>
          <w:sz w:val="24"/>
          <w:szCs w:val="24"/>
        </w:rPr>
        <w:t xml:space="preserve">2.2.5 </w:t>
      </w:r>
      <w:r>
        <w:rPr>
          <w:rFonts w:hint="eastAsia"/>
          <w:color w:val="auto"/>
          <w:sz w:val="24"/>
          <w:szCs w:val="24"/>
        </w:rPr>
        <w:t>促进中小企业发展扶持政策：见第四章“评标办法”第</w:t>
      </w:r>
      <w:r>
        <w:rPr>
          <w:color w:val="auto"/>
          <w:sz w:val="24"/>
          <w:szCs w:val="24"/>
        </w:rPr>
        <w:t>4</w:t>
      </w:r>
      <w:r>
        <w:rPr>
          <w:rFonts w:hint="eastAsia"/>
          <w:color w:val="auto"/>
          <w:sz w:val="24"/>
          <w:szCs w:val="24"/>
        </w:rPr>
        <w:t>条。</w:t>
      </w:r>
    </w:p>
    <w:p>
      <w:pPr>
        <w:widowControl w:val="0"/>
        <w:snapToGrid w:val="0"/>
        <w:spacing w:line="360" w:lineRule="auto"/>
        <w:ind w:firstLine="480" w:firstLineChars="200"/>
        <w:jc w:val="left"/>
        <w:rPr>
          <w:color w:val="auto"/>
          <w:sz w:val="24"/>
          <w:szCs w:val="24"/>
        </w:rPr>
      </w:pPr>
      <w:r>
        <w:rPr>
          <w:color w:val="auto"/>
          <w:sz w:val="24"/>
          <w:szCs w:val="24"/>
        </w:rPr>
        <w:t xml:space="preserve">2.2.6 </w:t>
      </w:r>
      <w:r>
        <w:rPr>
          <w:rFonts w:hint="eastAsia"/>
          <w:color w:val="auto"/>
          <w:sz w:val="24"/>
          <w:szCs w:val="24"/>
        </w:rPr>
        <w:t>政府采购支持监狱企业发展</w:t>
      </w:r>
    </w:p>
    <w:p>
      <w:pPr>
        <w:widowControl w:val="0"/>
        <w:snapToGrid w:val="0"/>
        <w:spacing w:line="360" w:lineRule="auto"/>
        <w:ind w:firstLine="480" w:firstLineChars="200"/>
        <w:jc w:val="left"/>
        <w:rPr>
          <w:color w:val="auto"/>
          <w:sz w:val="24"/>
          <w:szCs w:val="24"/>
        </w:rPr>
      </w:pPr>
      <w:r>
        <w:rPr>
          <w:color w:val="auto"/>
          <w:sz w:val="24"/>
          <w:szCs w:val="24"/>
        </w:rPr>
        <w:t xml:space="preserve">2.2.7 </w:t>
      </w:r>
      <w:r>
        <w:rPr>
          <w:rFonts w:hint="eastAsia"/>
          <w:color w:val="auto"/>
          <w:sz w:val="24"/>
          <w:szCs w:val="24"/>
        </w:rPr>
        <w:t>促进残疾人就业：见第四章“评标办法”第</w:t>
      </w:r>
      <w:r>
        <w:rPr>
          <w:color w:val="auto"/>
          <w:sz w:val="24"/>
          <w:szCs w:val="24"/>
        </w:rPr>
        <w:t>4</w:t>
      </w:r>
      <w:r>
        <w:rPr>
          <w:rFonts w:hint="eastAsia"/>
          <w:color w:val="auto"/>
          <w:sz w:val="24"/>
          <w:szCs w:val="24"/>
        </w:rPr>
        <w:t>条。</w:t>
      </w:r>
    </w:p>
    <w:p>
      <w:pPr>
        <w:adjustRightInd w:val="0"/>
        <w:snapToGrid w:val="0"/>
        <w:spacing w:line="300" w:lineRule="auto"/>
        <w:ind w:firstLine="482" w:firstLineChars="200"/>
        <w:jc w:val="left"/>
        <w:rPr>
          <w:rFonts w:ascii="黑体" w:hAnsi="黑体" w:eastAsia="黑体"/>
          <w:b/>
          <w:color w:val="auto"/>
          <w:sz w:val="24"/>
          <w:szCs w:val="24"/>
        </w:rPr>
      </w:pPr>
      <w:r>
        <w:rPr>
          <w:rFonts w:ascii="黑体" w:hAnsi="黑体" w:eastAsia="黑体"/>
          <w:b/>
          <w:color w:val="auto"/>
          <w:sz w:val="24"/>
          <w:szCs w:val="24"/>
        </w:rPr>
        <w:t>2.3</w:t>
      </w:r>
      <w:r>
        <w:rPr>
          <w:rFonts w:hint="eastAsia" w:ascii="黑体" w:hAnsi="黑体" w:eastAsia="黑体"/>
          <w:b/>
          <w:color w:val="auto"/>
          <w:sz w:val="24"/>
          <w:szCs w:val="24"/>
        </w:rPr>
        <w:t>采购标的需执行的国家相关标准、行业标准、地方标准或者其他标准、规范；</w:t>
      </w:r>
    </w:p>
    <w:p>
      <w:pPr>
        <w:widowControl w:val="0"/>
        <w:snapToGrid w:val="0"/>
        <w:spacing w:line="360" w:lineRule="auto"/>
        <w:ind w:firstLine="480" w:firstLineChars="200"/>
        <w:jc w:val="left"/>
        <w:rPr>
          <w:color w:val="auto"/>
          <w:sz w:val="24"/>
          <w:szCs w:val="24"/>
        </w:rPr>
      </w:pPr>
      <w:r>
        <w:rPr>
          <w:rFonts w:hint="eastAsia"/>
          <w:color w:val="auto"/>
          <w:sz w:val="24"/>
          <w:szCs w:val="24"/>
        </w:rPr>
        <w:t>投标人所投产品应为全新产品且符合国家质量标准、部颁标准及行业规范的要求，符合国家各项强制性规范及安全标准，投标产品不应与第三方存在知识产权权属问题；投标人应本着服务客户、为客户着想的宗旨，来完善产品及技术要求未尽事宜，不得以招标文件未列明事项为由，来降低投标产品的质量。</w:t>
      </w:r>
    </w:p>
    <w:p>
      <w:pPr>
        <w:rPr>
          <w:rFonts w:ascii="黑体" w:hAnsi="黑体" w:eastAsia="黑体"/>
          <w:sz w:val="24"/>
          <w:szCs w:val="24"/>
        </w:rPr>
      </w:pPr>
      <w:r>
        <w:rPr>
          <w:rFonts w:ascii="黑体" w:hAnsi="黑体" w:eastAsia="黑体"/>
          <w:sz w:val="24"/>
          <w:szCs w:val="24"/>
        </w:rPr>
        <w:br w:type="page"/>
      </w:r>
    </w:p>
    <w:p>
      <w:pPr>
        <w:pStyle w:val="3"/>
        <w:spacing w:line="240" w:lineRule="auto"/>
        <w:rPr>
          <w:rFonts w:hint="eastAsia" w:ascii="宋体" w:hAnsi="宋体" w:cs="宋体"/>
          <w:sz w:val="24"/>
        </w:rPr>
      </w:pPr>
      <w:r>
        <w:rPr>
          <w:rFonts w:ascii="黑体" w:hAnsi="黑体" w:eastAsia="黑体"/>
          <w:sz w:val="24"/>
          <w:szCs w:val="24"/>
        </w:rPr>
        <w:t>2.4</w:t>
      </w:r>
      <w:r>
        <w:rPr>
          <w:rFonts w:hint="eastAsia" w:ascii="黑体" w:hAnsi="黑体" w:eastAsia="黑体"/>
          <w:sz w:val="24"/>
          <w:szCs w:val="24"/>
        </w:rPr>
        <w:t>标段内容（具体范围、数量），具体技术要求（</w:t>
      </w:r>
      <w:r>
        <w:rPr>
          <w:rFonts w:hint="eastAsia" w:ascii="宋体" w:hAnsi="宋体" w:cs="宋体"/>
          <w:sz w:val="24"/>
        </w:rPr>
        <w:t>采购标的需满足的质量、安全、技术规格等）</w:t>
      </w:r>
    </w:p>
    <w:tbl>
      <w:tblPr>
        <w:tblStyle w:val="24"/>
        <w:tblpPr w:leftFromText="180" w:rightFromText="180" w:vertAnchor="text" w:horzAnchor="page" w:tblpX="2149"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1470"/>
        <w:gridCol w:w="169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pPr>
              <w:jc w:val="left"/>
              <w:rPr>
                <w:rFonts w:hint="eastAsia" w:eastAsia="宋体"/>
                <w:b/>
                <w:bCs/>
                <w:sz w:val="24"/>
                <w:szCs w:val="22"/>
                <w:vertAlign w:val="baseline"/>
                <w:lang w:val="en-US" w:eastAsia="zh-CN"/>
              </w:rPr>
            </w:pPr>
            <w:r>
              <w:rPr>
                <w:rFonts w:hint="eastAsia"/>
                <w:b/>
                <w:bCs/>
                <w:sz w:val="24"/>
                <w:szCs w:val="22"/>
                <w:vertAlign w:val="baseline"/>
                <w:lang w:val="en-US" w:eastAsia="zh-CN"/>
              </w:rPr>
              <w:t>内容</w:t>
            </w:r>
          </w:p>
        </w:tc>
        <w:tc>
          <w:tcPr>
            <w:tcW w:w="1470" w:type="dxa"/>
            <w:vAlign w:val="center"/>
          </w:tcPr>
          <w:p>
            <w:pPr>
              <w:jc w:val="center"/>
              <w:rPr>
                <w:rFonts w:hint="eastAsia" w:eastAsia="宋体"/>
                <w:b/>
                <w:bCs/>
                <w:sz w:val="24"/>
                <w:szCs w:val="22"/>
                <w:vertAlign w:val="baseline"/>
                <w:lang w:eastAsia="zh-CN"/>
              </w:rPr>
            </w:pPr>
            <w:r>
              <w:rPr>
                <w:rFonts w:hint="eastAsia"/>
                <w:b/>
                <w:bCs/>
                <w:sz w:val="24"/>
                <w:szCs w:val="22"/>
                <w:vertAlign w:val="baseline"/>
                <w:lang w:eastAsia="zh-CN"/>
              </w:rPr>
              <w:t>服务地点</w:t>
            </w:r>
          </w:p>
        </w:tc>
        <w:tc>
          <w:tcPr>
            <w:tcW w:w="1694" w:type="dxa"/>
            <w:vAlign w:val="center"/>
          </w:tcPr>
          <w:p>
            <w:pPr>
              <w:jc w:val="center"/>
              <w:rPr>
                <w:rFonts w:hint="eastAsia" w:eastAsia="宋体"/>
                <w:b/>
                <w:bCs/>
                <w:sz w:val="24"/>
                <w:szCs w:val="22"/>
                <w:vertAlign w:val="baseline"/>
                <w:lang w:eastAsia="zh-CN"/>
              </w:rPr>
            </w:pPr>
            <w:r>
              <w:rPr>
                <w:rFonts w:hint="eastAsia"/>
                <w:b/>
                <w:bCs/>
                <w:sz w:val="24"/>
                <w:szCs w:val="22"/>
                <w:vertAlign w:val="baseline"/>
                <w:lang w:eastAsia="zh-CN"/>
              </w:rPr>
              <w:t>人员数量（人）</w:t>
            </w:r>
          </w:p>
        </w:tc>
        <w:tc>
          <w:tcPr>
            <w:tcW w:w="1705" w:type="dxa"/>
            <w:vAlign w:val="center"/>
          </w:tcPr>
          <w:p>
            <w:pPr>
              <w:jc w:val="center"/>
              <w:rPr>
                <w:rFonts w:hint="eastAsia" w:eastAsia="宋体"/>
                <w:b/>
                <w:bCs/>
                <w:sz w:val="24"/>
                <w:szCs w:val="22"/>
                <w:vertAlign w:val="baseline"/>
                <w:lang w:eastAsia="zh-CN"/>
              </w:rPr>
            </w:pPr>
            <w:r>
              <w:rPr>
                <w:rFonts w:hint="eastAsia"/>
                <w:b/>
                <w:bCs/>
                <w:sz w:val="24"/>
                <w:szCs w:val="22"/>
                <w:vertAlign w:val="baseline"/>
                <w:lang w:eastAsia="zh-CN"/>
              </w:rPr>
              <w:t>每年预算金额（元）</w:t>
            </w:r>
          </w:p>
        </w:tc>
        <w:tc>
          <w:tcPr>
            <w:tcW w:w="1705" w:type="dxa"/>
            <w:vAlign w:val="center"/>
          </w:tcPr>
          <w:p>
            <w:pPr>
              <w:jc w:val="center"/>
              <w:rPr>
                <w:rFonts w:hint="eastAsia" w:eastAsia="宋体"/>
                <w:b/>
                <w:bCs/>
                <w:sz w:val="24"/>
                <w:szCs w:val="22"/>
                <w:vertAlign w:val="baseline"/>
                <w:lang w:eastAsia="zh-CN"/>
              </w:rPr>
            </w:pPr>
            <w:r>
              <w:rPr>
                <w:rFonts w:hint="eastAsia"/>
                <w:b/>
                <w:bCs/>
                <w:sz w:val="24"/>
                <w:szCs w:val="22"/>
                <w:vertAlign w:val="baseline"/>
                <w:lang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48" w:type="dxa"/>
            <w:vMerge w:val="restart"/>
          </w:tcPr>
          <w:p>
            <w:pPr>
              <w:rPr>
                <w:rFonts w:hint="eastAsia"/>
                <w:vertAlign w:val="baseline"/>
              </w:rPr>
            </w:pPr>
            <w:r>
              <w:rPr>
                <w:rFonts w:hint="eastAsia" w:ascii="宋体" w:hAnsi="宋体" w:cs="宋体"/>
                <w:b/>
                <w:bCs/>
                <w:sz w:val="24"/>
                <w:szCs w:val="24"/>
              </w:rPr>
              <w:t>绿地管养、卫生保洁、水面保洁、公厕保洁、草花、盆景养殖、动物饲养笼舍清扫、安全巡逻</w:t>
            </w:r>
          </w:p>
        </w:tc>
        <w:tc>
          <w:tcPr>
            <w:tcW w:w="1470" w:type="dxa"/>
            <w:vMerge w:val="restart"/>
          </w:tcPr>
          <w:p>
            <w:pPr>
              <w:rPr>
                <w:rFonts w:hint="eastAsia"/>
                <w:vertAlign w:val="baseline"/>
              </w:rPr>
            </w:pPr>
            <w:r>
              <w:rPr>
                <w:rFonts w:hint="eastAsia" w:ascii="宋体" w:hAnsi="宋体" w:cs="宋体"/>
                <w:b/>
                <w:sz w:val="24"/>
                <w:szCs w:val="24"/>
              </w:rPr>
              <w:t>人民公园</w:t>
            </w:r>
          </w:p>
        </w:tc>
        <w:tc>
          <w:tcPr>
            <w:tcW w:w="1694" w:type="dxa"/>
          </w:tcPr>
          <w:p>
            <w:pPr>
              <w:rPr>
                <w:rFonts w:hint="eastAsia"/>
                <w:vertAlign w:val="baseline"/>
              </w:rPr>
            </w:pPr>
            <w:r>
              <w:rPr>
                <w:rFonts w:ascii="宋体" w:hAnsi="宋体" w:cs="宋体"/>
                <w:b/>
                <w:sz w:val="24"/>
                <w:szCs w:val="24"/>
              </w:rPr>
              <w:t>2021</w:t>
            </w:r>
            <w:r>
              <w:rPr>
                <w:rFonts w:hint="eastAsia" w:ascii="宋体" w:hAnsi="宋体" w:cs="宋体"/>
                <w:b/>
                <w:sz w:val="24"/>
                <w:szCs w:val="24"/>
              </w:rPr>
              <w:t>年</w:t>
            </w:r>
            <w:r>
              <w:rPr>
                <w:rFonts w:ascii="宋体" w:hAnsi="宋体" w:cs="宋体"/>
                <w:b/>
                <w:sz w:val="24"/>
                <w:szCs w:val="24"/>
              </w:rPr>
              <w:t>50</w:t>
            </w:r>
            <w:r>
              <w:rPr>
                <w:rFonts w:hint="eastAsia" w:ascii="宋体" w:hAnsi="宋体" w:cs="宋体"/>
                <w:b/>
                <w:sz w:val="24"/>
                <w:szCs w:val="24"/>
              </w:rPr>
              <w:t>人</w:t>
            </w:r>
          </w:p>
        </w:tc>
        <w:tc>
          <w:tcPr>
            <w:tcW w:w="1705" w:type="dxa"/>
            <w:vAlign w:val="center"/>
          </w:tcPr>
          <w:p>
            <w:pPr>
              <w:adjustRightInd w:val="0"/>
              <w:snapToGrid w:val="0"/>
              <w:spacing w:beforeLines="50" w:line="380" w:lineRule="exact"/>
              <w:jc w:val="center"/>
              <w:rPr>
                <w:rFonts w:hint="eastAsia" w:ascii="宋体" w:hAnsi="宋体" w:eastAsia="宋体" w:cs="宋体"/>
                <w:b/>
                <w:color w:val="000000"/>
                <w:kern w:val="0"/>
                <w:sz w:val="24"/>
                <w:szCs w:val="24"/>
                <w:u w:color="000000"/>
                <w:lang w:val="en-US" w:eastAsia="zh-CN" w:bidi="ar-SA"/>
              </w:rPr>
            </w:pPr>
            <w:r>
              <w:rPr>
                <w:rFonts w:ascii="宋体" w:hAnsi="宋体" w:cs="宋体"/>
                <w:b/>
                <w:sz w:val="24"/>
                <w:szCs w:val="24"/>
              </w:rPr>
              <w:t>1416000</w:t>
            </w:r>
          </w:p>
        </w:tc>
        <w:tc>
          <w:tcPr>
            <w:tcW w:w="1705" w:type="dxa"/>
            <w:vMerge w:val="restart"/>
            <w:vAlign w:val="center"/>
          </w:tcPr>
          <w:p>
            <w:pPr>
              <w:jc w:val="center"/>
              <w:rPr>
                <w:rFonts w:hint="eastAsia" w:eastAsia="宋体"/>
                <w:vertAlign w:val="baseline"/>
                <w:lang w:eastAsia="zh-CN"/>
              </w:rPr>
            </w:pPr>
            <w:r>
              <w:rPr>
                <w:rFonts w:hint="eastAsia"/>
                <w:vertAlign w:val="baseline"/>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48" w:type="dxa"/>
            <w:vMerge w:val="continue"/>
          </w:tcPr>
          <w:p/>
        </w:tc>
        <w:tc>
          <w:tcPr>
            <w:tcW w:w="1470" w:type="dxa"/>
            <w:vMerge w:val="continue"/>
          </w:tcPr>
          <w:p/>
        </w:tc>
        <w:tc>
          <w:tcPr>
            <w:tcW w:w="1694" w:type="dxa"/>
          </w:tcPr>
          <w:p>
            <w:pPr>
              <w:rPr>
                <w:rFonts w:hint="eastAsia"/>
                <w:vertAlign w:val="baseline"/>
              </w:rPr>
            </w:pPr>
            <w:r>
              <w:rPr>
                <w:rFonts w:ascii="宋体" w:hAnsi="宋体" w:cs="宋体"/>
                <w:b/>
                <w:sz w:val="24"/>
                <w:szCs w:val="24"/>
              </w:rPr>
              <w:t>2022</w:t>
            </w:r>
            <w:r>
              <w:rPr>
                <w:rFonts w:hint="eastAsia" w:ascii="宋体" w:hAnsi="宋体" w:cs="宋体"/>
                <w:b/>
                <w:sz w:val="24"/>
                <w:szCs w:val="24"/>
              </w:rPr>
              <w:t>年</w:t>
            </w:r>
            <w:r>
              <w:rPr>
                <w:rFonts w:ascii="宋体" w:hAnsi="宋体" w:cs="宋体"/>
                <w:b/>
                <w:sz w:val="24"/>
                <w:szCs w:val="24"/>
              </w:rPr>
              <w:t>55</w:t>
            </w:r>
            <w:r>
              <w:rPr>
                <w:rFonts w:hint="eastAsia" w:ascii="宋体" w:hAnsi="宋体" w:cs="宋体"/>
                <w:b/>
                <w:sz w:val="24"/>
                <w:szCs w:val="24"/>
              </w:rPr>
              <w:t>人</w:t>
            </w:r>
          </w:p>
        </w:tc>
        <w:tc>
          <w:tcPr>
            <w:tcW w:w="1705" w:type="dxa"/>
            <w:vAlign w:val="top"/>
          </w:tcPr>
          <w:p>
            <w:pPr>
              <w:adjustRightInd w:val="0"/>
              <w:snapToGrid w:val="0"/>
              <w:spacing w:beforeLines="50" w:line="380" w:lineRule="exact"/>
              <w:jc w:val="center"/>
              <w:rPr>
                <w:rFonts w:hint="eastAsia" w:ascii="宋体" w:hAnsi="宋体" w:eastAsia="宋体" w:cs="宋体"/>
                <w:b/>
                <w:color w:val="000000"/>
                <w:kern w:val="0"/>
                <w:sz w:val="24"/>
                <w:szCs w:val="24"/>
                <w:u w:color="000000"/>
                <w:lang w:val="en-US" w:eastAsia="zh-CN" w:bidi="ar-SA"/>
              </w:rPr>
            </w:pPr>
            <w:r>
              <w:rPr>
                <w:rFonts w:ascii="宋体" w:hAnsi="宋体" w:cs="宋体"/>
                <w:b/>
                <w:sz w:val="24"/>
                <w:szCs w:val="24"/>
              </w:rPr>
              <w:t>1557600</w:t>
            </w:r>
          </w:p>
        </w:tc>
        <w:tc>
          <w:tcPr>
            <w:tcW w:w="1705" w:type="dxa"/>
            <w:vMerge w:val="continue"/>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8" w:type="dxa"/>
            <w:vMerge w:val="continue"/>
          </w:tcPr>
          <w:p>
            <w:pPr>
              <w:rPr>
                <w:rFonts w:hint="eastAsia"/>
                <w:vertAlign w:val="baseline"/>
              </w:rPr>
            </w:pPr>
          </w:p>
        </w:tc>
        <w:tc>
          <w:tcPr>
            <w:tcW w:w="1470" w:type="dxa"/>
            <w:vMerge w:val="continue"/>
          </w:tcPr>
          <w:p>
            <w:pPr>
              <w:rPr>
                <w:rFonts w:hint="eastAsia"/>
                <w:vertAlign w:val="baseline"/>
              </w:rPr>
            </w:pPr>
          </w:p>
        </w:tc>
        <w:tc>
          <w:tcPr>
            <w:tcW w:w="1694" w:type="dxa"/>
          </w:tcPr>
          <w:p>
            <w:pPr>
              <w:rPr>
                <w:rFonts w:hint="eastAsia"/>
                <w:vertAlign w:val="baseline"/>
              </w:rPr>
            </w:pPr>
            <w:r>
              <w:rPr>
                <w:rFonts w:ascii="宋体" w:hAnsi="宋体" w:cs="宋体"/>
                <w:b/>
                <w:sz w:val="24"/>
                <w:szCs w:val="24"/>
              </w:rPr>
              <w:t>2023</w:t>
            </w:r>
            <w:r>
              <w:rPr>
                <w:rFonts w:hint="eastAsia" w:ascii="宋体" w:hAnsi="宋体" w:cs="宋体"/>
                <w:b/>
                <w:sz w:val="24"/>
                <w:szCs w:val="24"/>
              </w:rPr>
              <w:t>年</w:t>
            </w:r>
            <w:r>
              <w:rPr>
                <w:rFonts w:ascii="宋体" w:hAnsi="宋体" w:cs="宋体"/>
                <w:b/>
                <w:sz w:val="24"/>
                <w:szCs w:val="24"/>
              </w:rPr>
              <w:t>60</w:t>
            </w:r>
            <w:r>
              <w:rPr>
                <w:rFonts w:hint="eastAsia" w:ascii="宋体" w:hAnsi="宋体" w:cs="宋体"/>
                <w:b/>
                <w:sz w:val="24"/>
                <w:szCs w:val="24"/>
              </w:rPr>
              <w:t>人</w:t>
            </w:r>
          </w:p>
        </w:tc>
        <w:tc>
          <w:tcPr>
            <w:tcW w:w="1705" w:type="dxa"/>
            <w:vAlign w:val="top"/>
          </w:tcPr>
          <w:p>
            <w:pPr>
              <w:adjustRightInd w:val="0"/>
              <w:snapToGrid w:val="0"/>
              <w:spacing w:beforeLines="50" w:line="380" w:lineRule="exact"/>
              <w:jc w:val="center"/>
              <w:rPr>
                <w:rFonts w:hint="eastAsia" w:ascii="宋体" w:hAnsi="宋体" w:eastAsia="宋体" w:cs="宋体"/>
                <w:b/>
                <w:color w:val="000000"/>
                <w:kern w:val="0"/>
                <w:sz w:val="24"/>
                <w:szCs w:val="24"/>
                <w:u w:color="000000"/>
                <w:lang w:val="en-US" w:eastAsia="zh-CN" w:bidi="ar-SA"/>
              </w:rPr>
            </w:pPr>
            <w:r>
              <w:rPr>
                <w:rFonts w:ascii="宋体" w:hAnsi="宋体" w:cs="宋体"/>
                <w:b/>
                <w:sz w:val="24"/>
                <w:szCs w:val="24"/>
              </w:rPr>
              <w:t>1699200</w:t>
            </w:r>
          </w:p>
        </w:tc>
        <w:tc>
          <w:tcPr>
            <w:tcW w:w="1705" w:type="dxa"/>
            <w:vMerge w:val="continue"/>
          </w:tcPr>
          <w:p>
            <w:pPr>
              <w:rPr>
                <w:rFonts w:hint="eastAsia"/>
                <w:vertAlign w:val="baseline"/>
              </w:rPr>
            </w:pPr>
          </w:p>
        </w:tc>
      </w:tr>
    </w:tbl>
    <w:p>
      <w:pPr>
        <w:rPr>
          <w:rFonts w:ascii="宋体" w:cs="宋体"/>
          <w:b/>
          <w:bCs/>
          <w:sz w:val="24"/>
          <w:szCs w:val="24"/>
        </w:rPr>
      </w:pPr>
      <w:r>
        <w:rPr>
          <w:rFonts w:hint="eastAsia" w:ascii="宋体" w:hAnsi="宋体" w:cs="宋体"/>
          <w:b/>
          <w:sz w:val="24"/>
          <w:szCs w:val="24"/>
        </w:rPr>
        <w:t>注：本次招标服务期限为三年</w:t>
      </w:r>
    </w:p>
    <w:p>
      <w:pPr>
        <w:numPr>
          <w:ilvl w:val="0"/>
          <w:numId w:val="3"/>
        </w:numPr>
        <w:spacing w:beforeLines="50" w:line="560" w:lineRule="exact"/>
        <w:ind w:firstLine="482" w:firstLineChars="200"/>
        <w:rPr>
          <w:rFonts w:ascii="宋体" w:cs="宋体"/>
          <w:sz w:val="24"/>
          <w:szCs w:val="24"/>
        </w:rPr>
      </w:pPr>
      <w:r>
        <w:rPr>
          <w:rFonts w:hint="eastAsia" w:ascii="宋体" w:hAnsi="宋体" w:cs="宋体"/>
          <w:b/>
          <w:bCs/>
          <w:sz w:val="24"/>
          <w:szCs w:val="24"/>
        </w:rPr>
        <w:t>项目范围</w:t>
      </w:r>
      <w:r>
        <w:rPr>
          <w:rFonts w:hint="eastAsia" w:ascii="宋体" w:hAnsi="宋体" w:cs="宋体"/>
          <w:sz w:val="24"/>
          <w:szCs w:val="24"/>
        </w:rPr>
        <w:t>：</w:t>
      </w:r>
      <w:bookmarkStart w:id="45" w:name="_GoBack"/>
      <w:bookmarkEnd w:id="45"/>
      <w:r>
        <w:rPr>
          <w:rFonts w:ascii="宋体" w:hAnsi="宋体" w:cs="宋体"/>
          <w:sz w:val="24"/>
          <w:szCs w:val="24"/>
        </w:rPr>
        <w:t xml:space="preserve"> </w:t>
      </w:r>
      <w:r>
        <w:rPr>
          <w:rFonts w:hint="eastAsia" w:ascii="宋体" w:hAnsi="宋体" w:cs="宋体"/>
          <w:sz w:val="24"/>
          <w:szCs w:val="24"/>
        </w:rPr>
        <w:t>人民公园绿地</w:t>
      </w:r>
      <w:r>
        <w:rPr>
          <w:rFonts w:ascii="宋体" w:hAnsi="宋体" w:cs="宋体"/>
          <w:sz w:val="24"/>
          <w:szCs w:val="24"/>
        </w:rPr>
        <w:t>79380.36</w:t>
      </w:r>
      <w:r>
        <w:rPr>
          <w:rFonts w:hint="eastAsia" w:ascii="宋体" w:hAnsi="宋体" w:cs="宋体"/>
          <w:sz w:val="24"/>
          <w:szCs w:val="24"/>
        </w:rPr>
        <w:t>㎡的绿地管养（含绿地内乔灌木），道路行道树、广场内大树的养护和卫生保洁、水面保洁、公厕保洁、草花养殖、部分盆景养护、部分动物喂养、安保巡逻人员等工作，详见下表。</w:t>
      </w:r>
    </w:p>
    <w:tbl>
      <w:tblPr>
        <w:tblStyle w:val="23"/>
        <w:tblW w:w="8320" w:type="dxa"/>
        <w:tblInd w:w="93" w:type="dxa"/>
        <w:tblLayout w:type="autofit"/>
        <w:tblCellMar>
          <w:top w:w="0" w:type="dxa"/>
          <w:left w:w="108" w:type="dxa"/>
          <w:bottom w:w="0" w:type="dxa"/>
          <w:right w:w="108" w:type="dxa"/>
        </w:tblCellMar>
      </w:tblPr>
      <w:tblGrid>
        <w:gridCol w:w="735"/>
        <w:gridCol w:w="3420"/>
        <w:gridCol w:w="1440"/>
        <w:gridCol w:w="2725"/>
      </w:tblGrid>
      <w:tr>
        <w:tblPrEx>
          <w:tblCellMar>
            <w:top w:w="0" w:type="dxa"/>
            <w:left w:w="108" w:type="dxa"/>
            <w:bottom w:w="0" w:type="dxa"/>
            <w:right w:w="108" w:type="dxa"/>
          </w:tblCellMar>
        </w:tblPrEx>
        <w:trPr>
          <w:trHeight w:val="705"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序号</w:t>
            </w:r>
          </w:p>
        </w:tc>
        <w:tc>
          <w:tcPr>
            <w:tcW w:w="3420" w:type="dxa"/>
            <w:tcBorders>
              <w:top w:val="single" w:color="auto" w:sz="4" w:space="0"/>
              <w:left w:val="nil"/>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名称</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管理面积</w:t>
            </w:r>
          </w:p>
        </w:tc>
        <w:tc>
          <w:tcPr>
            <w:tcW w:w="2725" w:type="dxa"/>
            <w:tcBorders>
              <w:top w:val="single" w:color="auto" w:sz="4" w:space="0"/>
              <w:left w:val="nil"/>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人员（人）</w:t>
            </w:r>
          </w:p>
        </w:tc>
      </w:tr>
      <w:tr>
        <w:tblPrEx>
          <w:tblCellMar>
            <w:top w:w="0" w:type="dxa"/>
            <w:left w:w="108" w:type="dxa"/>
            <w:bottom w:w="0" w:type="dxa"/>
            <w:right w:w="108" w:type="dxa"/>
          </w:tblCellMar>
        </w:tblPrEx>
        <w:trPr>
          <w:trHeight w:val="515" w:hRule="atLeast"/>
        </w:trPr>
        <w:tc>
          <w:tcPr>
            <w:tcW w:w="735"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1</w:t>
            </w:r>
          </w:p>
        </w:tc>
        <w:tc>
          <w:tcPr>
            <w:tcW w:w="342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公园绿地管养</w:t>
            </w:r>
          </w:p>
        </w:tc>
        <w:tc>
          <w:tcPr>
            <w:tcW w:w="144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ascii="宋体" w:hAnsi="宋体" w:cs="宋体"/>
                <w:sz w:val="24"/>
                <w:szCs w:val="24"/>
              </w:rPr>
              <w:t>79380.36</w:t>
            </w:r>
            <w:r>
              <w:rPr>
                <w:rFonts w:hint="eastAsia" w:ascii="宋体" w:hAnsi="宋体" w:cs="宋体"/>
                <w:sz w:val="24"/>
                <w:szCs w:val="24"/>
              </w:rPr>
              <w:t>㎡</w:t>
            </w:r>
          </w:p>
        </w:tc>
        <w:tc>
          <w:tcPr>
            <w:tcW w:w="2725" w:type="dxa"/>
            <w:tcBorders>
              <w:top w:val="nil"/>
              <w:left w:val="nil"/>
              <w:bottom w:val="single" w:color="auto" w:sz="4" w:space="0"/>
              <w:right w:val="single" w:color="auto" w:sz="4" w:space="0"/>
            </w:tcBorders>
            <w:vAlign w:val="center"/>
          </w:tcPr>
          <w:p>
            <w:pPr>
              <w:jc w:val="center"/>
              <w:rPr>
                <w:rFonts w:ascii="宋体" w:cs="宋体"/>
                <w:sz w:val="24"/>
                <w:szCs w:val="24"/>
              </w:rPr>
            </w:pPr>
          </w:p>
        </w:tc>
      </w:tr>
      <w:tr>
        <w:tblPrEx>
          <w:tblCellMar>
            <w:top w:w="0" w:type="dxa"/>
            <w:left w:w="108" w:type="dxa"/>
            <w:bottom w:w="0" w:type="dxa"/>
            <w:right w:w="108" w:type="dxa"/>
          </w:tblCellMar>
        </w:tblPrEx>
        <w:trPr>
          <w:trHeight w:val="606" w:hRule="atLeast"/>
        </w:trPr>
        <w:tc>
          <w:tcPr>
            <w:tcW w:w="735"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2</w:t>
            </w:r>
          </w:p>
        </w:tc>
        <w:tc>
          <w:tcPr>
            <w:tcW w:w="342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道路、广场、硬化地面卫生保洁</w:t>
            </w:r>
          </w:p>
        </w:tc>
        <w:tc>
          <w:tcPr>
            <w:tcW w:w="144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ascii="宋体" w:hAnsi="宋体" w:cs="宋体"/>
                <w:sz w:val="24"/>
                <w:szCs w:val="24"/>
              </w:rPr>
              <w:t>46251</w:t>
            </w:r>
            <w:r>
              <w:rPr>
                <w:rFonts w:hint="eastAsia" w:ascii="宋体" w:hAnsi="宋体" w:cs="宋体"/>
                <w:sz w:val="24"/>
                <w:szCs w:val="24"/>
              </w:rPr>
              <w:t>㎡</w:t>
            </w:r>
          </w:p>
        </w:tc>
        <w:tc>
          <w:tcPr>
            <w:tcW w:w="2725" w:type="dxa"/>
            <w:tcBorders>
              <w:top w:val="nil"/>
              <w:left w:val="nil"/>
              <w:bottom w:val="single" w:color="auto" w:sz="4" w:space="0"/>
              <w:right w:val="single" w:color="auto" w:sz="4" w:space="0"/>
            </w:tcBorders>
            <w:vAlign w:val="center"/>
          </w:tcPr>
          <w:p>
            <w:pPr>
              <w:jc w:val="center"/>
              <w:rPr>
                <w:rFonts w:ascii="宋体" w:cs="宋体"/>
                <w:sz w:val="24"/>
                <w:szCs w:val="24"/>
              </w:rPr>
            </w:pPr>
          </w:p>
        </w:tc>
      </w:tr>
      <w:tr>
        <w:tblPrEx>
          <w:tblCellMar>
            <w:top w:w="0" w:type="dxa"/>
            <w:left w:w="108" w:type="dxa"/>
            <w:bottom w:w="0" w:type="dxa"/>
            <w:right w:w="108" w:type="dxa"/>
          </w:tblCellMar>
        </w:tblPrEx>
        <w:trPr>
          <w:trHeight w:val="615" w:hRule="atLeast"/>
        </w:trPr>
        <w:tc>
          <w:tcPr>
            <w:tcW w:w="735"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3</w:t>
            </w:r>
          </w:p>
        </w:tc>
        <w:tc>
          <w:tcPr>
            <w:tcW w:w="342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道路、广场大型树木</w:t>
            </w:r>
          </w:p>
        </w:tc>
        <w:tc>
          <w:tcPr>
            <w:tcW w:w="144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ascii="宋体" w:hAnsi="宋体" w:cs="宋体"/>
                <w:sz w:val="24"/>
                <w:szCs w:val="24"/>
              </w:rPr>
              <w:t>752</w:t>
            </w:r>
            <w:r>
              <w:rPr>
                <w:rFonts w:hint="eastAsia" w:ascii="宋体" w:hAnsi="宋体" w:cs="宋体"/>
                <w:sz w:val="24"/>
                <w:szCs w:val="24"/>
              </w:rPr>
              <w:t>株</w:t>
            </w:r>
          </w:p>
        </w:tc>
        <w:tc>
          <w:tcPr>
            <w:tcW w:w="2725" w:type="dxa"/>
            <w:tcBorders>
              <w:top w:val="nil"/>
              <w:left w:val="nil"/>
              <w:bottom w:val="single" w:color="auto" w:sz="4" w:space="0"/>
              <w:right w:val="single" w:color="auto" w:sz="4" w:space="0"/>
            </w:tcBorders>
            <w:vAlign w:val="center"/>
          </w:tcPr>
          <w:p>
            <w:pPr>
              <w:jc w:val="center"/>
              <w:rPr>
                <w:rFonts w:ascii="宋体" w:cs="宋体"/>
                <w:sz w:val="24"/>
                <w:szCs w:val="24"/>
              </w:rPr>
            </w:pPr>
          </w:p>
        </w:tc>
      </w:tr>
      <w:tr>
        <w:tblPrEx>
          <w:tblCellMar>
            <w:top w:w="0" w:type="dxa"/>
            <w:left w:w="108" w:type="dxa"/>
            <w:bottom w:w="0" w:type="dxa"/>
            <w:right w:w="108" w:type="dxa"/>
          </w:tblCellMar>
        </w:tblPrEx>
        <w:trPr>
          <w:trHeight w:val="615" w:hRule="atLeast"/>
        </w:trPr>
        <w:tc>
          <w:tcPr>
            <w:tcW w:w="735"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4</w:t>
            </w:r>
          </w:p>
        </w:tc>
        <w:tc>
          <w:tcPr>
            <w:tcW w:w="342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水面保洁</w:t>
            </w:r>
          </w:p>
        </w:tc>
        <w:tc>
          <w:tcPr>
            <w:tcW w:w="144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ascii="宋体" w:hAnsi="宋体" w:cs="宋体"/>
                <w:sz w:val="24"/>
                <w:szCs w:val="24"/>
              </w:rPr>
              <w:t>20010</w:t>
            </w:r>
            <w:r>
              <w:rPr>
                <w:rFonts w:hint="eastAsia" w:ascii="宋体" w:hAnsi="宋体" w:cs="宋体"/>
                <w:sz w:val="24"/>
                <w:szCs w:val="24"/>
              </w:rPr>
              <w:t>㎡</w:t>
            </w:r>
          </w:p>
        </w:tc>
        <w:tc>
          <w:tcPr>
            <w:tcW w:w="2725" w:type="dxa"/>
            <w:tcBorders>
              <w:top w:val="nil"/>
              <w:left w:val="nil"/>
              <w:bottom w:val="single" w:color="auto" w:sz="4" w:space="0"/>
              <w:right w:val="single" w:color="auto" w:sz="4" w:space="0"/>
            </w:tcBorders>
            <w:vAlign w:val="center"/>
          </w:tcPr>
          <w:p>
            <w:pPr>
              <w:jc w:val="center"/>
              <w:rPr>
                <w:rFonts w:ascii="宋体" w:cs="宋体"/>
                <w:sz w:val="24"/>
                <w:szCs w:val="24"/>
              </w:rPr>
            </w:pPr>
          </w:p>
        </w:tc>
      </w:tr>
      <w:tr>
        <w:tblPrEx>
          <w:tblCellMar>
            <w:top w:w="0" w:type="dxa"/>
            <w:left w:w="108" w:type="dxa"/>
            <w:bottom w:w="0" w:type="dxa"/>
            <w:right w:w="108" w:type="dxa"/>
          </w:tblCellMar>
        </w:tblPrEx>
        <w:trPr>
          <w:trHeight w:val="637" w:hRule="atLeast"/>
        </w:trPr>
        <w:tc>
          <w:tcPr>
            <w:tcW w:w="735"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5</w:t>
            </w:r>
          </w:p>
        </w:tc>
        <w:tc>
          <w:tcPr>
            <w:tcW w:w="342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公厕保洁</w:t>
            </w:r>
          </w:p>
        </w:tc>
        <w:tc>
          <w:tcPr>
            <w:tcW w:w="144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ascii="宋体" w:hAnsi="宋体" w:cs="宋体"/>
                <w:sz w:val="24"/>
                <w:szCs w:val="24"/>
              </w:rPr>
              <w:t>7</w:t>
            </w:r>
            <w:r>
              <w:rPr>
                <w:rFonts w:hint="eastAsia" w:ascii="宋体" w:hAnsi="宋体" w:cs="宋体"/>
                <w:sz w:val="24"/>
                <w:szCs w:val="24"/>
              </w:rPr>
              <w:t>座</w:t>
            </w:r>
          </w:p>
        </w:tc>
        <w:tc>
          <w:tcPr>
            <w:tcW w:w="2725" w:type="dxa"/>
            <w:tcBorders>
              <w:top w:val="nil"/>
              <w:left w:val="nil"/>
              <w:bottom w:val="single" w:color="auto" w:sz="4" w:space="0"/>
              <w:right w:val="single" w:color="auto" w:sz="4" w:space="0"/>
            </w:tcBorders>
            <w:vAlign w:val="center"/>
          </w:tcPr>
          <w:p>
            <w:pPr>
              <w:jc w:val="center"/>
              <w:rPr>
                <w:rFonts w:ascii="宋体" w:cs="宋体"/>
                <w:sz w:val="24"/>
                <w:szCs w:val="24"/>
              </w:rPr>
            </w:pPr>
          </w:p>
        </w:tc>
      </w:tr>
      <w:tr>
        <w:tblPrEx>
          <w:tblCellMar>
            <w:top w:w="0" w:type="dxa"/>
            <w:left w:w="108" w:type="dxa"/>
            <w:bottom w:w="0" w:type="dxa"/>
            <w:right w:w="108" w:type="dxa"/>
          </w:tblCellMar>
        </w:tblPrEx>
        <w:trPr>
          <w:trHeight w:val="603" w:hRule="atLeast"/>
        </w:trPr>
        <w:tc>
          <w:tcPr>
            <w:tcW w:w="735"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6</w:t>
            </w:r>
          </w:p>
        </w:tc>
        <w:tc>
          <w:tcPr>
            <w:tcW w:w="342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草花养殖（盆）</w:t>
            </w:r>
            <w:r>
              <w:rPr>
                <w:rFonts w:ascii="宋体" w:hAnsi="宋体" w:cs="宋体"/>
                <w:sz w:val="24"/>
                <w:szCs w:val="24"/>
              </w:rPr>
              <w:t>12000</w:t>
            </w:r>
            <w:r>
              <w:rPr>
                <w:rFonts w:hint="eastAsia" w:ascii="宋体" w:hAnsi="宋体" w:cs="宋体"/>
                <w:sz w:val="24"/>
                <w:szCs w:val="24"/>
              </w:rPr>
              <w:t>及场地管理</w:t>
            </w:r>
          </w:p>
        </w:tc>
        <w:tc>
          <w:tcPr>
            <w:tcW w:w="144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ascii="宋体" w:hAnsi="宋体" w:cs="宋体"/>
                <w:sz w:val="24"/>
                <w:szCs w:val="24"/>
              </w:rPr>
              <w:t>2655</w:t>
            </w:r>
            <w:r>
              <w:rPr>
                <w:rFonts w:hint="eastAsia" w:ascii="宋体" w:hAnsi="宋体" w:cs="宋体"/>
                <w:sz w:val="24"/>
                <w:szCs w:val="24"/>
              </w:rPr>
              <w:t>㎡</w:t>
            </w:r>
          </w:p>
        </w:tc>
        <w:tc>
          <w:tcPr>
            <w:tcW w:w="2725" w:type="dxa"/>
            <w:tcBorders>
              <w:top w:val="nil"/>
              <w:left w:val="nil"/>
              <w:bottom w:val="single" w:color="auto" w:sz="4" w:space="0"/>
              <w:right w:val="single" w:color="auto" w:sz="4" w:space="0"/>
            </w:tcBorders>
            <w:vAlign w:val="center"/>
          </w:tcPr>
          <w:p>
            <w:pPr>
              <w:jc w:val="center"/>
              <w:rPr>
                <w:rFonts w:ascii="宋体" w:cs="宋体"/>
                <w:sz w:val="24"/>
                <w:szCs w:val="24"/>
              </w:rPr>
            </w:pPr>
          </w:p>
        </w:tc>
      </w:tr>
      <w:tr>
        <w:tblPrEx>
          <w:tblCellMar>
            <w:top w:w="0" w:type="dxa"/>
            <w:left w:w="108" w:type="dxa"/>
            <w:bottom w:w="0" w:type="dxa"/>
            <w:right w:w="108" w:type="dxa"/>
          </w:tblCellMar>
        </w:tblPrEx>
        <w:trPr>
          <w:trHeight w:val="533" w:hRule="atLeast"/>
        </w:trPr>
        <w:tc>
          <w:tcPr>
            <w:tcW w:w="735"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7</w:t>
            </w:r>
          </w:p>
        </w:tc>
        <w:tc>
          <w:tcPr>
            <w:tcW w:w="342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盆景培养、盆栽养护及场地管理</w:t>
            </w:r>
          </w:p>
        </w:tc>
        <w:tc>
          <w:tcPr>
            <w:tcW w:w="144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ascii="宋体" w:hAnsi="宋体" w:cs="宋体"/>
                <w:sz w:val="24"/>
                <w:szCs w:val="24"/>
              </w:rPr>
              <w:t>10076</w:t>
            </w:r>
            <w:r>
              <w:rPr>
                <w:rFonts w:hint="eastAsia" w:ascii="宋体" w:hAnsi="宋体" w:cs="宋体"/>
                <w:sz w:val="24"/>
                <w:szCs w:val="24"/>
              </w:rPr>
              <w:t>㎡</w:t>
            </w:r>
          </w:p>
        </w:tc>
        <w:tc>
          <w:tcPr>
            <w:tcW w:w="2725" w:type="dxa"/>
            <w:tcBorders>
              <w:top w:val="nil"/>
              <w:left w:val="nil"/>
              <w:bottom w:val="single" w:color="auto" w:sz="4" w:space="0"/>
              <w:right w:val="single" w:color="auto" w:sz="4" w:space="0"/>
            </w:tcBorders>
            <w:vAlign w:val="center"/>
          </w:tcPr>
          <w:p>
            <w:pPr>
              <w:jc w:val="center"/>
              <w:rPr>
                <w:rFonts w:ascii="宋体" w:cs="宋体"/>
                <w:sz w:val="24"/>
                <w:szCs w:val="24"/>
              </w:rPr>
            </w:pPr>
          </w:p>
        </w:tc>
      </w:tr>
      <w:tr>
        <w:tblPrEx>
          <w:tblCellMar>
            <w:top w:w="0" w:type="dxa"/>
            <w:left w:w="108" w:type="dxa"/>
            <w:bottom w:w="0" w:type="dxa"/>
            <w:right w:w="108" w:type="dxa"/>
          </w:tblCellMar>
        </w:tblPrEx>
        <w:trPr>
          <w:trHeight w:val="527" w:hRule="atLeast"/>
        </w:trPr>
        <w:tc>
          <w:tcPr>
            <w:tcW w:w="735"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8</w:t>
            </w:r>
          </w:p>
        </w:tc>
        <w:tc>
          <w:tcPr>
            <w:tcW w:w="342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动物饲养及笼（圈）舍清扫</w:t>
            </w:r>
          </w:p>
        </w:tc>
        <w:tc>
          <w:tcPr>
            <w:tcW w:w="144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ascii="宋体" w:hAnsi="宋体" w:cs="宋体"/>
                <w:sz w:val="24"/>
                <w:szCs w:val="24"/>
              </w:rPr>
              <w:t>11988</w:t>
            </w:r>
            <w:r>
              <w:rPr>
                <w:rFonts w:hint="eastAsia" w:ascii="宋体" w:hAnsi="宋体" w:cs="宋体"/>
                <w:sz w:val="24"/>
                <w:szCs w:val="24"/>
              </w:rPr>
              <w:t>㎡</w:t>
            </w:r>
          </w:p>
        </w:tc>
        <w:tc>
          <w:tcPr>
            <w:tcW w:w="2725" w:type="dxa"/>
            <w:tcBorders>
              <w:top w:val="nil"/>
              <w:left w:val="nil"/>
              <w:bottom w:val="single" w:color="auto" w:sz="4" w:space="0"/>
              <w:right w:val="single" w:color="auto" w:sz="4" w:space="0"/>
            </w:tcBorders>
            <w:vAlign w:val="center"/>
          </w:tcPr>
          <w:p>
            <w:pPr>
              <w:jc w:val="center"/>
              <w:rPr>
                <w:rFonts w:ascii="宋体" w:cs="宋体"/>
                <w:sz w:val="24"/>
                <w:szCs w:val="24"/>
              </w:rPr>
            </w:pPr>
          </w:p>
        </w:tc>
      </w:tr>
      <w:tr>
        <w:tblPrEx>
          <w:tblCellMar>
            <w:top w:w="0" w:type="dxa"/>
            <w:left w:w="108" w:type="dxa"/>
            <w:bottom w:w="0" w:type="dxa"/>
            <w:right w:w="108" w:type="dxa"/>
          </w:tblCellMar>
        </w:tblPrEx>
        <w:trPr>
          <w:trHeight w:val="623" w:hRule="atLeast"/>
        </w:trPr>
        <w:tc>
          <w:tcPr>
            <w:tcW w:w="735"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9</w:t>
            </w:r>
          </w:p>
        </w:tc>
        <w:tc>
          <w:tcPr>
            <w:tcW w:w="3420" w:type="dxa"/>
            <w:tcBorders>
              <w:top w:val="nil"/>
              <w:left w:val="nil"/>
              <w:bottom w:val="single" w:color="auto" w:sz="4" w:space="0"/>
              <w:right w:val="single" w:color="auto" w:sz="4" w:space="0"/>
            </w:tcBorders>
            <w:vAlign w:val="center"/>
          </w:tcPr>
          <w:p>
            <w:pPr>
              <w:jc w:val="center"/>
              <w:rPr>
                <w:rFonts w:ascii="宋体" w:cs="宋体"/>
                <w:sz w:val="24"/>
                <w:szCs w:val="24"/>
              </w:rPr>
            </w:pPr>
            <w:r>
              <w:rPr>
                <w:rFonts w:hint="eastAsia" w:ascii="宋体" w:hAnsi="宋体" w:cs="宋体"/>
                <w:sz w:val="24"/>
                <w:szCs w:val="24"/>
              </w:rPr>
              <w:t>公园安全巡逻</w:t>
            </w:r>
          </w:p>
        </w:tc>
        <w:tc>
          <w:tcPr>
            <w:tcW w:w="1440" w:type="dxa"/>
            <w:tcBorders>
              <w:top w:val="nil"/>
              <w:left w:val="nil"/>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182091</w:t>
            </w:r>
          </w:p>
        </w:tc>
        <w:tc>
          <w:tcPr>
            <w:tcW w:w="2725" w:type="dxa"/>
            <w:tcBorders>
              <w:top w:val="nil"/>
              <w:left w:val="nil"/>
              <w:bottom w:val="single" w:color="auto" w:sz="4" w:space="0"/>
              <w:right w:val="single" w:color="auto" w:sz="4" w:space="0"/>
            </w:tcBorders>
            <w:vAlign w:val="center"/>
          </w:tcPr>
          <w:p>
            <w:pPr>
              <w:jc w:val="center"/>
              <w:rPr>
                <w:rFonts w:ascii="宋体" w:hAnsi="宋体" w:cs="宋体"/>
                <w:sz w:val="24"/>
                <w:szCs w:val="24"/>
              </w:rPr>
            </w:pPr>
          </w:p>
        </w:tc>
      </w:tr>
    </w:tbl>
    <w:p>
      <w:pPr>
        <w:spacing w:beforeLines="50" w:line="560" w:lineRule="exact"/>
        <w:ind w:firstLine="482" w:firstLineChars="200"/>
        <w:rPr>
          <w:rFonts w:ascii="宋体" w:cs="宋体"/>
          <w:b/>
          <w:bCs/>
          <w:sz w:val="24"/>
          <w:szCs w:val="24"/>
        </w:rPr>
      </w:pPr>
      <w:r>
        <w:rPr>
          <w:rFonts w:hint="eastAsia" w:ascii="宋体" w:hAnsi="宋体" w:cs="宋体"/>
          <w:b/>
          <w:bCs/>
          <w:sz w:val="24"/>
          <w:szCs w:val="24"/>
        </w:rPr>
        <w:t>二、项目要求</w:t>
      </w:r>
    </w:p>
    <w:p>
      <w:pPr>
        <w:snapToGrid w:val="0"/>
        <w:spacing w:line="360" w:lineRule="auto"/>
        <w:ind w:firstLine="480" w:firstLineChars="200"/>
        <w:jc w:val="left"/>
        <w:rPr>
          <w:rFonts w:ascii="宋体" w:cs="宋体"/>
          <w:sz w:val="24"/>
          <w:szCs w:val="24"/>
        </w:rPr>
      </w:pPr>
      <w:r>
        <w:rPr>
          <w:rFonts w:hint="eastAsia" w:ascii="宋体" w:hAnsi="宋体" w:cs="宋体"/>
          <w:sz w:val="24"/>
          <w:szCs w:val="24"/>
        </w:rPr>
        <w:t>（一）工作要求</w:t>
      </w:r>
    </w:p>
    <w:p>
      <w:pPr>
        <w:snapToGrid w:val="0"/>
        <w:spacing w:line="360" w:lineRule="auto"/>
        <w:ind w:firstLine="480" w:firstLineChars="200"/>
        <w:jc w:val="left"/>
        <w:rPr>
          <w:rFonts w:ascii="宋体" w:cs="宋体"/>
          <w:sz w:val="24"/>
          <w:szCs w:val="24"/>
        </w:rPr>
      </w:pPr>
      <w:r>
        <w:rPr>
          <w:rFonts w:ascii="宋体" w:hAnsi="宋体" w:cs="宋体"/>
          <w:sz w:val="24"/>
          <w:szCs w:val="24"/>
        </w:rPr>
        <w:t>1</w:t>
      </w:r>
      <w:r>
        <w:rPr>
          <w:rFonts w:hint="eastAsia" w:ascii="宋体" w:hAnsi="宋体" w:cs="宋体"/>
          <w:sz w:val="24"/>
          <w:szCs w:val="24"/>
        </w:rPr>
        <w:t>、按公园管理绿地要求，人员配备不少于规定人数，男性</w:t>
      </w:r>
      <w:r>
        <w:rPr>
          <w:rFonts w:ascii="宋体" w:hAnsi="宋体" w:cs="宋体"/>
          <w:sz w:val="24"/>
          <w:szCs w:val="24"/>
        </w:rPr>
        <w:t>60</w:t>
      </w:r>
      <w:r>
        <w:rPr>
          <w:rFonts w:hint="eastAsia" w:ascii="宋体" w:hAnsi="宋体" w:cs="宋体"/>
          <w:sz w:val="24"/>
          <w:szCs w:val="24"/>
        </w:rPr>
        <w:t>周岁以下，女性</w:t>
      </w:r>
      <w:r>
        <w:rPr>
          <w:rFonts w:ascii="宋体" w:hAnsi="宋体" w:cs="宋体"/>
          <w:sz w:val="24"/>
          <w:szCs w:val="24"/>
        </w:rPr>
        <w:t>55</w:t>
      </w:r>
      <w:r>
        <w:rPr>
          <w:rFonts w:hint="eastAsia" w:ascii="宋体" w:hAnsi="宋体" w:cs="宋体"/>
          <w:sz w:val="24"/>
          <w:szCs w:val="24"/>
        </w:rPr>
        <w:t>周岁以下，身体健康，能胜任本职工作（户外）。遇突击检查、重大活动时按要求增加人员。</w:t>
      </w:r>
    </w:p>
    <w:p>
      <w:pPr>
        <w:snapToGrid w:val="0"/>
        <w:spacing w:line="360" w:lineRule="auto"/>
        <w:ind w:firstLine="480" w:firstLineChars="200"/>
        <w:jc w:val="left"/>
        <w:rPr>
          <w:rFonts w:ascii="宋体" w:cs="宋体"/>
          <w:sz w:val="24"/>
          <w:szCs w:val="24"/>
        </w:rPr>
      </w:pPr>
      <w:r>
        <w:rPr>
          <w:rFonts w:ascii="宋体" w:hAnsi="宋体" w:cs="宋体"/>
          <w:sz w:val="24"/>
          <w:szCs w:val="24"/>
        </w:rPr>
        <w:t>2</w:t>
      </w:r>
      <w:r>
        <w:rPr>
          <w:rFonts w:hint="eastAsia" w:ascii="宋体" w:hAnsi="宋体" w:cs="宋体"/>
          <w:sz w:val="24"/>
          <w:szCs w:val="24"/>
        </w:rPr>
        <w:t>、中标人必须按照安阳市区最低工资标准，按时发放工人工资，工资采用银行卡发放，必须每月</w:t>
      </w:r>
      <w:r>
        <w:rPr>
          <w:rFonts w:ascii="宋体" w:hAnsi="宋体" w:cs="宋体"/>
          <w:sz w:val="24"/>
          <w:szCs w:val="24"/>
        </w:rPr>
        <w:t>10</w:t>
      </w:r>
      <w:r>
        <w:rPr>
          <w:rFonts w:hint="eastAsia" w:ascii="宋体" w:hAnsi="宋体" w:cs="宋体"/>
          <w:sz w:val="24"/>
          <w:szCs w:val="24"/>
        </w:rPr>
        <w:t>日之前发放上月工资，未按上述要求执行的，采购人有权扣除中标人漏缴部分，并有权终止合同，造成的损失由中标人承担。每月工资不能拖欠，每延时一天扣考核分值</w:t>
      </w:r>
      <w:r>
        <w:rPr>
          <w:rFonts w:ascii="宋体" w:hAnsi="宋体" w:cs="宋体"/>
          <w:sz w:val="24"/>
          <w:szCs w:val="24"/>
        </w:rPr>
        <w:t>10</w:t>
      </w:r>
      <w:r>
        <w:rPr>
          <w:rFonts w:hint="eastAsia" w:ascii="宋体" w:hAnsi="宋体" w:cs="宋体"/>
          <w:sz w:val="24"/>
          <w:szCs w:val="24"/>
        </w:rPr>
        <w:t>分。</w:t>
      </w:r>
    </w:p>
    <w:p>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3、中标人</w:t>
      </w:r>
      <w:r>
        <w:rPr>
          <w:rFonts w:hint="eastAsia" w:ascii="宋体" w:hAnsi="宋体" w:cs="宋体"/>
          <w:sz w:val="24"/>
          <w:szCs w:val="24"/>
          <w:lang w:eastAsia="zh-CN"/>
        </w:rPr>
        <w:t>跟业主签订合同后</w:t>
      </w:r>
      <w:r>
        <w:rPr>
          <w:rFonts w:hint="eastAsia" w:ascii="宋体" w:hAnsi="宋体" w:cs="宋体"/>
          <w:sz w:val="24"/>
          <w:szCs w:val="24"/>
        </w:rPr>
        <w:t>必须按中标承诺人数</w:t>
      </w:r>
      <w:r>
        <w:rPr>
          <w:rFonts w:hint="eastAsia" w:ascii="宋体" w:hAnsi="宋体" w:cs="宋体"/>
          <w:sz w:val="24"/>
          <w:szCs w:val="24"/>
          <w:lang w:eastAsia="zh-CN"/>
        </w:rPr>
        <w:t>及人员年龄</w:t>
      </w:r>
      <w:r>
        <w:rPr>
          <w:rFonts w:hint="eastAsia" w:ascii="宋体" w:hAnsi="宋体" w:cs="宋体"/>
          <w:sz w:val="24"/>
          <w:szCs w:val="24"/>
        </w:rPr>
        <w:t>上岗，不得缺人缺岗。中标人</w:t>
      </w:r>
      <w:r>
        <w:rPr>
          <w:rFonts w:hint="eastAsia" w:ascii="宋体" w:hAnsi="宋体" w:cs="宋体"/>
          <w:sz w:val="24"/>
          <w:szCs w:val="24"/>
          <w:lang w:eastAsia="zh-CN"/>
        </w:rPr>
        <w:t>在中标后需为每年签订劳务合同的</w:t>
      </w:r>
      <w:r>
        <w:rPr>
          <w:rFonts w:hint="eastAsia" w:ascii="宋体" w:hAnsi="宋体" w:cs="宋体"/>
          <w:sz w:val="24"/>
          <w:szCs w:val="24"/>
        </w:rPr>
        <w:t>上岗人员缴纳意外伤害险，合同期内发生的任何事故均由中标人承担，与采购人无关。</w:t>
      </w:r>
    </w:p>
    <w:p>
      <w:pPr>
        <w:snapToGrid w:val="0"/>
        <w:spacing w:line="360" w:lineRule="auto"/>
        <w:ind w:firstLine="480" w:firstLineChars="200"/>
        <w:jc w:val="left"/>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、中标人工作人员必须统一工作服装，样式参照采购人意见。中标人须组织安全、业务技术培训每年</w:t>
      </w:r>
      <w:r>
        <w:rPr>
          <w:rFonts w:ascii="宋体" w:hAnsi="宋体" w:cs="宋体"/>
          <w:sz w:val="24"/>
          <w:szCs w:val="24"/>
        </w:rPr>
        <w:t>4</w:t>
      </w:r>
      <w:r>
        <w:rPr>
          <w:rFonts w:hint="eastAsia" w:ascii="宋体" w:hAnsi="宋体" w:cs="宋体"/>
          <w:sz w:val="24"/>
          <w:szCs w:val="24"/>
        </w:rPr>
        <w:t>次以上，被服务单位负责业务指导。</w:t>
      </w:r>
    </w:p>
    <w:p>
      <w:pPr>
        <w:pStyle w:val="2"/>
      </w:pPr>
    </w:p>
    <w:p>
      <w:pPr>
        <w:snapToGrid w:val="0"/>
        <w:spacing w:line="360" w:lineRule="auto"/>
        <w:ind w:firstLine="480" w:firstLineChars="200"/>
        <w:jc w:val="left"/>
        <w:rPr>
          <w:rFonts w:ascii="宋体" w:cs="宋体"/>
          <w:sz w:val="24"/>
          <w:szCs w:val="24"/>
        </w:rPr>
      </w:pPr>
      <w:r>
        <w:rPr>
          <w:rFonts w:ascii="宋体" w:hAnsi="宋体" w:cs="宋体"/>
          <w:sz w:val="24"/>
          <w:szCs w:val="24"/>
        </w:rPr>
        <w:t>5</w:t>
      </w:r>
      <w:r>
        <w:rPr>
          <w:rFonts w:hint="eastAsia" w:ascii="宋体" w:hAnsi="宋体" w:cs="宋体"/>
          <w:sz w:val="24"/>
          <w:szCs w:val="24"/>
        </w:rPr>
        <w:t>、</w:t>
      </w:r>
      <w:r>
        <w:rPr>
          <w:rFonts w:hint="eastAsia" w:ascii="宋体" w:hAnsi="宋体" w:cs="宋体"/>
          <w:b/>
          <w:sz w:val="24"/>
          <w:szCs w:val="24"/>
        </w:rPr>
        <w:t>本次招标服务期限为三年。</w:t>
      </w:r>
    </w:p>
    <w:p>
      <w:pPr>
        <w:snapToGrid w:val="0"/>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如中标人在实际工作管理中，达不到招标文件和合同要求，采购人有权解除合同，由此造成的损失由中标人承担，并根据损失情况，对中标人进行处罚。按相关规定按照评标委员会签署的评审报告推荐中标候选名单排序确定下一候选人为中标人，签订合同，或重新组织招标。</w:t>
      </w:r>
    </w:p>
    <w:p>
      <w:pPr>
        <w:snapToGrid w:val="0"/>
        <w:spacing w:line="360" w:lineRule="auto"/>
        <w:ind w:firstLine="480" w:firstLineChars="200"/>
        <w:jc w:val="left"/>
        <w:rPr>
          <w:rFonts w:ascii="宋体" w:cs="宋体"/>
          <w:sz w:val="24"/>
          <w:szCs w:val="24"/>
        </w:rPr>
      </w:pPr>
      <w:r>
        <w:rPr>
          <w:rFonts w:ascii="宋体" w:hAnsi="宋体" w:cs="宋体"/>
          <w:sz w:val="24"/>
          <w:szCs w:val="24"/>
        </w:rPr>
        <w:t>7</w:t>
      </w:r>
      <w:r>
        <w:rPr>
          <w:rFonts w:hint="eastAsia" w:ascii="宋体" w:hAnsi="宋体" w:cs="宋体"/>
          <w:sz w:val="24"/>
          <w:szCs w:val="24"/>
        </w:rPr>
        <w:t>、服务费用按季度支付，合同签订后，按先服务后支付的形式，采购人根据每月考核结果，支付服务费。</w:t>
      </w:r>
    </w:p>
    <w:p>
      <w:pPr>
        <w:snapToGrid w:val="0"/>
        <w:spacing w:line="360" w:lineRule="auto"/>
        <w:ind w:firstLine="480" w:firstLineChars="200"/>
        <w:jc w:val="left"/>
        <w:rPr>
          <w:rFonts w:ascii="宋体" w:cs="宋体"/>
          <w:sz w:val="24"/>
          <w:szCs w:val="24"/>
        </w:rPr>
      </w:pPr>
      <w:r>
        <w:rPr>
          <w:rFonts w:hint="eastAsia" w:ascii="宋体" w:hAnsi="宋体" w:cs="宋体"/>
          <w:sz w:val="24"/>
          <w:szCs w:val="24"/>
        </w:rPr>
        <w:t>（二）其他要求</w:t>
      </w:r>
    </w:p>
    <w:p>
      <w:pPr>
        <w:snapToGrid w:val="0"/>
        <w:spacing w:line="360" w:lineRule="auto"/>
        <w:ind w:firstLine="480" w:firstLineChars="200"/>
        <w:jc w:val="left"/>
        <w:rPr>
          <w:rFonts w:ascii="宋体" w:cs="宋体"/>
          <w:sz w:val="24"/>
          <w:szCs w:val="24"/>
        </w:rPr>
      </w:pPr>
      <w:r>
        <w:rPr>
          <w:rFonts w:ascii="宋体" w:hAnsi="宋体" w:cs="宋体"/>
          <w:sz w:val="24"/>
          <w:szCs w:val="24"/>
        </w:rPr>
        <w:t>1</w:t>
      </w:r>
      <w:r>
        <w:rPr>
          <w:rFonts w:hint="eastAsia" w:ascii="宋体" w:hAnsi="宋体" w:cs="宋体"/>
          <w:sz w:val="24"/>
          <w:szCs w:val="24"/>
        </w:rPr>
        <w:t>、采购人、中标人双方签订服务合同后，应对苗木现状进行核对，并记录台账。每年，双方根据台账记录核对植物品种和数量；</w:t>
      </w:r>
      <w:r>
        <w:rPr>
          <w:rFonts w:hint="eastAsia" w:ascii="宋体" w:hAnsi="宋体" w:cs="宋体"/>
          <w:sz w:val="24"/>
          <w:szCs w:val="24"/>
          <w:highlight w:val="none"/>
        </w:rPr>
        <w:t>如有</w:t>
      </w:r>
      <w:r>
        <w:rPr>
          <w:rFonts w:hint="eastAsia" w:ascii="宋体" w:hAnsi="宋体" w:cs="宋体"/>
          <w:sz w:val="24"/>
          <w:szCs w:val="24"/>
          <w:highlight w:val="none"/>
          <w:lang w:eastAsia="zh-CN"/>
        </w:rPr>
        <w:t>因人为管理不善造成</w:t>
      </w:r>
      <w:r>
        <w:rPr>
          <w:rFonts w:hint="eastAsia" w:ascii="宋体" w:hAnsi="宋体" w:cs="宋体"/>
          <w:sz w:val="24"/>
          <w:szCs w:val="24"/>
          <w:highlight w:val="none"/>
        </w:rPr>
        <w:t>缺死株，中标人应及时补植，若不及时补植，采购人按照河南省园林绿化相关定</w:t>
      </w:r>
      <w:r>
        <w:rPr>
          <w:rFonts w:hint="eastAsia" w:ascii="宋体" w:hAnsi="宋体" w:cs="宋体"/>
          <w:sz w:val="24"/>
          <w:szCs w:val="24"/>
        </w:rPr>
        <w:t>额和指导价标准对中标人进行扣款，所扣款项将用于补植。</w:t>
      </w:r>
    </w:p>
    <w:p>
      <w:pPr>
        <w:snapToGrid w:val="0"/>
        <w:spacing w:line="360" w:lineRule="auto"/>
        <w:ind w:firstLine="480" w:firstLineChars="200"/>
        <w:jc w:val="left"/>
        <w:rPr>
          <w:rFonts w:ascii="宋体" w:cs="宋体"/>
          <w:sz w:val="24"/>
          <w:szCs w:val="24"/>
        </w:rPr>
      </w:pPr>
      <w:r>
        <w:rPr>
          <w:rFonts w:ascii="宋体" w:hAnsi="宋体" w:cs="宋体"/>
          <w:sz w:val="24"/>
          <w:szCs w:val="24"/>
        </w:rPr>
        <w:t>2</w:t>
      </w:r>
      <w:r>
        <w:rPr>
          <w:rFonts w:hint="eastAsia" w:ascii="宋体" w:hAnsi="宋体" w:cs="宋体"/>
          <w:sz w:val="24"/>
          <w:szCs w:val="24"/>
        </w:rPr>
        <w:t>、相应安全、防尘措施的配备。按照国家相关规定，行道树或乔灌木修剪按规范操作，施工人员要戴安全帽，上树人员必须系安全带，在施工范围周边要摆放隔离墩和警示标志提醒行人注意安全；施工过程中配备雾炮等防尘设施。</w:t>
      </w:r>
    </w:p>
    <w:p>
      <w:pPr>
        <w:snapToGrid w:val="0"/>
        <w:spacing w:line="360" w:lineRule="auto"/>
        <w:ind w:firstLine="480" w:firstLineChars="200"/>
        <w:jc w:val="left"/>
        <w:rPr>
          <w:rFonts w:ascii="宋体" w:cs="宋体"/>
          <w:sz w:val="24"/>
          <w:szCs w:val="24"/>
        </w:rPr>
      </w:pPr>
      <w:r>
        <w:rPr>
          <w:rFonts w:ascii="宋体" w:hAnsi="宋体" w:cs="宋体"/>
          <w:sz w:val="24"/>
          <w:szCs w:val="24"/>
        </w:rPr>
        <w:t>3</w:t>
      </w:r>
      <w:r>
        <w:rPr>
          <w:rFonts w:hint="eastAsia" w:ascii="宋体" w:hAnsi="宋体" w:cs="宋体"/>
          <w:sz w:val="24"/>
          <w:szCs w:val="24"/>
        </w:rPr>
        <w:t>、中标人必须配合采购人的一切生产工作要求，如春秋季补植补栽、迎接重大活动、花展布展、临时性任务等。</w:t>
      </w:r>
    </w:p>
    <w:p>
      <w:pPr>
        <w:spacing w:afterLines="50" w:line="560" w:lineRule="exact"/>
        <w:ind w:firstLine="482" w:firstLineChars="200"/>
        <w:rPr>
          <w:rFonts w:ascii="宋体" w:cs="宋体"/>
          <w:b/>
          <w:bCs/>
          <w:sz w:val="24"/>
          <w:szCs w:val="24"/>
        </w:rPr>
      </w:pPr>
      <w:r>
        <w:rPr>
          <w:rFonts w:hint="eastAsia" w:ascii="宋体" w:hAnsi="宋体" w:cs="宋体"/>
          <w:b/>
          <w:bCs/>
          <w:sz w:val="24"/>
          <w:szCs w:val="24"/>
        </w:rPr>
        <w:t>三、项目工作内容及要求</w:t>
      </w:r>
    </w:p>
    <w:p>
      <w:pPr>
        <w:spacing w:line="560" w:lineRule="exact"/>
        <w:ind w:firstLine="482" w:firstLineChars="200"/>
        <w:rPr>
          <w:rFonts w:ascii="宋体" w:cs="宋体"/>
          <w:b/>
          <w:bCs/>
          <w:sz w:val="24"/>
          <w:szCs w:val="24"/>
        </w:rPr>
      </w:pPr>
      <w:r>
        <w:rPr>
          <w:rFonts w:hint="eastAsia" w:ascii="宋体" w:hAnsi="宋体" w:cs="宋体"/>
          <w:b/>
          <w:bCs/>
          <w:sz w:val="24"/>
          <w:szCs w:val="24"/>
        </w:rPr>
        <w:t>（一）绿地管养</w:t>
      </w:r>
    </w:p>
    <w:p>
      <w:pPr>
        <w:spacing w:line="560" w:lineRule="exact"/>
        <w:ind w:firstLine="482" w:firstLineChars="200"/>
        <w:rPr>
          <w:rFonts w:ascii="宋体" w:cs="宋体"/>
          <w:b/>
          <w:bCs/>
          <w:sz w:val="24"/>
          <w:szCs w:val="24"/>
        </w:rPr>
      </w:pPr>
      <w:r>
        <w:rPr>
          <w:rFonts w:ascii="宋体" w:hAnsi="宋体" w:cs="宋体"/>
          <w:b/>
          <w:bCs/>
          <w:sz w:val="24"/>
          <w:szCs w:val="24"/>
        </w:rPr>
        <w:t>1</w:t>
      </w:r>
      <w:r>
        <w:rPr>
          <w:rFonts w:hint="eastAsia" w:ascii="宋体" w:hAnsi="宋体" w:cs="宋体"/>
          <w:b/>
          <w:bCs/>
          <w:sz w:val="24"/>
          <w:szCs w:val="24"/>
        </w:rPr>
        <w:t>、卫生保洁内容及要求</w:t>
      </w:r>
    </w:p>
    <w:p>
      <w:pPr>
        <w:snapToGrid w:val="0"/>
        <w:spacing w:line="360" w:lineRule="auto"/>
        <w:ind w:firstLine="480" w:firstLineChars="200"/>
        <w:jc w:val="left"/>
        <w:rPr>
          <w:rFonts w:ascii="宋体" w:cs="宋体"/>
          <w:sz w:val="24"/>
          <w:szCs w:val="24"/>
        </w:rPr>
      </w:pPr>
      <w:r>
        <w:rPr>
          <w:rFonts w:ascii="宋体" w:hAnsi="宋体" w:cs="宋体"/>
          <w:sz w:val="24"/>
          <w:szCs w:val="24"/>
        </w:rPr>
        <w:t>1.1</w:t>
      </w:r>
      <w:r>
        <w:rPr>
          <w:rFonts w:hint="eastAsia" w:ascii="宋体" w:hAnsi="宋体" w:cs="宋体"/>
          <w:sz w:val="24"/>
          <w:szCs w:val="24"/>
        </w:rPr>
        <w:t>生产管理中产生的垃圾要随产随清，运到指定地点。不过晌。保持卫生基本清洁，无积存垃圾和人畜粪便。植物、硬化面、构（建）筑物及设施等基本完好美观，内外干净整洁，可见基本色；无积尘、无蜘蛛网，无明显污渍，基本无乱贴乱画、乱拉乱挂、乱搭乱建、乱挖乱占、乱堆乱放。保洁废弃物控制指标：果皮（片</w:t>
      </w:r>
      <w:r>
        <w:rPr>
          <w:rFonts w:ascii="宋体" w:hAnsi="宋体" w:cs="宋体"/>
          <w:sz w:val="24"/>
          <w:szCs w:val="24"/>
        </w:rPr>
        <w:t>/1000 m</w:t>
      </w:r>
      <w:r>
        <w:rPr>
          <w:rFonts w:ascii="宋体" w:hAnsi="宋体" w:cs="宋体"/>
          <w:sz w:val="24"/>
          <w:szCs w:val="24"/>
          <w:vertAlign w:val="superscript"/>
        </w:rPr>
        <w:t>2</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，纸屑、塑模（片</w:t>
      </w:r>
      <w:r>
        <w:rPr>
          <w:rFonts w:ascii="宋体" w:hAnsi="宋体" w:cs="宋体"/>
          <w:sz w:val="24"/>
          <w:szCs w:val="24"/>
        </w:rPr>
        <w:t>/1000 m</w:t>
      </w:r>
      <w:r>
        <w:rPr>
          <w:rFonts w:ascii="宋体" w:hAnsi="宋体" w:cs="宋体"/>
          <w:sz w:val="24"/>
          <w:szCs w:val="24"/>
          <w:vertAlign w:val="superscript"/>
        </w:rPr>
        <w:t>2</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，烟蒂（个</w:t>
      </w:r>
      <w:r>
        <w:rPr>
          <w:rFonts w:ascii="宋体" w:hAnsi="宋体" w:cs="宋体"/>
          <w:sz w:val="24"/>
          <w:szCs w:val="24"/>
        </w:rPr>
        <w:t>/1000m</w:t>
      </w:r>
      <w:r>
        <w:rPr>
          <w:rFonts w:ascii="宋体" w:hAnsi="宋体" w:cs="宋体"/>
          <w:sz w:val="24"/>
          <w:szCs w:val="24"/>
          <w:vertAlign w:val="superscript"/>
        </w:rPr>
        <w:t>2</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，痰迹（处</w:t>
      </w:r>
      <w:r>
        <w:rPr>
          <w:rFonts w:ascii="宋体" w:hAnsi="宋体" w:cs="宋体"/>
          <w:sz w:val="24"/>
          <w:szCs w:val="24"/>
        </w:rPr>
        <w:t>/1000 m</w:t>
      </w:r>
      <w:r>
        <w:rPr>
          <w:rFonts w:ascii="宋体" w:hAnsi="宋体" w:cs="宋体"/>
          <w:sz w:val="24"/>
          <w:szCs w:val="24"/>
          <w:vertAlign w:val="superscript"/>
        </w:rPr>
        <w:t>2</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，其他（处</w:t>
      </w:r>
      <w:r>
        <w:rPr>
          <w:rFonts w:ascii="宋体" w:hAnsi="宋体" w:cs="宋体"/>
          <w:sz w:val="24"/>
          <w:szCs w:val="24"/>
        </w:rPr>
        <w:t>/1000 m</w:t>
      </w:r>
      <w:r>
        <w:rPr>
          <w:rFonts w:ascii="宋体" w:hAnsi="宋体" w:cs="宋体"/>
          <w:sz w:val="24"/>
          <w:szCs w:val="24"/>
          <w:vertAlign w:val="superscript"/>
        </w:rPr>
        <w:t>2</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。绿地内无生活垃圾、建筑垃圾、干枯枝及其它废弃物（砖头、石块、烟盒、纸片、塑料袋、粪便、树枝等），保持绿地内土壤表面低于路侧石上平面</w:t>
      </w:r>
      <w:r>
        <w:rPr>
          <w:rFonts w:ascii="宋体" w:hAnsi="宋体" w:cs="宋体"/>
          <w:sz w:val="24"/>
          <w:szCs w:val="24"/>
        </w:rPr>
        <w:t>10</w:t>
      </w:r>
      <w:r>
        <w:rPr>
          <w:rFonts w:hint="eastAsia" w:ascii="宋体" w:hAnsi="宋体" w:cs="宋体"/>
          <w:sz w:val="24"/>
          <w:szCs w:val="24"/>
        </w:rPr>
        <w:t>厘米；水面应有专人负责，定时清除、打捞水域垃圾及漂浮物，定时对水面消毒，在可视范围内水面不得有单个面积在</w:t>
      </w:r>
      <w:r>
        <w:rPr>
          <w:rFonts w:ascii="宋体" w:hAnsi="宋体" w:cs="宋体"/>
          <w:sz w:val="24"/>
          <w:szCs w:val="24"/>
        </w:rPr>
        <w:t>0.02</w:t>
      </w:r>
      <w:r>
        <w:rPr>
          <w:rFonts w:hint="eastAsia" w:ascii="宋体" w:hAnsi="宋体" w:cs="宋体"/>
          <w:sz w:val="24"/>
          <w:szCs w:val="24"/>
        </w:rPr>
        <w:t>㎡以上的漂浮垃圾或动物尸体，保持水面干净。</w:t>
      </w:r>
    </w:p>
    <w:p>
      <w:pPr>
        <w:snapToGrid w:val="0"/>
        <w:spacing w:line="360" w:lineRule="auto"/>
        <w:ind w:firstLine="480" w:firstLineChars="200"/>
        <w:jc w:val="left"/>
        <w:rPr>
          <w:rFonts w:ascii="宋体" w:cs="宋体"/>
          <w:sz w:val="24"/>
          <w:szCs w:val="24"/>
        </w:rPr>
      </w:pPr>
      <w:r>
        <w:rPr>
          <w:rFonts w:ascii="宋体" w:hAnsi="宋体" w:cs="宋体"/>
          <w:sz w:val="24"/>
          <w:szCs w:val="24"/>
        </w:rPr>
        <w:t>1.2</w:t>
      </w:r>
      <w:r>
        <w:rPr>
          <w:rFonts w:hint="eastAsia" w:ascii="宋体" w:hAnsi="宋体" w:cs="宋体"/>
          <w:sz w:val="24"/>
          <w:szCs w:val="24"/>
        </w:rPr>
        <w:t>绿地防尘内容：对管理范围内绿篱、花灌木、行道树上有灰尘的及时进行冲洗，保持植物叶面干净。</w:t>
      </w:r>
    </w:p>
    <w:p>
      <w:pPr>
        <w:snapToGrid w:val="0"/>
        <w:spacing w:line="360" w:lineRule="auto"/>
        <w:ind w:firstLine="480" w:firstLineChars="200"/>
        <w:jc w:val="left"/>
        <w:rPr>
          <w:rFonts w:ascii="宋体" w:cs="宋体"/>
          <w:sz w:val="24"/>
          <w:szCs w:val="24"/>
        </w:rPr>
      </w:pPr>
      <w:r>
        <w:rPr>
          <w:rFonts w:ascii="宋体" w:hAnsi="宋体" w:cs="宋体"/>
          <w:sz w:val="24"/>
          <w:szCs w:val="24"/>
        </w:rPr>
        <w:t xml:space="preserve">1.3 </w:t>
      </w:r>
      <w:r>
        <w:rPr>
          <w:rFonts w:hint="eastAsia" w:ascii="宋体" w:hAnsi="宋体" w:cs="宋体"/>
          <w:sz w:val="24"/>
          <w:szCs w:val="24"/>
        </w:rPr>
        <w:t>保洁时间：平均每周工作时间不低于</w:t>
      </w:r>
      <w:r>
        <w:rPr>
          <w:rFonts w:ascii="宋体" w:hAnsi="宋体" w:cs="宋体"/>
          <w:sz w:val="24"/>
          <w:szCs w:val="24"/>
        </w:rPr>
        <w:t>42</w:t>
      </w:r>
      <w:r>
        <w:rPr>
          <w:rFonts w:hint="eastAsia" w:ascii="宋体" w:hAnsi="宋体" w:cs="宋体"/>
          <w:sz w:val="24"/>
          <w:szCs w:val="24"/>
        </w:rPr>
        <w:t>小时，不高于</w:t>
      </w:r>
      <w:r>
        <w:rPr>
          <w:rFonts w:ascii="宋体" w:hAnsi="宋体" w:cs="宋体"/>
          <w:sz w:val="24"/>
          <w:szCs w:val="24"/>
        </w:rPr>
        <w:t>44</w:t>
      </w:r>
      <w:r>
        <w:rPr>
          <w:rFonts w:hint="eastAsia" w:ascii="宋体" w:hAnsi="宋体" w:cs="宋体"/>
          <w:sz w:val="24"/>
          <w:szCs w:val="24"/>
        </w:rPr>
        <w:t>小时的工时制度，结合被服务单位的工作时间要求统筹执行，遇突击检查、重大活动按上级要求工作时间执行。该项目所需日常养护保洁用具</w:t>
      </w:r>
      <w:r>
        <w:rPr>
          <w:rFonts w:hint="eastAsia" w:ascii="宋体" w:hAnsi="宋体" w:cs="宋体"/>
          <w:sz w:val="24"/>
          <w:szCs w:val="24"/>
          <w:lang w:eastAsia="zh-CN"/>
        </w:rPr>
        <w:t>（如扫帚、保洁袋、捡拾器）</w:t>
      </w:r>
      <w:r>
        <w:rPr>
          <w:rFonts w:hint="eastAsia" w:ascii="宋体" w:hAnsi="宋体" w:cs="宋体"/>
          <w:sz w:val="24"/>
          <w:szCs w:val="24"/>
        </w:rPr>
        <w:t>等由中标人负责。</w:t>
      </w:r>
    </w:p>
    <w:p>
      <w:pPr>
        <w:spacing w:line="560" w:lineRule="exact"/>
        <w:ind w:firstLine="482" w:firstLineChars="200"/>
        <w:rPr>
          <w:rFonts w:ascii="宋体" w:cs="宋体"/>
          <w:b/>
          <w:bCs/>
          <w:sz w:val="24"/>
          <w:szCs w:val="24"/>
        </w:rPr>
      </w:pPr>
      <w:r>
        <w:rPr>
          <w:rFonts w:ascii="宋体" w:hAnsi="宋体" w:cs="宋体"/>
          <w:b/>
          <w:bCs/>
          <w:sz w:val="24"/>
          <w:szCs w:val="24"/>
        </w:rPr>
        <w:t>2</w:t>
      </w:r>
      <w:r>
        <w:rPr>
          <w:rFonts w:hint="eastAsia" w:ascii="宋体" w:hAnsi="宋体" w:cs="宋体"/>
          <w:b/>
          <w:bCs/>
          <w:sz w:val="24"/>
          <w:szCs w:val="24"/>
        </w:rPr>
        <w:t>、公厕保洁内容及要求</w:t>
      </w:r>
    </w:p>
    <w:p>
      <w:pPr>
        <w:snapToGrid w:val="0"/>
        <w:spacing w:line="360" w:lineRule="auto"/>
        <w:ind w:firstLine="480" w:firstLineChars="200"/>
        <w:jc w:val="left"/>
        <w:rPr>
          <w:rFonts w:ascii="宋体" w:cs="宋体"/>
          <w:sz w:val="24"/>
          <w:szCs w:val="24"/>
        </w:rPr>
      </w:pPr>
      <w:r>
        <w:rPr>
          <w:rFonts w:ascii="宋体" w:hAnsi="宋体" w:cs="宋体"/>
          <w:sz w:val="24"/>
          <w:szCs w:val="24"/>
        </w:rPr>
        <w:t>2.1</w:t>
      </w:r>
      <w:r>
        <w:rPr>
          <w:rFonts w:hint="eastAsia" w:ascii="宋体" w:hAnsi="宋体" w:cs="宋体"/>
          <w:sz w:val="24"/>
          <w:szCs w:val="24"/>
        </w:rPr>
        <w:t>公厕开放时间为上午</w:t>
      </w:r>
      <w:r>
        <w:rPr>
          <w:rFonts w:ascii="宋体" w:hAnsi="宋体" w:cs="宋体"/>
          <w:sz w:val="24"/>
          <w:szCs w:val="24"/>
        </w:rPr>
        <w:t>5:30</w:t>
      </w:r>
      <w:r>
        <w:rPr>
          <w:rFonts w:hint="eastAsia" w:ascii="宋体" w:hAnsi="宋体" w:cs="宋体"/>
          <w:sz w:val="24"/>
          <w:szCs w:val="24"/>
        </w:rPr>
        <w:t>（冬季</w:t>
      </w:r>
      <w:r>
        <w:rPr>
          <w:rFonts w:ascii="宋体" w:hAnsi="宋体" w:cs="宋体"/>
          <w:sz w:val="24"/>
          <w:szCs w:val="24"/>
        </w:rPr>
        <w:t>6:00</w:t>
      </w:r>
      <w:r>
        <w:rPr>
          <w:rFonts w:hint="eastAsia" w:ascii="宋体" w:hAnsi="宋体" w:cs="宋体"/>
          <w:sz w:val="24"/>
          <w:szCs w:val="24"/>
        </w:rPr>
        <w:t>）至夜间闭园，日常保洁不得影响游客的正常使用，清洁厕卫时要在门口放置“清洁中”提示牌。</w:t>
      </w:r>
    </w:p>
    <w:p>
      <w:pPr>
        <w:snapToGrid w:val="0"/>
        <w:spacing w:line="360" w:lineRule="auto"/>
        <w:ind w:firstLine="480" w:firstLineChars="200"/>
        <w:jc w:val="left"/>
        <w:rPr>
          <w:rFonts w:ascii="宋体" w:cs="宋体"/>
          <w:sz w:val="24"/>
          <w:szCs w:val="24"/>
        </w:rPr>
      </w:pPr>
      <w:r>
        <w:rPr>
          <w:rFonts w:ascii="宋体" w:hAnsi="宋体" w:cs="宋体"/>
          <w:sz w:val="24"/>
          <w:szCs w:val="24"/>
        </w:rPr>
        <w:t>2.2</w:t>
      </w:r>
      <w:r>
        <w:rPr>
          <w:rFonts w:hint="eastAsia" w:ascii="宋体" w:hAnsi="宋体" w:cs="宋体"/>
          <w:sz w:val="24"/>
          <w:szCs w:val="24"/>
        </w:rPr>
        <w:t>文明礼貌劝导游客正确使用公厕设施。</w:t>
      </w:r>
    </w:p>
    <w:p>
      <w:pPr>
        <w:snapToGrid w:val="0"/>
        <w:spacing w:line="360" w:lineRule="auto"/>
        <w:ind w:firstLine="480" w:firstLineChars="200"/>
        <w:jc w:val="left"/>
        <w:rPr>
          <w:rFonts w:ascii="宋体" w:cs="宋体"/>
          <w:sz w:val="24"/>
          <w:szCs w:val="24"/>
        </w:rPr>
      </w:pPr>
      <w:r>
        <w:rPr>
          <w:rFonts w:ascii="宋体" w:hAnsi="宋体" w:cs="宋体"/>
          <w:sz w:val="24"/>
          <w:szCs w:val="24"/>
        </w:rPr>
        <w:t>2.3</w:t>
      </w:r>
      <w:r>
        <w:rPr>
          <w:rFonts w:hint="eastAsia" w:ascii="宋体" w:hAnsi="宋体" w:cs="宋体"/>
          <w:sz w:val="24"/>
          <w:szCs w:val="24"/>
        </w:rPr>
        <w:t>公厕对外一律免费，严禁乙方乱收费，或进行经营活动。</w:t>
      </w:r>
    </w:p>
    <w:p>
      <w:pPr>
        <w:snapToGrid w:val="0"/>
        <w:spacing w:line="360" w:lineRule="auto"/>
        <w:ind w:firstLine="480" w:firstLineChars="200"/>
        <w:jc w:val="left"/>
        <w:rPr>
          <w:rFonts w:ascii="宋体" w:cs="宋体"/>
          <w:sz w:val="24"/>
          <w:szCs w:val="24"/>
        </w:rPr>
      </w:pPr>
      <w:r>
        <w:rPr>
          <w:rFonts w:ascii="宋体" w:hAnsi="宋体" w:cs="宋体"/>
          <w:sz w:val="24"/>
          <w:szCs w:val="24"/>
        </w:rPr>
        <w:t>2.4</w:t>
      </w:r>
      <w:r>
        <w:rPr>
          <w:rFonts w:hint="eastAsia" w:ascii="宋体" w:hAnsi="宋体" w:cs="宋体"/>
          <w:sz w:val="24"/>
          <w:szCs w:val="24"/>
        </w:rPr>
        <w:t>厕所内外做到常冲洗、勤保洁，厕所达到“四无四净”要求，即：无尿碱、无蜘蛛网、无臭味、无蝇蛆；地面净、墙壁净、便池蹲坑净、厕所周边净（厕外</w:t>
      </w:r>
      <w:r>
        <w:rPr>
          <w:rFonts w:ascii="宋体" w:hAnsi="宋体" w:cs="宋体"/>
          <w:sz w:val="24"/>
          <w:szCs w:val="24"/>
        </w:rPr>
        <w:t>3</w:t>
      </w:r>
      <w:r>
        <w:rPr>
          <w:rFonts w:hint="eastAsia" w:ascii="宋体" w:hAnsi="宋体" w:cs="宋体"/>
          <w:sz w:val="24"/>
          <w:szCs w:val="24"/>
        </w:rPr>
        <w:t>米内范围）。</w:t>
      </w:r>
    </w:p>
    <w:p>
      <w:pPr>
        <w:snapToGrid w:val="0"/>
        <w:spacing w:line="360" w:lineRule="auto"/>
        <w:ind w:firstLine="480" w:firstLineChars="200"/>
        <w:jc w:val="left"/>
        <w:rPr>
          <w:rFonts w:ascii="宋体" w:cs="宋体"/>
          <w:sz w:val="24"/>
          <w:szCs w:val="24"/>
        </w:rPr>
      </w:pPr>
      <w:r>
        <w:rPr>
          <w:rFonts w:ascii="宋体" w:hAnsi="宋体" w:cs="宋体"/>
          <w:sz w:val="24"/>
          <w:szCs w:val="24"/>
        </w:rPr>
        <w:t>2.5</w:t>
      </w:r>
      <w:r>
        <w:rPr>
          <w:rFonts w:hint="eastAsia" w:ascii="宋体" w:hAnsi="宋体" w:cs="宋体"/>
          <w:sz w:val="24"/>
          <w:szCs w:val="24"/>
        </w:rPr>
        <w:t>厕内干净、整洁，地面无积水，厕内（含管理间、工具间）地面、地垫、门框、墙壁、隔墙、灯具、洗手盆（池）镜台干净、整洁，无乱刻画、无尘垢。</w:t>
      </w:r>
    </w:p>
    <w:p>
      <w:pPr>
        <w:snapToGrid w:val="0"/>
        <w:spacing w:line="360" w:lineRule="auto"/>
        <w:ind w:firstLine="480" w:firstLineChars="200"/>
        <w:jc w:val="left"/>
        <w:rPr>
          <w:rFonts w:ascii="宋体" w:cs="宋体"/>
          <w:sz w:val="24"/>
          <w:szCs w:val="24"/>
        </w:rPr>
      </w:pPr>
      <w:r>
        <w:rPr>
          <w:rFonts w:ascii="宋体" w:hAnsi="宋体" w:cs="宋体"/>
          <w:sz w:val="24"/>
          <w:szCs w:val="24"/>
        </w:rPr>
        <w:t>2.6</w:t>
      </w:r>
      <w:r>
        <w:rPr>
          <w:rFonts w:hint="eastAsia" w:ascii="宋体" w:hAnsi="宋体" w:cs="宋体"/>
          <w:sz w:val="24"/>
          <w:szCs w:val="24"/>
        </w:rPr>
        <w:t>蹲位、尿槽、倒粪点“用后即冲”无尿碱、无粪迹、无堵塞。</w:t>
      </w:r>
    </w:p>
    <w:p>
      <w:pPr>
        <w:snapToGrid w:val="0"/>
        <w:spacing w:line="360" w:lineRule="auto"/>
        <w:ind w:firstLine="480" w:firstLineChars="200"/>
        <w:jc w:val="left"/>
        <w:rPr>
          <w:rFonts w:ascii="宋体" w:cs="宋体"/>
          <w:sz w:val="24"/>
          <w:szCs w:val="24"/>
        </w:rPr>
      </w:pPr>
      <w:r>
        <w:rPr>
          <w:rFonts w:ascii="宋体" w:hAnsi="宋体" w:cs="宋体"/>
          <w:sz w:val="24"/>
          <w:szCs w:val="24"/>
        </w:rPr>
        <w:t>2.7</w:t>
      </w:r>
      <w:r>
        <w:rPr>
          <w:rFonts w:hint="eastAsia" w:ascii="宋体" w:hAnsi="宋体" w:cs="宋体"/>
          <w:sz w:val="24"/>
          <w:szCs w:val="24"/>
        </w:rPr>
        <w:t>蓄水池、拖把池无水垢、无青苔。</w:t>
      </w:r>
    </w:p>
    <w:p>
      <w:pPr>
        <w:snapToGrid w:val="0"/>
        <w:spacing w:line="360" w:lineRule="auto"/>
        <w:ind w:firstLine="480" w:firstLineChars="200"/>
        <w:jc w:val="left"/>
        <w:rPr>
          <w:rFonts w:ascii="宋体" w:cs="宋体"/>
          <w:sz w:val="24"/>
          <w:szCs w:val="24"/>
        </w:rPr>
      </w:pPr>
      <w:r>
        <w:rPr>
          <w:rFonts w:ascii="宋体" w:hAnsi="宋体" w:cs="宋体"/>
          <w:sz w:val="24"/>
          <w:szCs w:val="24"/>
        </w:rPr>
        <w:t>2.8</w:t>
      </w:r>
      <w:r>
        <w:rPr>
          <w:rFonts w:hint="eastAsia" w:ascii="宋体" w:hAnsi="宋体" w:cs="宋体"/>
          <w:sz w:val="24"/>
          <w:szCs w:val="24"/>
        </w:rPr>
        <w:t>进行不定期的消杀，厕内基本无蚊蝇。</w:t>
      </w:r>
    </w:p>
    <w:p>
      <w:pPr>
        <w:snapToGrid w:val="0"/>
        <w:spacing w:line="360" w:lineRule="auto"/>
        <w:ind w:firstLine="480" w:firstLineChars="200"/>
        <w:jc w:val="left"/>
        <w:rPr>
          <w:rFonts w:ascii="宋体" w:cs="宋体"/>
          <w:sz w:val="24"/>
          <w:szCs w:val="24"/>
        </w:rPr>
      </w:pPr>
      <w:r>
        <w:rPr>
          <w:rFonts w:ascii="宋体" w:hAnsi="宋体" w:cs="宋体"/>
          <w:sz w:val="24"/>
          <w:szCs w:val="24"/>
        </w:rPr>
        <w:t>2.9</w:t>
      </w:r>
      <w:r>
        <w:rPr>
          <w:rFonts w:hint="eastAsia" w:ascii="宋体" w:hAnsi="宋体" w:cs="宋体"/>
          <w:sz w:val="24"/>
          <w:szCs w:val="24"/>
        </w:rPr>
        <w:t>发现厕内设施损毁、贮粪池粪便溢满应及时报告。</w:t>
      </w:r>
    </w:p>
    <w:p>
      <w:pPr>
        <w:snapToGrid w:val="0"/>
        <w:spacing w:line="360" w:lineRule="auto"/>
        <w:ind w:firstLine="480" w:firstLineChars="200"/>
        <w:jc w:val="left"/>
        <w:rPr>
          <w:rFonts w:ascii="宋体" w:cs="宋体"/>
          <w:sz w:val="24"/>
          <w:szCs w:val="24"/>
        </w:rPr>
      </w:pPr>
      <w:r>
        <w:rPr>
          <w:rFonts w:ascii="宋体" w:hAnsi="宋体" w:cs="宋体"/>
          <w:sz w:val="24"/>
          <w:szCs w:val="24"/>
        </w:rPr>
        <w:t>2.10</w:t>
      </w:r>
      <w:r>
        <w:rPr>
          <w:rFonts w:hint="eastAsia" w:ascii="宋体" w:hAnsi="宋体" w:cs="宋体"/>
          <w:sz w:val="24"/>
          <w:szCs w:val="24"/>
        </w:rPr>
        <w:t>公厕设置规范、齐全、整洁、免费说明、投诉电话于明显位置上墙。发现破损应及时维修更换。</w:t>
      </w:r>
    </w:p>
    <w:p>
      <w:pPr>
        <w:snapToGrid w:val="0"/>
        <w:spacing w:line="360" w:lineRule="auto"/>
        <w:ind w:firstLine="480" w:firstLineChars="200"/>
        <w:jc w:val="left"/>
        <w:rPr>
          <w:rFonts w:ascii="宋体" w:cs="宋体"/>
          <w:sz w:val="24"/>
          <w:szCs w:val="24"/>
        </w:rPr>
      </w:pPr>
      <w:r>
        <w:rPr>
          <w:rFonts w:ascii="宋体" w:hAnsi="宋体" w:cs="宋体"/>
          <w:sz w:val="24"/>
          <w:szCs w:val="24"/>
        </w:rPr>
        <w:t>2.11</w:t>
      </w:r>
      <w:r>
        <w:rPr>
          <w:rFonts w:hint="eastAsia" w:ascii="宋体" w:hAnsi="宋体" w:cs="宋体"/>
          <w:sz w:val="24"/>
          <w:szCs w:val="24"/>
        </w:rPr>
        <w:t>每个蹲位必须设置污纸桶，并做到每日清理。</w:t>
      </w:r>
    </w:p>
    <w:p>
      <w:pPr>
        <w:snapToGrid w:val="0"/>
        <w:spacing w:line="360" w:lineRule="auto"/>
        <w:ind w:firstLine="480" w:firstLineChars="200"/>
        <w:jc w:val="left"/>
        <w:rPr>
          <w:rFonts w:ascii="宋体" w:cs="宋体"/>
          <w:sz w:val="24"/>
          <w:szCs w:val="24"/>
        </w:rPr>
      </w:pPr>
      <w:r>
        <w:rPr>
          <w:rFonts w:ascii="宋体" w:hAnsi="宋体" w:cs="宋体"/>
          <w:sz w:val="24"/>
          <w:szCs w:val="24"/>
        </w:rPr>
        <w:t>2.12</w:t>
      </w:r>
      <w:r>
        <w:rPr>
          <w:rFonts w:hint="eastAsia" w:ascii="宋体" w:hAnsi="宋体" w:cs="宋体"/>
          <w:sz w:val="24"/>
          <w:szCs w:val="24"/>
        </w:rPr>
        <w:t>清洁用具应按《公厕每月必备工具清单》配备齐全。</w:t>
      </w:r>
    </w:p>
    <w:p>
      <w:pPr>
        <w:snapToGrid w:val="0"/>
        <w:spacing w:line="360" w:lineRule="auto"/>
        <w:ind w:firstLine="480" w:firstLineChars="200"/>
        <w:jc w:val="left"/>
        <w:rPr>
          <w:rFonts w:ascii="宋体" w:cs="宋体"/>
          <w:sz w:val="24"/>
          <w:szCs w:val="24"/>
        </w:rPr>
      </w:pPr>
      <w:r>
        <w:rPr>
          <w:rFonts w:ascii="宋体" w:hAnsi="宋体" w:cs="宋体"/>
          <w:sz w:val="24"/>
          <w:szCs w:val="24"/>
        </w:rPr>
        <w:t>2.13</w:t>
      </w:r>
      <w:r>
        <w:rPr>
          <w:rFonts w:hint="eastAsia" w:ascii="宋体" w:hAnsi="宋体" w:cs="宋体"/>
          <w:sz w:val="24"/>
          <w:szCs w:val="24"/>
        </w:rPr>
        <w:t>公厕周围无乱堆放、无“三乱”现象（乱扔、乱倒、乱吐）、无乱悬挂物，保持厕所容貌整齐。</w:t>
      </w:r>
    </w:p>
    <w:p>
      <w:pPr>
        <w:snapToGrid w:val="0"/>
        <w:spacing w:line="360" w:lineRule="auto"/>
        <w:ind w:firstLine="480" w:firstLineChars="200"/>
        <w:jc w:val="left"/>
        <w:rPr>
          <w:rFonts w:ascii="宋体" w:cs="宋体"/>
          <w:sz w:val="24"/>
          <w:szCs w:val="24"/>
        </w:rPr>
      </w:pPr>
      <w:r>
        <w:rPr>
          <w:rFonts w:ascii="宋体" w:hAnsi="宋体" w:cs="宋体"/>
          <w:sz w:val="24"/>
          <w:szCs w:val="24"/>
        </w:rPr>
        <w:t>2.14</w:t>
      </w:r>
      <w:r>
        <w:rPr>
          <w:rFonts w:hint="eastAsia" w:ascii="宋体" w:hAnsi="宋体" w:cs="宋体"/>
          <w:sz w:val="24"/>
          <w:szCs w:val="24"/>
        </w:rPr>
        <w:t>安全防火，禁止在公厕内洗衣服和使用电炉和高耗电电器、禁止从事违法乱纪活动。</w:t>
      </w:r>
    </w:p>
    <w:p>
      <w:pPr>
        <w:snapToGrid w:val="0"/>
        <w:spacing w:line="360" w:lineRule="auto"/>
        <w:ind w:firstLine="480" w:firstLineChars="200"/>
        <w:jc w:val="left"/>
        <w:rPr>
          <w:rFonts w:ascii="宋体" w:cs="宋体"/>
          <w:sz w:val="24"/>
          <w:szCs w:val="24"/>
        </w:rPr>
      </w:pPr>
      <w:r>
        <w:rPr>
          <w:rFonts w:ascii="宋体" w:hAnsi="宋体" w:cs="宋体"/>
          <w:sz w:val="24"/>
          <w:szCs w:val="24"/>
        </w:rPr>
        <w:t>2.15</w:t>
      </w:r>
      <w:r>
        <w:rPr>
          <w:rFonts w:hint="eastAsia" w:ascii="宋体" w:hAnsi="宋体" w:cs="宋体"/>
          <w:sz w:val="24"/>
          <w:szCs w:val="24"/>
        </w:rPr>
        <w:t>公厕周环境整洁，无污染、无污水溢流、无堵塞，进出粪口干净。</w:t>
      </w:r>
    </w:p>
    <w:p>
      <w:pPr>
        <w:snapToGrid w:val="0"/>
        <w:spacing w:line="360" w:lineRule="auto"/>
        <w:ind w:firstLine="480" w:firstLineChars="200"/>
        <w:jc w:val="left"/>
        <w:rPr>
          <w:rFonts w:ascii="宋体" w:cs="宋体"/>
          <w:sz w:val="24"/>
          <w:szCs w:val="24"/>
        </w:rPr>
      </w:pPr>
      <w:r>
        <w:rPr>
          <w:rFonts w:ascii="宋体" w:hAnsi="宋体" w:cs="宋体"/>
          <w:sz w:val="24"/>
          <w:szCs w:val="24"/>
        </w:rPr>
        <w:t>2.16</w:t>
      </w:r>
      <w:r>
        <w:rPr>
          <w:rFonts w:hint="eastAsia" w:ascii="宋体" w:hAnsi="宋体" w:cs="宋体"/>
          <w:sz w:val="24"/>
          <w:szCs w:val="24"/>
        </w:rPr>
        <w:t>爱护厕所周边绿化。</w:t>
      </w:r>
    </w:p>
    <w:p>
      <w:pPr>
        <w:snapToGrid w:val="0"/>
        <w:spacing w:line="360" w:lineRule="auto"/>
        <w:ind w:firstLine="480" w:firstLineChars="200"/>
        <w:jc w:val="left"/>
        <w:rPr>
          <w:rFonts w:ascii="宋体" w:cs="宋体"/>
          <w:sz w:val="24"/>
          <w:szCs w:val="24"/>
        </w:rPr>
      </w:pPr>
      <w:r>
        <w:rPr>
          <w:rFonts w:ascii="宋体" w:hAnsi="宋体" w:cs="宋体"/>
          <w:sz w:val="24"/>
          <w:szCs w:val="24"/>
        </w:rPr>
        <w:t>2.17</w:t>
      </w:r>
      <w:r>
        <w:rPr>
          <w:rFonts w:hint="eastAsia" w:ascii="宋体" w:hAnsi="宋体" w:cs="宋体"/>
          <w:sz w:val="24"/>
          <w:szCs w:val="24"/>
        </w:rPr>
        <w:t>承包期内，公厕所有附属设施、公厕管理房不得以任何理由挪作他用或租借他人。</w:t>
      </w:r>
    </w:p>
    <w:p>
      <w:pPr>
        <w:snapToGrid w:val="0"/>
        <w:spacing w:line="360" w:lineRule="auto"/>
        <w:ind w:firstLine="480" w:firstLineChars="200"/>
        <w:jc w:val="left"/>
        <w:rPr>
          <w:rFonts w:ascii="宋体" w:cs="宋体"/>
          <w:sz w:val="24"/>
          <w:szCs w:val="24"/>
        </w:rPr>
      </w:pPr>
      <w:r>
        <w:rPr>
          <w:rFonts w:ascii="宋体" w:hAnsi="宋体" w:cs="宋体"/>
          <w:sz w:val="24"/>
          <w:szCs w:val="24"/>
        </w:rPr>
        <w:t>2.18</w:t>
      </w:r>
      <w:r>
        <w:rPr>
          <w:rFonts w:hint="eastAsia" w:ascii="宋体" w:hAnsi="宋体" w:cs="宋体"/>
          <w:sz w:val="24"/>
          <w:szCs w:val="24"/>
        </w:rPr>
        <w:t>要做到男女分开保洁，文明操作。</w:t>
      </w:r>
    </w:p>
    <w:p>
      <w:pPr>
        <w:snapToGrid w:val="0"/>
        <w:spacing w:line="360" w:lineRule="auto"/>
        <w:ind w:firstLine="480" w:firstLineChars="200"/>
        <w:jc w:val="left"/>
        <w:rPr>
          <w:rFonts w:ascii="宋体" w:cs="宋体"/>
          <w:sz w:val="24"/>
          <w:szCs w:val="24"/>
        </w:rPr>
      </w:pPr>
      <w:r>
        <w:rPr>
          <w:rFonts w:ascii="宋体" w:hAnsi="宋体" w:cs="宋体"/>
          <w:sz w:val="24"/>
          <w:szCs w:val="24"/>
        </w:rPr>
        <w:t>2.19</w:t>
      </w:r>
      <w:r>
        <w:rPr>
          <w:rFonts w:hint="eastAsia" w:ascii="宋体" w:hAnsi="宋体" w:cs="宋体"/>
          <w:sz w:val="24"/>
          <w:szCs w:val="24"/>
        </w:rPr>
        <w:t>保持通讯畅通，负责第一时间处理在卫生间可能发生的突发事件。</w:t>
      </w:r>
    </w:p>
    <w:p>
      <w:pPr>
        <w:snapToGrid w:val="0"/>
        <w:spacing w:line="360" w:lineRule="auto"/>
        <w:ind w:firstLine="480" w:firstLineChars="200"/>
        <w:jc w:val="left"/>
        <w:rPr>
          <w:rFonts w:ascii="宋体" w:cs="宋体"/>
          <w:sz w:val="24"/>
          <w:szCs w:val="24"/>
        </w:rPr>
      </w:pPr>
      <w:r>
        <w:rPr>
          <w:rFonts w:ascii="宋体" w:hAnsi="宋体" w:cs="宋体"/>
          <w:sz w:val="24"/>
          <w:szCs w:val="24"/>
        </w:rPr>
        <w:t>2.20</w:t>
      </w:r>
      <w:r>
        <w:rPr>
          <w:rFonts w:hint="eastAsia" w:ascii="宋体" w:hAnsi="宋体" w:cs="宋体"/>
          <w:sz w:val="24"/>
          <w:szCs w:val="24"/>
        </w:rPr>
        <w:t>公厕保洁巡查时间：要求保洁员</w:t>
      </w:r>
      <w:r>
        <w:rPr>
          <w:rFonts w:ascii="宋体" w:hAnsi="宋体" w:cs="宋体"/>
          <w:sz w:val="24"/>
          <w:szCs w:val="24"/>
        </w:rPr>
        <w:t>40</w:t>
      </w:r>
      <w:r>
        <w:rPr>
          <w:rFonts w:hint="eastAsia" w:ascii="宋体" w:hAnsi="宋体" w:cs="宋体"/>
          <w:sz w:val="24"/>
          <w:szCs w:val="24"/>
        </w:rPr>
        <w:t>分钟巡查一遍。</w:t>
      </w:r>
    </w:p>
    <w:p>
      <w:pPr>
        <w:snapToGrid w:val="0"/>
        <w:spacing w:line="360" w:lineRule="auto"/>
        <w:ind w:firstLine="480" w:firstLineChars="200"/>
        <w:jc w:val="left"/>
        <w:rPr>
          <w:rFonts w:ascii="宋体" w:cs="宋体"/>
          <w:sz w:val="24"/>
          <w:szCs w:val="24"/>
        </w:rPr>
      </w:pPr>
      <w:r>
        <w:rPr>
          <w:rFonts w:ascii="宋体" w:hAnsi="宋体" w:cs="宋体"/>
          <w:sz w:val="24"/>
          <w:szCs w:val="24"/>
        </w:rPr>
        <w:t xml:space="preserve">2.21 </w:t>
      </w:r>
      <w:r>
        <w:rPr>
          <w:rFonts w:hint="eastAsia" w:ascii="宋体" w:hAnsi="宋体" w:cs="宋体"/>
          <w:sz w:val="24"/>
          <w:szCs w:val="24"/>
        </w:rPr>
        <w:t>该项目所需日常养护保洁用具、耗材</w:t>
      </w:r>
      <w:r>
        <w:rPr>
          <w:rFonts w:hint="eastAsia" w:ascii="宋体" w:hAnsi="宋体" w:cs="宋体"/>
          <w:sz w:val="24"/>
          <w:szCs w:val="24"/>
          <w:lang w:eastAsia="zh-CN"/>
        </w:rPr>
        <w:t>（如拖把、刷子、草酸、蚊香）</w:t>
      </w:r>
      <w:r>
        <w:rPr>
          <w:rFonts w:hint="eastAsia" w:ascii="宋体" w:hAnsi="宋体" w:cs="宋体"/>
          <w:sz w:val="24"/>
          <w:szCs w:val="24"/>
        </w:rPr>
        <w:t>等均</w:t>
      </w:r>
      <w:r>
        <w:rPr>
          <w:rFonts w:hint="eastAsia" w:ascii="宋体" w:hAnsi="宋体" w:cs="宋体"/>
          <w:sz w:val="24"/>
          <w:szCs w:val="24"/>
          <w:lang w:eastAsia="zh-CN"/>
        </w:rPr>
        <w:t>由</w:t>
      </w:r>
      <w:r>
        <w:rPr>
          <w:rFonts w:hint="eastAsia" w:ascii="宋体" w:hAnsi="宋体" w:cs="宋体"/>
          <w:sz w:val="24"/>
          <w:szCs w:val="24"/>
        </w:rPr>
        <w:t>中标人承担。</w:t>
      </w:r>
    </w:p>
    <w:p>
      <w:pPr>
        <w:spacing w:line="560" w:lineRule="exact"/>
        <w:ind w:firstLine="482" w:firstLineChars="200"/>
        <w:rPr>
          <w:rFonts w:ascii="宋体" w:cs="宋体"/>
          <w:b/>
          <w:bCs/>
          <w:sz w:val="24"/>
          <w:szCs w:val="24"/>
        </w:rPr>
      </w:pPr>
      <w:r>
        <w:rPr>
          <w:rFonts w:ascii="宋体" w:hAnsi="宋体" w:cs="宋体"/>
          <w:b/>
          <w:bCs/>
          <w:sz w:val="24"/>
          <w:szCs w:val="24"/>
        </w:rPr>
        <w:t>3</w:t>
      </w:r>
      <w:r>
        <w:rPr>
          <w:rFonts w:hint="eastAsia" w:ascii="宋体" w:hAnsi="宋体" w:cs="宋体"/>
          <w:b/>
          <w:bCs/>
          <w:sz w:val="24"/>
          <w:szCs w:val="24"/>
        </w:rPr>
        <w:t>、生产管理内容及要求</w:t>
      </w:r>
    </w:p>
    <w:p>
      <w:pPr>
        <w:snapToGrid w:val="0"/>
        <w:spacing w:line="360" w:lineRule="auto"/>
        <w:ind w:firstLine="480" w:firstLineChars="200"/>
        <w:jc w:val="left"/>
        <w:rPr>
          <w:rFonts w:ascii="宋体" w:cs="宋体"/>
          <w:sz w:val="24"/>
          <w:szCs w:val="24"/>
        </w:rPr>
      </w:pPr>
      <w:r>
        <w:rPr>
          <w:rFonts w:ascii="宋体" w:hAnsi="宋体" w:cs="宋体"/>
          <w:sz w:val="24"/>
          <w:szCs w:val="24"/>
        </w:rPr>
        <w:t>3.1</w:t>
      </w:r>
      <w:r>
        <w:rPr>
          <w:rFonts w:hint="eastAsia" w:ascii="宋体" w:hAnsi="宋体" w:cs="宋体"/>
          <w:sz w:val="24"/>
          <w:szCs w:val="24"/>
        </w:rPr>
        <w:t>修剪整形：修剪：对乔木、花灌木、绿篱色块、草坪地被等所辖绿地内的植物及时整形、修剪、抹芽、去蘖，及时清理残枝、枯枝、病虫枝等影响植物美观的枝条；及时刨除死树、杂树。整形：整形根据植物不同的生长季节，适时进行整形；规则式整形植物修剪保持</w:t>
      </w:r>
      <w:r>
        <w:rPr>
          <w:rFonts w:ascii="宋体" w:hAnsi="宋体" w:cs="宋体"/>
          <w:sz w:val="24"/>
          <w:szCs w:val="24"/>
        </w:rPr>
        <w:t>3</w:t>
      </w:r>
      <w:r>
        <w:rPr>
          <w:rFonts w:hint="eastAsia" w:ascii="宋体" w:hAnsi="宋体" w:cs="宋体"/>
          <w:sz w:val="24"/>
          <w:szCs w:val="24"/>
        </w:rPr>
        <w:t>面以上基本平整，新出枝条不高于</w:t>
      </w:r>
      <w:r>
        <w:rPr>
          <w:rFonts w:ascii="宋体" w:hAnsi="宋体" w:cs="宋体"/>
          <w:sz w:val="24"/>
          <w:szCs w:val="24"/>
        </w:rPr>
        <w:t>15</w:t>
      </w:r>
      <w:r>
        <w:rPr>
          <w:rFonts w:hint="eastAsia" w:ascii="宋体" w:hAnsi="宋体" w:cs="宋体"/>
          <w:sz w:val="24"/>
          <w:szCs w:val="24"/>
        </w:rPr>
        <w:t>厘米，每年修剪应不少于</w:t>
      </w:r>
      <w:r>
        <w:rPr>
          <w:rFonts w:ascii="宋体" w:hAnsi="宋体" w:cs="宋体"/>
          <w:sz w:val="24"/>
          <w:szCs w:val="24"/>
        </w:rPr>
        <w:t>10</w:t>
      </w:r>
      <w:r>
        <w:rPr>
          <w:rFonts w:hint="eastAsia" w:ascii="宋体" w:hAnsi="宋体" w:cs="宋体"/>
          <w:sz w:val="24"/>
          <w:szCs w:val="24"/>
        </w:rPr>
        <w:t>次；造型植物每年修剪应不少于</w:t>
      </w:r>
      <w:r>
        <w:rPr>
          <w:rFonts w:ascii="宋体" w:hAnsi="宋体" w:cs="宋体"/>
          <w:sz w:val="24"/>
          <w:szCs w:val="24"/>
        </w:rPr>
        <w:t>10</w:t>
      </w:r>
      <w:r>
        <w:rPr>
          <w:rFonts w:hint="eastAsia" w:ascii="宋体" w:hAnsi="宋体" w:cs="宋体"/>
          <w:sz w:val="24"/>
          <w:szCs w:val="24"/>
        </w:rPr>
        <w:t>次。</w:t>
      </w:r>
    </w:p>
    <w:p>
      <w:pPr>
        <w:snapToGrid w:val="0"/>
        <w:spacing w:line="360" w:lineRule="auto"/>
        <w:ind w:firstLine="480" w:firstLineChars="200"/>
        <w:jc w:val="left"/>
        <w:rPr>
          <w:rFonts w:ascii="宋体" w:cs="宋体"/>
          <w:sz w:val="24"/>
          <w:szCs w:val="24"/>
        </w:rPr>
      </w:pPr>
      <w:r>
        <w:rPr>
          <w:rFonts w:ascii="宋体" w:hAnsi="宋体" w:cs="宋体"/>
          <w:sz w:val="24"/>
          <w:szCs w:val="24"/>
        </w:rPr>
        <w:t>3.2</w:t>
      </w:r>
      <w:r>
        <w:rPr>
          <w:rFonts w:hint="eastAsia" w:ascii="宋体" w:hAnsi="宋体" w:cs="宋体"/>
          <w:sz w:val="24"/>
          <w:szCs w:val="24"/>
        </w:rPr>
        <w:t>补植补栽：保证原栽植植物品种、数量、模式不变，无缺株断档、黄土裸露。关于苗木缺株，因中标人管理不当或看管不力造成的苗木缺株，应自行负责购买并栽植。绿地接收时，双方对现有苗木共同进行移交统计，认定的苗木缺株由采购人负责提供，中标人负责栽植。</w:t>
      </w:r>
    </w:p>
    <w:p>
      <w:pPr>
        <w:snapToGrid w:val="0"/>
        <w:spacing w:line="360" w:lineRule="auto"/>
        <w:ind w:firstLine="480" w:firstLineChars="200"/>
        <w:jc w:val="left"/>
        <w:rPr>
          <w:rFonts w:ascii="宋体" w:cs="宋体"/>
          <w:sz w:val="24"/>
          <w:szCs w:val="24"/>
        </w:rPr>
      </w:pPr>
      <w:r>
        <w:rPr>
          <w:rFonts w:ascii="宋体" w:hAnsi="宋体" w:cs="宋体"/>
          <w:sz w:val="24"/>
          <w:szCs w:val="24"/>
        </w:rPr>
        <w:t xml:space="preserve">3.3 </w:t>
      </w:r>
      <w:r>
        <w:rPr>
          <w:rFonts w:hint="eastAsia" w:ascii="宋体" w:hAnsi="宋体" w:cs="宋体"/>
          <w:sz w:val="24"/>
          <w:szCs w:val="24"/>
        </w:rPr>
        <w:t>草坪打孔：每年</w:t>
      </w:r>
      <w:r>
        <w:rPr>
          <w:rFonts w:ascii="宋体" w:hAnsi="宋体" w:cs="宋体"/>
          <w:sz w:val="24"/>
          <w:szCs w:val="24"/>
        </w:rPr>
        <w:t>2</w:t>
      </w:r>
      <w:r>
        <w:rPr>
          <w:rFonts w:hint="eastAsia" w:ascii="宋体" w:hAnsi="宋体" w:cs="宋体"/>
          <w:sz w:val="24"/>
          <w:szCs w:val="24"/>
        </w:rPr>
        <w:t>月底至</w:t>
      </w:r>
      <w:r>
        <w:rPr>
          <w:rFonts w:ascii="宋体" w:hAnsi="宋体" w:cs="宋体"/>
          <w:sz w:val="24"/>
          <w:szCs w:val="24"/>
        </w:rPr>
        <w:t>3</w:t>
      </w:r>
      <w:r>
        <w:rPr>
          <w:rFonts w:hint="eastAsia" w:ascii="宋体" w:hAnsi="宋体" w:cs="宋体"/>
          <w:sz w:val="24"/>
          <w:szCs w:val="24"/>
        </w:rPr>
        <w:t>月中旬，对草坪进行打孔（复壮），防治草坪退化，要求打孔深度</w:t>
      </w:r>
      <w:r>
        <w:rPr>
          <w:rFonts w:ascii="宋体" w:hAnsi="宋体" w:cs="宋体"/>
          <w:sz w:val="24"/>
          <w:szCs w:val="24"/>
        </w:rPr>
        <w:t>5-10</w:t>
      </w:r>
      <w:r>
        <w:rPr>
          <w:rFonts w:hint="eastAsia" w:ascii="宋体" w:hAnsi="宋体" w:cs="宋体"/>
          <w:sz w:val="24"/>
          <w:szCs w:val="24"/>
        </w:rPr>
        <w:t>㎡、孔径</w:t>
      </w:r>
      <w:r>
        <w:rPr>
          <w:rFonts w:ascii="宋体" w:hAnsi="宋体" w:cs="宋体"/>
          <w:sz w:val="24"/>
          <w:szCs w:val="24"/>
        </w:rPr>
        <w:t>8-15</w:t>
      </w:r>
      <w:r>
        <w:rPr>
          <w:rFonts w:hint="eastAsia" w:ascii="宋体" w:hAnsi="宋体" w:cs="宋体"/>
          <w:sz w:val="24"/>
          <w:szCs w:val="24"/>
        </w:rPr>
        <w:t>㎡、密度</w:t>
      </w:r>
      <w:r>
        <w:rPr>
          <w:rFonts w:ascii="宋体" w:hAnsi="宋体" w:cs="宋体"/>
          <w:sz w:val="24"/>
          <w:szCs w:val="24"/>
        </w:rPr>
        <w:t>36</w:t>
      </w:r>
      <w:r>
        <w:rPr>
          <w:rFonts w:hint="eastAsia" w:ascii="宋体" w:hAnsi="宋体" w:cs="宋体"/>
          <w:sz w:val="24"/>
          <w:szCs w:val="24"/>
        </w:rPr>
        <w:t>孔</w:t>
      </w:r>
      <w:r>
        <w:rPr>
          <w:rFonts w:ascii="宋体" w:hAnsi="宋体" w:cs="宋体"/>
          <w:sz w:val="24"/>
          <w:szCs w:val="24"/>
        </w:rPr>
        <w:t>/</w:t>
      </w:r>
      <w:r>
        <w:rPr>
          <w:rFonts w:hint="eastAsia" w:ascii="宋体" w:hAnsi="宋体" w:cs="宋体"/>
          <w:sz w:val="24"/>
          <w:szCs w:val="24"/>
        </w:rPr>
        <w:t>㎡，打孔后，要求用沙子和营养土表施填满空洞，及时施肥和浇水，利于草坪生长和及时返青。</w:t>
      </w:r>
    </w:p>
    <w:p>
      <w:pPr>
        <w:snapToGrid w:val="0"/>
        <w:spacing w:line="360" w:lineRule="auto"/>
        <w:ind w:firstLine="480" w:firstLineChars="200"/>
        <w:jc w:val="left"/>
        <w:rPr>
          <w:rFonts w:ascii="宋体" w:cs="宋体"/>
          <w:sz w:val="24"/>
          <w:szCs w:val="24"/>
        </w:rPr>
      </w:pPr>
      <w:r>
        <w:rPr>
          <w:rFonts w:ascii="宋体" w:hAnsi="宋体" w:cs="宋体"/>
          <w:sz w:val="24"/>
          <w:szCs w:val="24"/>
        </w:rPr>
        <w:t>3.4</w:t>
      </w:r>
      <w:r>
        <w:rPr>
          <w:rFonts w:hint="eastAsia" w:ascii="宋体" w:hAnsi="宋体" w:cs="宋体"/>
          <w:sz w:val="24"/>
          <w:szCs w:val="24"/>
        </w:rPr>
        <w:t>苗木浇水：全年不少于</w:t>
      </w:r>
      <w:r>
        <w:rPr>
          <w:rFonts w:ascii="宋体" w:hAnsi="宋体" w:cs="宋体"/>
          <w:sz w:val="24"/>
          <w:szCs w:val="24"/>
        </w:rPr>
        <w:t>20</w:t>
      </w:r>
      <w:r>
        <w:rPr>
          <w:rFonts w:hint="eastAsia" w:ascii="宋体" w:hAnsi="宋体" w:cs="宋体"/>
          <w:sz w:val="24"/>
          <w:szCs w:val="24"/>
        </w:rPr>
        <w:t>次，及时浇返青水、防冻水等。根据生长季节、天气情况、植被种类、环保要求适时安排，冲洗和浇水深度适宜，无旱涝现象，苗木不因缺水出现萎蔫、干旱现象。</w:t>
      </w:r>
    </w:p>
    <w:p>
      <w:pPr>
        <w:snapToGrid w:val="0"/>
        <w:spacing w:line="360" w:lineRule="auto"/>
        <w:ind w:firstLine="480" w:firstLineChars="200"/>
        <w:jc w:val="left"/>
        <w:rPr>
          <w:rFonts w:ascii="宋体" w:cs="宋体"/>
          <w:sz w:val="24"/>
          <w:szCs w:val="24"/>
        </w:rPr>
      </w:pPr>
      <w:r>
        <w:rPr>
          <w:rFonts w:ascii="宋体" w:hAnsi="宋体" w:cs="宋体"/>
          <w:sz w:val="24"/>
          <w:szCs w:val="24"/>
        </w:rPr>
        <w:t>3.5</w:t>
      </w:r>
      <w:r>
        <w:rPr>
          <w:rFonts w:hint="eastAsia" w:ascii="宋体" w:hAnsi="宋体" w:cs="宋体"/>
          <w:sz w:val="24"/>
          <w:szCs w:val="24"/>
        </w:rPr>
        <w:t>苗木冲洗：植株应及时冲洗、无积尘。</w:t>
      </w:r>
    </w:p>
    <w:p>
      <w:pPr>
        <w:snapToGrid w:val="0"/>
        <w:spacing w:line="360" w:lineRule="auto"/>
        <w:ind w:firstLine="480" w:firstLineChars="200"/>
        <w:jc w:val="left"/>
        <w:rPr>
          <w:rFonts w:ascii="宋体" w:cs="宋体"/>
          <w:sz w:val="24"/>
          <w:szCs w:val="24"/>
        </w:rPr>
      </w:pPr>
      <w:r>
        <w:rPr>
          <w:rFonts w:ascii="宋体" w:hAnsi="宋体" w:cs="宋体"/>
          <w:sz w:val="24"/>
          <w:szCs w:val="24"/>
        </w:rPr>
        <w:t>3.6</w:t>
      </w:r>
      <w:r>
        <w:rPr>
          <w:rFonts w:hint="eastAsia" w:ascii="宋体" w:hAnsi="宋体" w:cs="宋体"/>
          <w:sz w:val="24"/>
          <w:szCs w:val="24"/>
        </w:rPr>
        <w:t>松土除草：松土保墒及时，每年不少于</w:t>
      </w:r>
      <w:r>
        <w:rPr>
          <w:rFonts w:ascii="宋体" w:hAnsi="宋体" w:cs="宋体"/>
          <w:sz w:val="24"/>
          <w:szCs w:val="24"/>
        </w:rPr>
        <w:t>8</w:t>
      </w:r>
      <w:r>
        <w:rPr>
          <w:rFonts w:hint="eastAsia" w:ascii="宋体" w:hAnsi="宋体" w:cs="宋体"/>
          <w:sz w:val="24"/>
          <w:szCs w:val="24"/>
        </w:rPr>
        <w:t>次。保持土壤疏松，无杂草滋生现象。乔木、花灌木树穴内松土除草，灌木丛、绿篱、色块内无杂草滋生现象，地被内松土除草。</w:t>
      </w:r>
    </w:p>
    <w:p>
      <w:pPr>
        <w:snapToGrid w:val="0"/>
        <w:spacing w:line="360" w:lineRule="auto"/>
        <w:ind w:firstLine="480" w:firstLineChars="200"/>
        <w:jc w:val="left"/>
        <w:rPr>
          <w:rFonts w:ascii="宋体" w:cs="宋体"/>
          <w:sz w:val="24"/>
          <w:szCs w:val="24"/>
        </w:rPr>
      </w:pPr>
      <w:r>
        <w:rPr>
          <w:rFonts w:ascii="宋体" w:hAnsi="宋体" w:cs="宋体"/>
          <w:sz w:val="24"/>
          <w:szCs w:val="24"/>
        </w:rPr>
        <w:t>3.7</w:t>
      </w:r>
      <w:r>
        <w:rPr>
          <w:rFonts w:hint="eastAsia" w:ascii="宋体" w:hAnsi="宋体" w:cs="宋体"/>
          <w:sz w:val="24"/>
          <w:szCs w:val="24"/>
        </w:rPr>
        <w:t>病虫害防治：病虫害防治及时，所管辖绿地内无病虫害发生。植株无明显病害危害；树木无蛀干害虫活虫、虫卵；植株叶片无虫粪、虫网；植株无“滴油现象”（受刺吸式害虫危害）。病虫害防治详表见附件</w:t>
      </w:r>
      <w:r>
        <w:rPr>
          <w:rFonts w:ascii="宋体" w:hAnsi="宋体" w:cs="宋体"/>
          <w:sz w:val="24"/>
          <w:szCs w:val="24"/>
        </w:rPr>
        <w:t>3</w:t>
      </w:r>
      <w:r>
        <w:rPr>
          <w:rFonts w:hint="eastAsia" w:ascii="宋体" w:hAnsi="宋体" w:cs="宋体"/>
          <w:sz w:val="24"/>
          <w:szCs w:val="24"/>
        </w:rPr>
        <w:t>，防治次数一年不得少于</w:t>
      </w:r>
      <w:r>
        <w:rPr>
          <w:rFonts w:ascii="宋体" w:hAnsi="宋体" w:cs="宋体"/>
          <w:sz w:val="24"/>
          <w:szCs w:val="24"/>
        </w:rPr>
        <w:t>22</w:t>
      </w:r>
      <w:r>
        <w:rPr>
          <w:rFonts w:hint="eastAsia" w:ascii="宋体" w:hAnsi="宋体" w:cs="宋体"/>
          <w:sz w:val="24"/>
          <w:szCs w:val="24"/>
        </w:rPr>
        <w:t>次，其中采用生物防治至少</w:t>
      </w:r>
      <w:r>
        <w:rPr>
          <w:rFonts w:ascii="宋体" w:hAnsi="宋体" w:cs="宋体"/>
          <w:sz w:val="24"/>
          <w:szCs w:val="24"/>
        </w:rPr>
        <w:t>1</w:t>
      </w:r>
      <w:r>
        <w:rPr>
          <w:rFonts w:hint="eastAsia" w:ascii="宋体" w:hAnsi="宋体" w:cs="宋体"/>
          <w:sz w:val="24"/>
          <w:szCs w:val="24"/>
        </w:rPr>
        <w:t>次。</w:t>
      </w:r>
    </w:p>
    <w:p>
      <w:pPr>
        <w:snapToGrid w:val="0"/>
        <w:spacing w:line="360" w:lineRule="auto"/>
        <w:ind w:firstLine="480" w:firstLineChars="200"/>
        <w:jc w:val="left"/>
        <w:rPr>
          <w:rFonts w:ascii="宋体" w:cs="宋体"/>
          <w:sz w:val="24"/>
          <w:szCs w:val="24"/>
        </w:rPr>
      </w:pPr>
      <w:r>
        <w:rPr>
          <w:rFonts w:ascii="宋体" w:hAnsi="宋体" w:cs="宋体"/>
          <w:sz w:val="24"/>
          <w:szCs w:val="24"/>
        </w:rPr>
        <w:t>3.8</w:t>
      </w:r>
      <w:r>
        <w:rPr>
          <w:rFonts w:hint="eastAsia" w:ascii="宋体" w:hAnsi="宋体" w:cs="宋体"/>
          <w:sz w:val="24"/>
          <w:szCs w:val="24"/>
        </w:rPr>
        <w:t>施肥：补充营养，保证植株生长健壮。根据植物的生长特性和月养护计划进行施肥。乔木、灌木每年施肥次数不少于</w:t>
      </w:r>
      <w:r>
        <w:rPr>
          <w:rFonts w:ascii="宋体" w:hAnsi="宋体" w:cs="宋体"/>
          <w:sz w:val="24"/>
          <w:szCs w:val="24"/>
        </w:rPr>
        <w:t>3</w:t>
      </w:r>
      <w:r>
        <w:rPr>
          <w:rFonts w:hint="eastAsia" w:ascii="宋体" w:hAnsi="宋体" w:cs="宋体"/>
          <w:sz w:val="24"/>
          <w:szCs w:val="24"/>
        </w:rPr>
        <w:t>次；整形植物每年施肥不少于</w:t>
      </w:r>
      <w:r>
        <w:rPr>
          <w:rFonts w:ascii="宋体" w:hAnsi="宋体" w:cs="宋体"/>
          <w:sz w:val="24"/>
          <w:szCs w:val="24"/>
        </w:rPr>
        <w:t>3</w:t>
      </w:r>
      <w:r>
        <w:rPr>
          <w:rFonts w:hint="eastAsia" w:ascii="宋体" w:hAnsi="宋体" w:cs="宋体"/>
          <w:sz w:val="24"/>
          <w:szCs w:val="24"/>
        </w:rPr>
        <w:t>次，其中有机肥不少于</w:t>
      </w:r>
      <w:r>
        <w:rPr>
          <w:rFonts w:ascii="宋体" w:hAnsi="宋体" w:cs="宋体"/>
          <w:sz w:val="24"/>
          <w:szCs w:val="24"/>
        </w:rPr>
        <w:t>2</w:t>
      </w:r>
      <w:r>
        <w:rPr>
          <w:rFonts w:hint="eastAsia" w:ascii="宋体" w:hAnsi="宋体" w:cs="宋体"/>
          <w:sz w:val="24"/>
          <w:szCs w:val="24"/>
        </w:rPr>
        <w:t>次；竹类植物每年施肥不少于</w:t>
      </w:r>
      <w:r>
        <w:rPr>
          <w:rFonts w:ascii="宋体" w:hAnsi="宋体" w:cs="宋体"/>
          <w:sz w:val="24"/>
          <w:szCs w:val="24"/>
        </w:rPr>
        <w:t>1</w:t>
      </w:r>
      <w:r>
        <w:rPr>
          <w:rFonts w:hint="eastAsia" w:ascii="宋体" w:hAnsi="宋体" w:cs="宋体"/>
          <w:sz w:val="24"/>
          <w:szCs w:val="24"/>
        </w:rPr>
        <w:t>次，有机肥为主；藤本植物每年施肥不少于</w:t>
      </w:r>
      <w:r>
        <w:rPr>
          <w:rFonts w:ascii="宋体" w:hAnsi="宋体" w:cs="宋体"/>
          <w:sz w:val="24"/>
          <w:szCs w:val="24"/>
        </w:rPr>
        <w:t>3</w:t>
      </w:r>
      <w:r>
        <w:rPr>
          <w:rFonts w:hint="eastAsia" w:ascii="宋体" w:hAnsi="宋体" w:cs="宋体"/>
          <w:sz w:val="24"/>
          <w:szCs w:val="24"/>
        </w:rPr>
        <w:t>次；暖季型草坪、地被每年施肥不少于</w:t>
      </w:r>
      <w:r>
        <w:rPr>
          <w:rFonts w:ascii="宋体" w:hAnsi="宋体" w:cs="宋体"/>
          <w:sz w:val="24"/>
          <w:szCs w:val="24"/>
        </w:rPr>
        <w:t>3</w:t>
      </w:r>
      <w:r>
        <w:rPr>
          <w:rFonts w:hint="eastAsia" w:ascii="宋体" w:hAnsi="宋体" w:cs="宋体"/>
          <w:sz w:val="24"/>
          <w:szCs w:val="24"/>
        </w:rPr>
        <w:t>次，冷季型草坪不少于</w:t>
      </w:r>
      <w:r>
        <w:rPr>
          <w:rFonts w:ascii="宋体" w:hAnsi="宋体" w:cs="宋体"/>
          <w:sz w:val="24"/>
          <w:szCs w:val="24"/>
        </w:rPr>
        <w:t>6</w:t>
      </w:r>
      <w:r>
        <w:rPr>
          <w:rFonts w:hint="eastAsia" w:ascii="宋体" w:hAnsi="宋体" w:cs="宋体"/>
          <w:sz w:val="24"/>
          <w:szCs w:val="24"/>
        </w:rPr>
        <w:t>次；一、二年生草花不少于</w:t>
      </w:r>
      <w:r>
        <w:rPr>
          <w:rFonts w:ascii="宋体" w:hAnsi="宋体" w:cs="宋体"/>
          <w:sz w:val="24"/>
          <w:szCs w:val="24"/>
        </w:rPr>
        <w:t>8</w:t>
      </w:r>
      <w:r>
        <w:rPr>
          <w:rFonts w:hint="eastAsia" w:ascii="宋体" w:hAnsi="宋体" w:cs="宋体"/>
          <w:sz w:val="24"/>
          <w:szCs w:val="24"/>
        </w:rPr>
        <w:t>次，其中有机肥不少于</w:t>
      </w:r>
      <w:r>
        <w:rPr>
          <w:rFonts w:ascii="宋体" w:hAnsi="宋体" w:cs="宋体"/>
          <w:sz w:val="24"/>
          <w:szCs w:val="24"/>
        </w:rPr>
        <w:t>1</w:t>
      </w:r>
      <w:r>
        <w:rPr>
          <w:rFonts w:hint="eastAsia" w:ascii="宋体" w:hAnsi="宋体" w:cs="宋体"/>
          <w:sz w:val="24"/>
          <w:szCs w:val="24"/>
        </w:rPr>
        <w:t>次。施肥种类适宜，方法合理，无缺肥、无漏肥、无肥害。</w:t>
      </w:r>
    </w:p>
    <w:p>
      <w:pPr>
        <w:snapToGrid w:val="0"/>
        <w:spacing w:line="360" w:lineRule="auto"/>
        <w:ind w:firstLine="480" w:firstLineChars="200"/>
        <w:jc w:val="left"/>
        <w:rPr>
          <w:rFonts w:ascii="宋体" w:cs="宋体"/>
          <w:sz w:val="24"/>
          <w:szCs w:val="24"/>
        </w:rPr>
      </w:pPr>
      <w:r>
        <w:rPr>
          <w:rFonts w:ascii="宋体" w:hAnsi="宋体" w:cs="宋体"/>
          <w:sz w:val="24"/>
          <w:szCs w:val="24"/>
        </w:rPr>
        <w:t xml:space="preserve">3.9 </w:t>
      </w:r>
      <w:r>
        <w:rPr>
          <w:rFonts w:hint="eastAsia" w:ascii="宋体" w:hAnsi="宋体" w:cs="宋体"/>
          <w:sz w:val="24"/>
          <w:szCs w:val="24"/>
        </w:rPr>
        <w:t>涂白：初冬或早春树木涂白至少</w:t>
      </w:r>
      <w:r>
        <w:rPr>
          <w:rFonts w:ascii="宋体" w:hAnsi="宋体" w:cs="宋体"/>
          <w:sz w:val="24"/>
          <w:szCs w:val="24"/>
        </w:rPr>
        <w:t>1</w:t>
      </w:r>
      <w:r>
        <w:rPr>
          <w:rFonts w:hint="eastAsia" w:ascii="宋体" w:hAnsi="宋体" w:cs="宋体"/>
          <w:sz w:val="24"/>
          <w:szCs w:val="24"/>
        </w:rPr>
        <w:t>次。减少日灼危害和防治病虫害的作用。</w:t>
      </w:r>
    </w:p>
    <w:p>
      <w:pPr>
        <w:snapToGrid w:val="0"/>
        <w:spacing w:line="360" w:lineRule="auto"/>
        <w:ind w:firstLine="480" w:firstLineChars="200"/>
        <w:jc w:val="left"/>
        <w:rPr>
          <w:rFonts w:ascii="宋体" w:cs="宋体"/>
          <w:sz w:val="24"/>
          <w:szCs w:val="24"/>
        </w:rPr>
      </w:pPr>
      <w:r>
        <w:rPr>
          <w:rFonts w:ascii="宋体" w:hAnsi="宋体" w:cs="宋体"/>
          <w:sz w:val="24"/>
          <w:szCs w:val="24"/>
        </w:rPr>
        <w:t>3.10</w:t>
      </w:r>
      <w:r>
        <w:rPr>
          <w:rFonts w:hint="eastAsia" w:ascii="宋体" w:hAnsi="宋体" w:cs="宋体"/>
          <w:sz w:val="24"/>
          <w:szCs w:val="24"/>
        </w:rPr>
        <w:t>绿地看护：对管辖绿地进行不间断巡查</w:t>
      </w:r>
      <w:r>
        <w:rPr>
          <w:rFonts w:ascii="宋体" w:cs="宋体"/>
          <w:sz w:val="24"/>
          <w:szCs w:val="24"/>
        </w:rPr>
        <w:t>,</w:t>
      </w:r>
      <w:r>
        <w:rPr>
          <w:rFonts w:hint="eastAsia" w:ascii="宋体" w:hAnsi="宋体" w:cs="宋体"/>
          <w:sz w:val="24"/>
          <w:szCs w:val="24"/>
        </w:rPr>
        <w:t>发现侵绿毁绿现象，应立即制止并上报；合同期内苗木缺失、损毁，公共设施被毁坏，中标人需及时上报，在原有绿地不流失的情况下对原栽植植物进行补栽，由此所产生费用由中标人承担。</w:t>
      </w:r>
    </w:p>
    <w:p>
      <w:pPr>
        <w:snapToGrid w:val="0"/>
        <w:spacing w:line="360" w:lineRule="auto"/>
        <w:ind w:firstLine="480" w:firstLineChars="200"/>
        <w:jc w:val="left"/>
        <w:rPr>
          <w:rFonts w:ascii="宋体" w:cs="宋体"/>
          <w:sz w:val="24"/>
          <w:szCs w:val="24"/>
        </w:rPr>
      </w:pPr>
      <w:r>
        <w:rPr>
          <w:rFonts w:ascii="宋体" w:hAnsi="宋体" w:cs="宋体"/>
          <w:sz w:val="24"/>
          <w:szCs w:val="24"/>
        </w:rPr>
        <w:t>3.11</w:t>
      </w:r>
      <w:r>
        <w:rPr>
          <w:rFonts w:hint="eastAsia" w:ascii="宋体" w:hAnsi="宋体" w:cs="宋体"/>
          <w:sz w:val="24"/>
          <w:szCs w:val="24"/>
        </w:rPr>
        <w:t>生产计划及总结：服务期内中标人须按如下要求向采购人申报生产计划及总结：年初制定年度整体生产计划、每月初制定月度生产计划，生产计划须经采购人认可后方可实施；每半年汇报该期生产情况总结。</w:t>
      </w:r>
    </w:p>
    <w:p>
      <w:pPr>
        <w:snapToGrid w:val="0"/>
        <w:spacing w:line="360" w:lineRule="auto"/>
        <w:ind w:firstLine="480" w:firstLineChars="200"/>
        <w:jc w:val="left"/>
        <w:rPr>
          <w:rFonts w:ascii="宋体" w:cs="宋体"/>
          <w:sz w:val="24"/>
          <w:szCs w:val="24"/>
        </w:rPr>
      </w:pPr>
      <w:r>
        <w:rPr>
          <w:rFonts w:ascii="宋体" w:hAnsi="宋体" w:cs="宋体"/>
          <w:sz w:val="24"/>
          <w:szCs w:val="24"/>
        </w:rPr>
        <w:t>3.12</w:t>
      </w:r>
      <w:r>
        <w:rPr>
          <w:rFonts w:hint="eastAsia" w:ascii="宋体" w:hAnsi="宋体" w:cs="宋体"/>
          <w:sz w:val="24"/>
          <w:szCs w:val="24"/>
        </w:rPr>
        <w:t>生产技术管理总体要求：按对应城市绿地的等级标准执行；所辖绿地如遇调整、改造，按上级要求执行。</w:t>
      </w:r>
    </w:p>
    <w:p>
      <w:pPr>
        <w:snapToGrid w:val="0"/>
        <w:spacing w:line="360" w:lineRule="auto"/>
        <w:ind w:firstLine="480" w:firstLineChars="200"/>
        <w:jc w:val="left"/>
        <w:rPr>
          <w:rFonts w:ascii="宋体" w:cs="宋体"/>
          <w:sz w:val="24"/>
          <w:szCs w:val="24"/>
        </w:rPr>
      </w:pPr>
      <w:r>
        <w:rPr>
          <w:rFonts w:ascii="宋体" w:hAnsi="宋体" w:cs="宋体"/>
          <w:sz w:val="24"/>
          <w:szCs w:val="24"/>
        </w:rPr>
        <w:t xml:space="preserve">3.13 </w:t>
      </w:r>
      <w:r>
        <w:rPr>
          <w:rFonts w:hint="eastAsia" w:ascii="宋体" w:hAnsi="宋体" w:cs="宋体"/>
          <w:sz w:val="24"/>
          <w:szCs w:val="24"/>
        </w:rPr>
        <w:t>该项目所需园林机械，如：草坪修剪机、绿篱机、油锯、水泵、打孔机</w:t>
      </w:r>
      <w:r>
        <w:rPr>
          <w:rFonts w:hint="eastAsia" w:ascii="宋体" w:hAnsi="宋体" w:cs="宋体"/>
          <w:sz w:val="24"/>
          <w:szCs w:val="24"/>
          <w:lang w:eastAsia="zh-CN"/>
        </w:rPr>
        <w:t>等</w:t>
      </w:r>
      <w:r>
        <w:rPr>
          <w:rFonts w:hint="eastAsia" w:ascii="宋体" w:hAnsi="宋体" w:cs="宋体"/>
          <w:sz w:val="24"/>
          <w:szCs w:val="24"/>
        </w:rPr>
        <w:t>机械所需油料</w:t>
      </w:r>
      <w:r>
        <w:rPr>
          <w:rFonts w:hint="eastAsia" w:ascii="宋体" w:hAnsi="宋体" w:cs="宋体"/>
          <w:sz w:val="24"/>
          <w:szCs w:val="24"/>
          <w:lang w:eastAsia="zh-CN"/>
        </w:rPr>
        <w:t>、机油，维修、更换零件</w:t>
      </w:r>
      <w:r>
        <w:rPr>
          <w:rFonts w:hint="eastAsia" w:ascii="宋体" w:hAnsi="宋体" w:cs="宋体"/>
          <w:sz w:val="24"/>
          <w:szCs w:val="24"/>
        </w:rPr>
        <w:t>，以及生产工具、树木涂白剂</w:t>
      </w:r>
      <w:r>
        <w:rPr>
          <w:rFonts w:hint="eastAsia" w:ascii="宋体" w:hAnsi="宋体" w:cs="宋体"/>
          <w:sz w:val="24"/>
          <w:szCs w:val="24"/>
          <w:lang w:eastAsia="zh-CN"/>
        </w:rPr>
        <w:t>、刷子等所产生的费用</w:t>
      </w:r>
      <w:r>
        <w:rPr>
          <w:rFonts w:hint="eastAsia" w:ascii="宋体" w:hAnsi="宋体" w:cs="宋体"/>
          <w:sz w:val="24"/>
          <w:szCs w:val="24"/>
        </w:rPr>
        <w:t>均由中标人负责。</w:t>
      </w:r>
    </w:p>
    <w:p>
      <w:pPr>
        <w:spacing w:line="560" w:lineRule="exact"/>
        <w:ind w:firstLine="482" w:firstLineChars="200"/>
        <w:rPr>
          <w:rFonts w:ascii="宋体" w:cs="宋体"/>
          <w:b/>
          <w:bCs/>
          <w:sz w:val="24"/>
          <w:szCs w:val="24"/>
        </w:rPr>
      </w:pPr>
      <w:r>
        <w:rPr>
          <w:rFonts w:hint="eastAsia" w:ascii="宋体" w:hAnsi="宋体" w:cs="宋体"/>
          <w:b/>
          <w:bCs/>
          <w:sz w:val="24"/>
          <w:szCs w:val="24"/>
        </w:rPr>
        <w:t>（二）乔灌木整形修剪</w:t>
      </w:r>
    </w:p>
    <w:p>
      <w:pPr>
        <w:spacing w:line="560" w:lineRule="exact"/>
        <w:ind w:firstLine="482" w:firstLineChars="200"/>
        <w:rPr>
          <w:rFonts w:ascii="宋体" w:cs="宋体"/>
          <w:b/>
          <w:bCs/>
          <w:sz w:val="24"/>
          <w:szCs w:val="24"/>
        </w:rPr>
      </w:pPr>
      <w:r>
        <w:rPr>
          <w:rFonts w:ascii="宋体" w:hAnsi="宋体" w:cs="宋体"/>
          <w:b/>
          <w:bCs/>
          <w:sz w:val="24"/>
          <w:szCs w:val="24"/>
        </w:rPr>
        <w:t>1</w:t>
      </w:r>
      <w:r>
        <w:rPr>
          <w:rFonts w:hint="eastAsia" w:ascii="宋体" w:hAnsi="宋体" w:cs="宋体"/>
          <w:b/>
          <w:bCs/>
          <w:sz w:val="24"/>
          <w:szCs w:val="24"/>
        </w:rPr>
        <w:t>、工作内容</w:t>
      </w:r>
    </w:p>
    <w:p>
      <w:pPr>
        <w:snapToGrid w:val="0"/>
        <w:spacing w:line="360" w:lineRule="auto"/>
        <w:ind w:firstLine="480" w:firstLineChars="200"/>
        <w:jc w:val="left"/>
        <w:rPr>
          <w:rFonts w:ascii="宋体" w:cs="宋体"/>
          <w:sz w:val="24"/>
          <w:szCs w:val="24"/>
        </w:rPr>
      </w:pPr>
      <w:r>
        <w:rPr>
          <w:rFonts w:ascii="宋体" w:hAnsi="宋体" w:cs="宋体"/>
          <w:sz w:val="24"/>
          <w:szCs w:val="24"/>
        </w:rPr>
        <w:t xml:space="preserve">1.1  </w:t>
      </w:r>
      <w:r>
        <w:rPr>
          <w:rFonts w:hint="eastAsia" w:ascii="宋体" w:hAnsi="宋体" w:cs="宋体"/>
          <w:sz w:val="24"/>
          <w:szCs w:val="24"/>
        </w:rPr>
        <w:t>乔灌木整形修剪、抹芽、病虫害防治等。</w:t>
      </w:r>
    </w:p>
    <w:p>
      <w:pPr>
        <w:snapToGrid w:val="0"/>
        <w:spacing w:line="360" w:lineRule="auto"/>
        <w:ind w:firstLine="480" w:firstLineChars="200"/>
        <w:jc w:val="left"/>
        <w:rPr>
          <w:rFonts w:ascii="宋体" w:cs="宋体"/>
          <w:sz w:val="24"/>
          <w:szCs w:val="24"/>
        </w:rPr>
      </w:pPr>
      <w:r>
        <w:rPr>
          <w:rFonts w:ascii="宋体" w:hAnsi="宋体" w:cs="宋体"/>
          <w:sz w:val="24"/>
          <w:szCs w:val="24"/>
        </w:rPr>
        <w:t>1.2</w:t>
      </w:r>
      <w:r>
        <w:rPr>
          <w:rFonts w:hint="eastAsia" w:ascii="宋体" w:hAnsi="宋体" w:cs="宋体"/>
          <w:sz w:val="24"/>
          <w:szCs w:val="24"/>
        </w:rPr>
        <w:t>所有修剪、整形等工作中产生的枝条、其它垃圾由中标人运输，自行处理，并严格按环保要求执行。</w:t>
      </w:r>
    </w:p>
    <w:p>
      <w:pPr>
        <w:snapToGrid w:val="0"/>
        <w:spacing w:line="360" w:lineRule="auto"/>
        <w:ind w:firstLine="480" w:firstLineChars="200"/>
        <w:jc w:val="left"/>
        <w:rPr>
          <w:rFonts w:ascii="宋体" w:cs="宋体"/>
          <w:sz w:val="24"/>
          <w:szCs w:val="24"/>
        </w:rPr>
      </w:pPr>
      <w:r>
        <w:rPr>
          <w:rFonts w:ascii="宋体" w:hAnsi="宋体" w:cs="宋体"/>
          <w:sz w:val="24"/>
          <w:szCs w:val="24"/>
        </w:rPr>
        <w:t>1.3</w:t>
      </w:r>
      <w:r>
        <w:rPr>
          <w:rFonts w:hint="eastAsia" w:ascii="宋体" w:hAnsi="宋体" w:cs="宋体"/>
          <w:sz w:val="24"/>
          <w:szCs w:val="24"/>
        </w:rPr>
        <w:t>树挂、非法悬挂物、非法附着物的清理。</w:t>
      </w:r>
    </w:p>
    <w:p>
      <w:pPr>
        <w:snapToGrid w:val="0"/>
        <w:spacing w:line="360" w:lineRule="auto"/>
        <w:ind w:firstLine="480" w:firstLineChars="200"/>
        <w:jc w:val="left"/>
        <w:rPr>
          <w:rFonts w:ascii="宋体" w:cs="宋体"/>
          <w:sz w:val="24"/>
          <w:szCs w:val="24"/>
        </w:rPr>
      </w:pPr>
      <w:r>
        <w:rPr>
          <w:rFonts w:ascii="宋体" w:hAnsi="宋体" w:cs="宋体"/>
          <w:sz w:val="24"/>
          <w:szCs w:val="24"/>
        </w:rPr>
        <w:t>1.4</w:t>
      </w:r>
      <w:r>
        <w:rPr>
          <w:rFonts w:hint="eastAsia" w:ascii="宋体" w:hAnsi="宋体" w:cs="宋体"/>
          <w:sz w:val="24"/>
          <w:szCs w:val="24"/>
        </w:rPr>
        <w:t>乔灌木应急事件的清理。其中包括大风、暴雨和暴雪等灾害后倒伏行道树和伤残枝干的现场清理，倾斜行道树扶正等工作。要求全天</w:t>
      </w:r>
      <w:r>
        <w:rPr>
          <w:rFonts w:ascii="宋体" w:hAnsi="宋体" w:cs="宋体"/>
          <w:sz w:val="24"/>
          <w:szCs w:val="24"/>
        </w:rPr>
        <w:t>24</w:t>
      </w:r>
      <w:r>
        <w:rPr>
          <w:rFonts w:hint="eastAsia" w:ascii="宋体" w:hAnsi="宋体" w:cs="宋体"/>
          <w:sz w:val="24"/>
          <w:szCs w:val="24"/>
        </w:rPr>
        <w:t>小时待命，随叫随到。</w:t>
      </w:r>
    </w:p>
    <w:p>
      <w:pPr>
        <w:snapToGrid w:val="0"/>
        <w:spacing w:line="360" w:lineRule="auto"/>
        <w:ind w:firstLine="480" w:firstLineChars="200"/>
        <w:jc w:val="left"/>
        <w:rPr>
          <w:rFonts w:ascii="宋体" w:cs="宋体"/>
          <w:sz w:val="24"/>
          <w:szCs w:val="24"/>
        </w:rPr>
      </w:pPr>
      <w:r>
        <w:rPr>
          <w:rFonts w:ascii="宋体" w:hAnsi="宋体" w:cs="宋体"/>
          <w:sz w:val="24"/>
          <w:szCs w:val="24"/>
        </w:rPr>
        <w:t>1.5</w:t>
      </w:r>
      <w:r>
        <w:rPr>
          <w:rFonts w:hint="eastAsia" w:ascii="宋体" w:hAnsi="宋体" w:cs="宋体"/>
          <w:sz w:val="24"/>
          <w:szCs w:val="24"/>
        </w:rPr>
        <w:t>乔灌木树洞修复，树穴内的卫生和杂草的清理。修补树洞前应与采购人结合，选用科学合理的方法和材料进行施工，不能影响树木的生长。</w:t>
      </w:r>
    </w:p>
    <w:p>
      <w:pPr>
        <w:snapToGrid w:val="0"/>
        <w:spacing w:line="360" w:lineRule="auto"/>
        <w:ind w:firstLine="480" w:firstLineChars="200"/>
        <w:jc w:val="left"/>
        <w:rPr>
          <w:rFonts w:ascii="宋体" w:cs="宋体"/>
          <w:sz w:val="24"/>
          <w:szCs w:val="24"/>
        </w:rPr>
      </w:pPr>
      <w:r>
        <w:rPr>
          <w:rFonts w:ascii="宋体" w:hAnsi="宋体" w:cs="宋体"/>
          <w:sz w:val="24"/>
          <w:szCs w:val="24"/>
        </w:rPr>
        <w:t>1.6</w:t>
      </w:r>
      <w:r>
        <w:rPr>
          <w:rFonts w:hint="eastAsia" w:ascii="宋体" w:hAnsi="宋体" w:cs="宋体"/>
          <w:sz w:val="24"/>
          <w:szCs w:val="24"/>
        </w:rPr>
        <w:t>病虫害防治：病虫害防治及时，所管辖绿地内无病虫害发生。植株无明显病害危害；树木无蛀干害虫活虫、虫卵；植株叶片无虫粪、虫网；植株无“滴油现象”（受刺吸式害虫危害）。</w:t>
      </w:r>
    </w:p>
    <w:p>
      <w:pPr>
        <w:spacing w:line="560" w:lineRule="exact"/>
        <w:ind w:firstLine="482" w:firstLineChars="200"/>
        <w:rPr>
          <w:rFonts w:ascii="宋体" w:cs="宋体"/>
          <w:b/>
          <w:bCs/>
          <w:sz w:val="24"/>
          <w:szCs w:val="24"/>
        </w:rPr>
      </w:pPr>
      <w:r>
        <w:rPr>
          <w:rFonts w:ascii="宋体" w:hAnsi="宋体" w:cs="宋体"/>
          <w:b/>
          <w:bCs/>
          <w:sz w:val="24"/>
          <w:szCs w:val="24"/>
        </w:rPr>
        <w:t>2</w:t>
      </w:r>
      <w:r>
        <w:rPr>
          <w:rFonts w:hint="eastAsia" w:ascii="宋体" w:hAnsi="宋体" w:cs="宋体"/>
          <w:b/>
          <w:bCs/>
          <w:sz w:val="24"/>
          <w:szCs w:val="24"/>
        </w:rPr>
        <w:t>、技术要求：</w:t>
      </w:r>
    </w:p>
    <w:p>
      <w:pPr>
        <w:snapToGrid w:val="0"/>
        <w:spacing w:line="360" w:lineRule="auto"/>
        <w:ind w:firstLine="480" w:firstLineChars="200"/>
        <w:jc w:val="left"/>
        <w:rPr>
          <w:rFonts w:ascii="宋体" w:cs="宋体"/>
          <w:sz w:val="24"/>
          <w:szCs w:val="24"/>
        </w:rPr>
      </w:pPr>
      <w:r>
        <w:rPr>
          <w:rFonts w:ascii="宋体" w:hAnsi="宋体" w:cs="宋体"/>
          <w:sz w:val="24"/>
          <w:szCs w:val="24"/>
        </w:rPr>
        <w:t>2.1</w:t>
      </w:r>
      <w:r>
        <w:rPr>
          <w:rFonts w:hint="eastAsia" w:ascii="宋体" w:hAnsi="宋体" w:cs="宋体"/>
          <w:sz w:val="24"/>
          <w:szCs w:val="24"/>
        </w:rPr>
        <w:t>乔灌木整体树冠完整，生长茂盛，有较好遮荫和生态效益。</w:t>
      </w:r>
    </w:p>
    <w:p>
      <w:pPr>
        <w:snapToGrid w:val="0"/>
        <w:spacing w:line="360" w:lineRule="auto"/>
        <w:ind w:firstLine="480" w:firstLineChars="200"/>
        <w:jc w:val="left"/>
        <w:rPr>
          <w:rFonts w:ascii="宋体" w:cs="宋体"/>
          <w:sz w:val="24"/>
          <w:szCs w:val="24"/>
        </w:rPr>
      </w:pPr>
      <w:r>
        <w:rPr>
          <w:rFonts w:ascii="宋体" w:hAnsi="宋体" w:cs="宋体"/>
          <w:sz w:val="24"/>
          <w:szCs w:val="24"/>
        </w:rPr>
        <w:t>2.2</w:t>
      </w:r>
      <w:r>
        <w:rPr>
          <w:rFonts w:hint="eastAsia" w:ascii="宋体" w:hAnsi="宋体" w:cs="宋体"/>
          <w:sz w:val="24"/>
          <w:szCs w:val="24"/>
        </w:rPr>
        <w:t>全年生长正常，无枯枝、断枝和生长不良枝。</w:t>
      </w:r>
    </w:p>
    <w:p>
      <w:pPr>
        <w:snapToGrid w:val="0"/>
        <w:spacing w:line="360" w:lineRule="auto"/>
        <w:ind w:firstLine="480" w:firstLineChars="200"/>
        <w:jc w:val="left"/>
        <w:rPr>
          <w:rFonts w:ascii="宋体" w:cs="宋体"/>
          <w:sz w:val="24"/>
          <w:szCs w:val="24"/>
        </w:rPr>
      </w:pPr>
      <w:r>
        <w:rPr>
          <w:rFonts w:ascii="宋体" w:hAnsi="宋体" w:cs="宋体"/>
          <w:sz w:val="24"/>
          <w:szCs w:val="24"/>
        </w:rPr>
        <w:t>2.3</w:t>
      </w:r>
      <w:r>
        <w:rPr>
          <w:rFonts w:hint="eastAsia" w:ascii="宋体" w:hAnsi="宋体" w:cs="宋体"/>
          <w:sz w:val="24"/>
          <w:szCs w:val="24"/>
        </w:rPr>
        <w:t>修剪科学合理，适时适度。主侧枝分布均匀疏密得当，修剪强度适宜。</w:t>
      </w:r>
    </w:p>
    <w:p>
      <w:pPr>
        <w:snapToGrid w:val="0"/>
        <w:spacing w:line="360" w:lineRule="auto"/>
        <w:ind w:firstLine="480" w:firstLineChars="200"/>
        <w:jc w:val="left"/>
        <w:rPr>
          <w:rFonts w:ascii="宋体" w:cs="宋体"/>
          <w:sz w:val="24"/>
          <w:szCs w:val="24"/>
        </w:rPr>
      </w:pPr>
      <w:r>
        <w:rPr>
          <w:rFonts w:ascii="宋体" w:hAnsi="宋体" w:cs="宋体"/>
          <w:sz w:val="24"/>
          <w:szCs w:val="24"/>
        </w:rPr>
        <w:t>2.4</w:t>
      </w:r>
      <w:r>
        <w:rPr>
          <w:rFonts w:hint="eastAsia" w:ascii="宋体" w:hAnsi="宋体" w:cs="宋体"/>
          <w:sz w:val="24"/>
          <w:szCs w:val="24"/>
        </w:rPr>
        <w:t>枯死枝、内膛乱枝、交叉枝、平行枝、下垂枝、劈裂枝等影响树势、树形的枝条应全部剪除，死株要及时清除。</w:t>
      </w:r>
    </w:p>
    <w:p>
      <w:pPr>
        <w:snapToGrid w:val="0"/>
        <w:spacing w:line="360" w:lineRule="auto"/>
        <w:ind w:firstLine="480" w:firstLineChars="200"/>
        <w:jc w:val="left"/>
        <w:rPr>
          <w:rFonts w:ascii="宋体" w:cs="宋体"/>
          <w:sz w:val="24"/>
          <w:szCs w:val="24"/>
        </w:rPr>
      </w:pPr>
      <w:r>
        <w:rPr>
          <w:rFonts w:ascii="宋体" w:hAnsi="宋体" w:cs="宋体"/>
          <w:sz w:val="24"/>
          <w:szCs w:val="24"/>
        </w:rPr>
        <w:t>2.5</w:t>
      </w:r>
      <w:r>
        <w:rPr>
          <w:rFonts w:hint="eastAsia" w:ascii="宋体" w:hAnsi="宋体" w:cs="宋体"/>
          <w:sz w:val="24"/>
          <w:szCs w:val="24"/>
        </w:rPr>
        <w:t>签订合同日开始计日，半年内全部乔灌木整形修剪一遍。凡是修剪过的树木应符合相应等级的要求（具体标准见技术要求）并常年保持。及时抹芽除萌。</w:t>
      </w:r>
    </w:p>
    <w:p>
      <w:pPr>
        <w:snapToGrid w:val="0"/>
        <w:spacing w:line="360" w:lineRule="auto"/>
        <w:ind w:firstLine="480" w:firstLineChars="200"/>
        <w:jc w:val="left"/>
        <w:rPr>
          <w:rFonts w:ascii="宋体" w:cs="宋体"/>
          <w:sz w:val="24"/>
          <w:szCs w:val="24"/>
        </w:rPr>
      </w:pPr>
      <w:r>
        <w:rPr>
          <w:rFonts w:ascii="宋体" w:hAnsi="宋体" w:cs="宋体"/>
          <w:sz w:val="24"/>
          <w:szCs w:val="24"/>
        </w:rPr>
        <w:t>2.6</w:t>
      </w:r>
      <w:r>
        <w:rPr>
          <w:rFonts w:hint="eastAsia" w:ascii="宋体" w:hAnsi="宋体" w:cs="宋体"/>
          <w:sz w:val="24"/>
          <w:szCs w:val="24"/>
        </w:rPr>
        <w:t>工具齐全，操作合理认真标准，剪口、锯口平滑，涂抹得当。</w:t>
      </w:r>
    </w:p>
    <w:p>
      <w:pPr>
        <w:snapToGrid w:val="0"/>
        <w:spacing w:line="360" w:lineRule="auto"/>
        <w:ind w:firstLine="480" w:firstLineChars="200"/>
        <w:jc w:val="left"/>
        <w:rPr>
          <w:rFonts w:ascii="宋体" w:cs="宋体"/>
          <w:sz w:val="24"/>
          <w:szCs w:val="24"/>
        </w:rPr>
      </w:pPr>
      <w:r>
        <w:rPr>
          <w:rFonts w:ascii="宋体" w:hAnsi="宋体" w:cs="宋体"/>
          <w:sz w:val="24"/>
          <w:szCs w:val="24"/>
        </w:rPr>
        <w:t>2.7</w:t>
      </w:r>
      <w:r>
        <w:rPr>
          <w:rFonts w:hint="eastAsia" w:ascii="宋体" w:hAnsi="宋体" w:cs="宋体"/>
          <w:sz w:val="24"/>
          <w:szCs w:val="24"/>
        </w:rPr>
        <w:t>树挂、非法悬挂物、非法</w:t>
      </w:r>
      <w:r>
        <w:rPr>
          <w:rFonts w:hint="eastAsia" w:ascii="宋体" w:hAnsi="宋体" w:cs="宋体"/>
          <w:sz w:val="24"/>
          <w:szCs w:val="24"/>
          <w:lang w:eastAsia="zh-CN"/>
        </w:rPr>
        <w:t>附</w:t>
      </w:r>
      <w:r>
        <w:rPr>
          <w:rFonts w:hint="eastAsia" w:ascii="宋体" w:hAnsi="宋体" w:cs="宋体"/>
          <w:sz w:val="24"/>
          <w:szCs w:val="24"/>
        </w:rPr>
        <w:t>着物及时清除。</w:t>
      </w:r>
    </w:p>
    <w:p>
      <w:pPr>
        <w:spacing w:line="560" w:lineRule="exact"/>
        <w:ind w:firstLine="482" w:firstLineChars="200"/>
        <w:rPr>
          <w:rFonts w:ascii="宋体" w:cs="宋体"/>
          <w:b/>
          <w:sz w:val="24"/>
          <w:szCs w:val="24"/>
        </w:rPr>
      </w:pPr>
      <w:r>
        <w:rPr>
          <w:rFonts w:hint="eastAsia" w:ascii="宋体" w:hAnsi="宋体" w:cs="宋体"/>
          <w:b/>
          <w:sz w:val="24"/>
          <w:szCs w:val="24"/>
        </w:rPr>
        <w:t>四、人员安排与管理</w:t>
      </w:r>
    </w:p>
    <w:p>
      <w:pPr>
        <w:snapToGrid w:val="0"/>
        <w:spacing w:line="360" w:lineRule="auto"/>
        <w:ind w:firstLine="480" w:firstLineChars="200"/>
        <w:jc w:val="left"/>
        <w:rPr>
          <w:rFonts w:ascii="宋体" w:cs="宋体"/>
          <w:sz w:val="24"/>
          <w:szCs w:val="24"/>
          <w:highlight w:val="none"/>
        </w:rPr>
      </w:pPr>
      <w:r>
        <w:rPr>
          <w:rFonts w:ascii="宋体" w:hAnsi="宋体" w:cs="宋体"/>
          <w:sz w:val="24"/>
          <w:szCs w:val="24"/>
        </w:rPr>
        <w:t>1</w:t>
      </w:r>
      <w:r>
        <w:rPr>
          <w:rFonts w:hint="eastAsia" w:ascii="宋体" w:hAnsi="宋体" w:cs="宋体"/>
          <w:sz w:val="24"/>
          <w:szCs w:val="24"/>
        </w:rPr>
        <w:t>、</w:t>
      </w:r>
      <w:r>
        <w:rPr>
          <w:rFonts w:hint="eastAsia" w:ascii="宋体" w:hAnsi="宋体" w:cs="宋体"/>
          <w:sz w:val="24"/>
          <w:szCs w:val="24"/>
          <w:highlight w:val="none"/>
        </w:rPr>
        <w:t>人员安排</w:t>
      </w:r>
    </w:p>
    <w:p>
      <w:pPr>
        <w:snapToGrid w:val="0"/>
        <w:spacing w:line="360" w:lineRule="auto"/>
        <w:ind w:firstLine="480" w:firstLineChars="200"/>
        <w:jc w:val="left"/>
        <w:rPr>
          <w:rFonts w:ascii="宋体" w:cs="宋体"/>
          <w:sz w:val="24"/>
          <w:szCs w:val="24"/>
        </w:rPr>
      </w:pPr>
      <w:r>
        <w:rPr>
          <w:rFonts w:ascii="宋体" w:hAnsi="宋体" w:cs="宋体"/>
          <w:sz w:val="24"/>
          <w:szCs w:val="24"/>
          <w:highlight w:val="none"/>
        </w:rPr>
        <w:t>1.1</w:t>
      </w:r>
      <w:r>
        <w:rPr>
          <w:rFonts w:hint="eastAsia" w:ascii="宋体" w:hAnsi="宋体" w:cs="宋体"/>
          <w:sz w:val="24"/>
          <w:szCs w:val="24"/>
          <w:highlight w:val="none"/>
        </w:rPr>
        <w:t>管理人员：中标人需设专职管理人员</w:t>
      </w:r>
      <w:r>
        <w:rPr>
          <w:rFonts w:hint="eastAsia" w:ascii="宋体" w:hAnsi="宋体" w:cs="宋体"/>
          <w:sz w:val="24"/>
          <w:szCs w:val="24"/>
          <w:highlight w:val="none"/>
          <w:lang w:eastAsia="zh-CN"/>
        </w:rPr>
        <w:t>至少</w:t>
      </w:r>
      <w:r>
        <w:rPr>
          <w:rFonts w:hint="eastAsia" w:ascii="宋体" w:hAnsi="宋体" w:cs="宋体"/>
          <w:sz w:val="24"/>
          <w:szCs w:val="24"/>
          <w:highlight w:val="none"/>
          <w:lang w:val="en-US" w:eastAsia="zh-CN"/>
        </w:rPr>
        <w:t>1人</w:t>
      </w:r>
      <w:r>
        <w:rPr>
          <w:rFonts w:hint="eastAsia" w:ascii="宋体" w:hAnsi="宋体" w:cs="宋体"/>
          <w:sz w:val="24"/>
          <w:szCs w:val="24"/>
          <w:highlight w:val="none"/>
        </w:rPr>
        <w:t>，</w:t>
      </w:r>
      <w:r>
        <w:rPr>
          <w:rFonts w:hint="eastAsia" w:ascii="宋体" w:hAnsi="宋体" w:cs="宋体"/>
          <w:sz w:val="24"/>
          <w:szCs w:val="24"/>
        </w:rPr>
        <w:t>要求管理员坚守工作岗位，负责人员的日常管理，与被服务单位相关部门的沟通与协调；服从被服务单位管理，高质量完成任务。</w:t>
      </w:r>
    </w:p>
    <w:p>
      <w:pPr>
        <w:snapToGrid w:val="0"/>
        <w:spacing w:line="360" w:lineRule="auto"/>
        <w:ind w:firstLine="480" w:firstLineChars="200"/>
        <w:jc w:val="left"/>
        <w:rPr>
          <w:rFonts w:ascii="宋体" w:cs="宋体"/>
          <w:sz w:val="24"/>
          <w:szCs w:val="24"/>
        </w:rPr>
      </w:pPr>
      <w:r>
        <w:rPr>
          <w:rFonts w:ascii="宋体" w:hAnsi="宋体" w:cs="宋体"/>
          <w:sz w:val="24"/>
          <w:szCs w:val="24"/>
        </w:rPr>
        <w:t>1.2</w:t>
      </w:r>
      <w:r>
        <w:rPr>
          <w:rFonts w:hint="eastAsia" w:ascii="宋体" w:hAnsi="宋体" w:cs="宋体"/>
          <w:sz w:val="24"/>
          <w:szCs w:val="24"/>
        </w:rPr>
        <w:t>工作人员：工作人员统一着装，干净整洁，自觉遵守《管理人员和工作人员劳动纪律考核办法》的规定，文明作业，优质服务。</w:t>
      </w:r>
    </w:p>
    <w:p>
      <w:pPr>
        <w:adjustRightInd w:val="0"/>
        <w:snapToGrid w:val="0"/>
        <w:spacing w:line="560" w:lineRule="exact"/>
        <w:ind w:firstLine="555"/>
        <w:rPr>
          <w:rFonts w:ascii="宋体" w:cs="宋体"/>
          <w:b/>
          <w:sz w:val="24"/>
          <w:szCs w:val="24"/>
        </w:rPr>
      </w:pPr>
      <w:r>
        <w:rPr>
          <w:rFonts w:hint="eastAsia" w:ascii="宋体" w:hAnsi="宋体" w:cs="宋体"/>
          <w:b/>
          <w:sz w:val="24"/>
          <w:szCs w:val="24"/>
        </w:rPr>
        <w:t>五、责任和义务</w:t>
      </w:r>
    </w:p>
    <w:p>
      <w:pPr>
        <w:snapToGrid w:val="0"/>
        <w:spacing w:line="360" w:lineRule="auto"/>
        <w:ind w:firstLine="480" w:firstLineChars="200"/>
        <w:jc w:val="left"/>
        <w:rPr>
          <w:rFonts w:ascii="宋体" w:cs="宋体"/>
          <w:sz w:val="24"/>
          <w:szCs w:val="24"/>
        </w:rPr>
      </w:pPr>
      <w:r>
        <w:rPr>
          <w:rFonts w:hint="eastAsia" w:ascii="宋体" w:hAnsi="宋体" w:cs="宋体"/>
          <w:sz w:val="24"/>
          <w:szCs w:val="24"/>
        </w:rPr>
        <w:t>（一）采购人：</w:t>
      </w:r>
    </w:p>
    <w:p>
      <w:pPr>
        <w:snapToGrid w:val="0"/>
        <w:spacing w:line="360" w:lineRule="auto"/>
        <w:ind w:firstLine="480" w:firstLineChars="200"/>
        <w:jc w:val="left"/>
        <w:rPr>
          <w:rFonts w:ascii="宋体" w:cs="宋体"/>
          <w:sz w:val="24"/>
          <w:szCs w:val="24"/>
        </w:rPr>
      </w:pPr>
      <w:r>
        <w:rPr>
          <w:rFonts w:ascii="宋体" w:hAnsi="宋体" w:cs="宋体"/>
          <w:sz w:val="24"/>
          <w:szCs w:val="24"/>
        </w:rPr>
        <w:t>1</w:t>
      </w:r>
      <w:r>
        <w:rPr>
          <w:rFonts w:hint="eastAsia" w:ascii="宋体" w:hAnsi="宋体" w:cs="宋体"/>
          <w:sz w:val="24"/>
          <w:szCs w:val="24"/>
        </w:rPr>
        <w:t>为中标人提供技术指导和培训以及相关的管理工作。</w:t>
      </w:r>
    </w:p>
    <w:p>
      <w:pPr>
        <w:snapToGrid w:val="0"/>
        <w:spacing w:line="360" w:lineRule="auto"/>
        <w:ind w:firstLine="480" w:firstLineChars="200"/>
        <w:jc w:val="left"/>
        <w:rPr>
          <w:rFonts w:ascii="宋体" w:cs="宋体"/>
          <w:sz w:val="24"/>
          <w:szCs w:val="24"/>
        </w:rPr>
      </w:pPr>
      <w:r>
        <w:rPr>
          <w:rFonts w:ascii="宋体" w:hAnsi="宋体" w:cs="宋体"/>
          <w:sz w:val="24"/>
          <w:szCs w:val="24"/>
        </w:rPr>
        <w:t>2</w:t>
      </w:r>
      <w:r>
        <w:rPr>
          <w:rFonts w:hint="eastAsia" w:ascii="宋体" w:hAnsi="宋体" w:cs="宋体"/>
          <w:sz w:val="24"/>
          <w:szCs w:val="24"/>
        </w:rPr>
        <w:t>为中标人开展工作提供所必要的条件，以保证工作顺利完成。</w:t>
      </w:r>
    </w:p>
    <w:p>
      <w:pPr>
        <w:snapToGrid w:val="0"/>
        <w:spacing w:line="360" w:lineRule="auto"/>
        <w:ind w:firstLine="480" w:firstLineChars="200"/>
        <w:jc w:val="left"/>
        <w:rPr>
          <w:rFonts w:ascii="宋体" w:cs="宋体"/>
          <w:sz w:val="24"/>
          <w:szCs w:val="24"/>
        </w:rPr>
      </w:pPr>
      <w:r>
        <w:rPr>
          <w:rFonts w:ascii="宋体" w:hAnsi="宋体" w:cs="宋体"/>
          <w:sz w:val="24"/>
          <w:szCs w:val="24"/>
        </w:rPr>
        <w:t>3</w:t>
      </w:r>
      <w:r>
        <w:rPr>
          <w:rFonts w:hint="eastAsia" w:ascii="宋体" w:hAnsi="宋体" w:cs="宋体"/>
          <w:sz w:val="24"/>
          <w:szCs w:val="24"/>
        </w:rPr>
        <w:t>采购人对中标人的服务进行考核，根据考核结果支付中标人服务费用。</w:t>
      </w:r>
    </w:p>
    <w:p>
      <w:pPr>
        <w:snapToGrid w:val="0"/>
        <w:spacing w:line="360" w:lineRule="auto"/>
        <w:ind w:firstLine="480" w:firstLineChars="200"/>
        <w:jc w:val="left"/>
        <w:rPr>
          <w:rFonts w:ascii="宋体" w:cs="宋体"/>
          <w:sz w:val="24"/>
          <w:szCs w:val="24"/>
        </w:rPr>
      </w:pPr>
      <w:r>
        <w:rPr>
          <w:rFonts w:ascii="宋体" w:hAnsi="宋体" w:cs="宋体"/>
          <w:sz w:val="24"/>
          <w:szCs w:val="24"/>
        </w:rPr>
        <w:t>4</w:t>
      </w:r>
      <w:r>
        <w:rPr>
          <w:rFonts w:hint="eastAsia" w:ascii="宋体" w:hAnsi="宋体" w:cs="宋体"/>
          <w:sz w:val="24"/>
          <w:szCs w:val="24"/>
        </w:rPr>
        <w:t>采购人对不能胜任工作的管理人员，有权要求及时更换。</w:t>
      </w:r>
    </w:p>
    <w:p>
      <w:pPr>
        <w:snapToGrid w:val="0"/>
        <w:spacing w:line="360" w:lineRule="auto"/>
        <w:ind w:firstLine="480" w:firstLineChars="200"/>
        <w:jc w:val="left"/>
        <w:rPr>
          <w:rFonts w:ascii="宋体" w:cs="宋体"/>
          <w:sz w:val="24"/>
          <w:szCs w:val="24"/>
        </w:rPr>
      </w:pPr>
      <w:r>
        <w:rPr>
          <w:rFonts w:hint="eastAsia" w:ascii="宋体" w:hAnsi="宋体" w:cs="宋体"/>
          <w:sz w:val="24"/>
          <w:szCs w:val="24"/>
        </w:rPr>
        <w:t>（二）中标人：</w:t>
      </w:r>
    </w:p>
    <w:p>
      <w:pPr>
        <w:snapToGrid w:val="0"/>
        <w:spacing w:line="360" w:lineRule="auto"/>
        <w:ind w:firstLine="480" w:firstLineChars="200"/>
        <w:jc w:val="left"/>
        <w:rPr>
          <w:rFonts w:ascii="宋体" w:cs="宋体"/>
          <w:sz w:val="24"/>
          <w:szCs w:val="24"/>
        </w:rPr>
      </w:pPr>
      <w:r>
        <w:rPr>
          <w:rFonts w:ascii="宋体" w:hAnsi="宋体" w:cs="宋体"/>
          <w:sz w:val="24"/>
          <w:szCs w:val="24"/>
        </w:rPr>
        <w:t>1</w:t>
      </w:r>
      <w:r>
        <w:rPr>
          <w:rFonts w:hint="eastAsia" w:ascii="宋体" w:hAnsi="宋体" w:cs="宋体"/>
          <w:sz w:val="24"/>
          <w:szCs w:val="24"/>
        </w:rPr>
        <w:t>中标人专人负责实施工作，并与采购人及时沟通、交流。</w:t>
      </w:r>
    </w:p>
    <w:p>
      <w:pPr>
        <w:snapToGrid w:val="0"/>
        <w:spacing w:line="360" w:lineRule="auto"/>
        <w:ind w:firstLine="480" w:firstLineChars="200"/>
        <w:jc w:val="left"/>
        <w:rPr>
          <w:rFonts w:ascii="宋体" w:cs="宋体"/>
          <w:sz w:val="24"/>
          <w:szCs w:val="24"/>
        </w:rPr>
      </w:pPr>
      <w:r>
        <w:rPr>
          <w:rFonts w:ascii="宋体" w:hAnsi="宋体" w:cs="宋体"/>
          <w:sz w:val="24"/>
          <w:szCs w:val="24"/>
        </w:rPr>
        <w:t>2</w:t>
      </w:r>
      <w:r>
        <w:rPr>
          <w:rFonts w:hint="eastAsia" w:ascii="宋体" w:hAnsi="宋体" w:cs="宋体"/>
          <w:sz w:val="24"/>
          <w:szCs w:val="24"/>
        </w:rPr>
        <w:t>中标人需按照招标要求和投标承诺，严格做好各项服务工作，并服从被服务单位的相关要求和管理。</w:t>
      </w:r>
    </w:p>
    <w:p>
      <w:pPr>
        <w:snapToGrid w:val="0"/>
        <w:spacing w:line="360" w:lineRule="auto"/>
        <w:ind w:firstLine="480" w:firstLineChars="200"/>
        <w:jc w:val="left"/>
        <w:rPr>
          <w:rFonts w:ascii="宋体" w:cs="宋体"/>
          <w:sz w:val="24"/>
          <w:szCs w:val="24"/>
        </w:rPr>
      </w:pPr>
      <w:r>
        <w:rPr>
          <w:rFonts w:ascii="宋体" w:hAnsi="宋体" w:cs="宋体"/>
          <w:sz w:val="24"/>
          <w:szCs w:val="24"/>
        </w:rPr>
        <w:t>3</w:t>
      </w:r>
      <w:r>
        <w:rPr>
          <w:rFonts w:hint="eastAsia" w:ascii="宋体" w:hAnsi="宋体" w:cs="宋体"/>
          <w:sz w:val="24"/>
          <w:szCs w:val="24"/>
        </w:rPr>
        <w:t>中标人不得随意撤换负责人和工作人员，如需更换，须提前一周书面申请并经采购人同意，做好相关的移交工作。</w:t>
      </w:r>
    </w:p>
    <w:p>
      <w:pPr>
        <w:snapToGrid w:val="0"/>
        <w:spacing w:line="360" w:lineRule="auto"/>
        <w:ind w:firstLine="480" w:firstLineChars="200"/>
        <w:jc w:val="left"/>
        <w:rPr>
          <w:rFonts w:ascii="宋体" w:cs="宋体"/>
          <w:sz w:val="24"/>
          <w:szCs w:val="24"/>
        </w:rPr>
      </w:pPr>
      <w:r>
        <w:rPr>
          <w:rFonts w:ascii="宋体" w:hAnsi="宋体" w:cs="宋体"/>
          <w:sz w:val="24"/>
          <w:szCs w:val="24"/>
        </w:rPr>
        <w:t>4</w:t>
      </w:r>
      <w:r>
        <w:rPr>
          <w:rFonts w:hint="eastAsia" w:ascii="宋体" w:hAnsi="宋体" w:cs="宋体"/>
          <w:sz w:val="24"/>
          <w:szCs w:val="24"/>
        </w:rPr>
        <w:t>中标人派遣的人员，发生任何工伤事故和受到来自第三方的伤害，由中标人承担责任。</w:t>
      </w:r>
    </w:p>
    <w:p>
      <w:pPr>
        <w:snapToGrid w:val="0"/>
        <w:spacing w:line="360" w:lineRule="auto"/>
        <w:ind w:firstLine="480" w:firstLineChars="200"/>
        <w:jc w:val="left"/>
        <w:rPr>
          <w:rFonts w:ascii="宋体" w:cs="宋体"/>
          <w:sz w:val="24"/>
          <w:szCs w:val="24"/>
        </w:rPr>
      </w:pPr>
      <w:r>
        <w:rPr>
          <w:rFonts w:ascii="宋体" w:hAnsi="宋体" w:cs="宋体"/>
          <w:sz w:val="24"/>
          <w:szCs w:val="24"/>
        </w:rPr>
        <w:t>5</w:t>
      </w:r>
      <w:r>
        <w:rPr>
          <w:rFonts w:hint="eastAsia" w:ascii="宋体" w:hAnsi="宋体" w:cs="宋体"/>
          <w:sz w:val="24"/>
          <w:szCs w:val="24"/>
        </w:rPr>
        <w:t>管养期间内，中标人管理不当或看管不力造成的苗木缺株，应自行负责购买并栽植。</w:t>
      </w:r>
    </w:p>
    <w:p>
      <w:pPr>
        <w:snapToGrid w:val="0"/>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因自然灾害、车祸等造成的苗木缺损，中标人需及时上报并扶正或清理，疏通道路，由此所产生的费用由中标人承担。</w:t>
      </w:r>
    </w:p>
    <w:p>
      <w:pPr>
        <w:adjustRightInd w:val="0"/>
        <w:snapToGrid w:val="0"/>
        <w:spacing w:line="560" w:lineRule="exact"/>
        <w:ind w:firstLine="555"/>
        <w:rPr>
          <w:rFonts w:ascii="宋体" w:cs="宋体"/>
          <w:b/>
          <w:sz w:val="24"/>
          <w:szCs w:val="24"/>
        </w:rPr>
      </w:pPr>
      <w:r>
        <w:rPr>
          <w:rFonts w:hint="eastAsia" w:ascii="宋体" w:hAnsi="宋体" w:cs="宋体"/>
          <w:b/>
          <w:sz w:val="24"/>
          <w:szCs w:val="24"/>
        </w:rPr>
        <w:t>六、工作标准</w:t>
      </w:r>
    </w:p>
    <w:p>
      <w:pPr>
        <w:snapToGrid w:val="0"/>
        <w:spacing w:line="360" w:lineRule="auto"/>
        <w:ind w:firstLine="480" w:firstLineChars="200"/>
        <w:jc w:val="left"/>
        <w:rPr>
          <w:rFonts w:ascii="宋体" w:cs="宋体"/>
          <w:sz w:val="24"/>
          <w:szCs w:val="24"/>
        </w:rPr>
      </w:pPr>
      <w:r>
        <w:rPr>
          <w:rFonts w:hint="eastAsia" w:ascii="宋体" w:hAnsi="宋体" w:cs="宋体"/>
          <w:sz w:val="24"/>
          <w:szCs w:val="24"/>
        </w:rPr>
        <w:t>绿地管养及乔灌木整形修剪（见《河南省城市绿地养护标准》手册）</w:t>
      </w:r>
    </w:p>
    <w:p>
      <w:pPr>
        <w:spacing w:line="560" w:lineRule="exact"/>
        <w:ind w:firstLine="482" w:firstLineChars="200"/>
        <w:rPr>
          <w:rFonts w:ascii="宋体" w:cs="宋体"/>
          <w:b/>
          <w:bCs/>
          <w:sz w:val="24"/>
          <w:szCs w:val="24"/>
        </w:rPr>
      </w:pPr>
      <w:r>
        <w:rPr>
          <w:rFonts w:hint="eastAsia" w:ascii="宋体" w:hAnsi="宋体" w:cs="宋体"/>
          <w:b/>
          <w:bCs/>
          <w:sz w:val="24"/>
          <w:szCs w:val="24"/>
        </w:rPr>
        <w:t>七、考核及奖惩办法</w:t>
      </w:r>
    </w:p>
    <w:p>
      <w:pPr>
        <w:snapToGrid w:val="0"/>
        <w:spacing w:line="360" w:lineRule="auto"/>
        <w:ind w:firstLine="480" w:firstLineChars="200"/>
        <w:jc w:val="left"/>
        <w:rPr>
          <w:rFonts w:ascii="宋体" w:cs="宋体"/>
          <w:sz w:val="24"/>
          <w:szCs w:val="24"/>
        </w:rPr>
      </w:pPr>
      <w:r>
        <w:rPr>
          <w:rFonts w:hint="eastAsia" w:ascii="宋体" w:hAnsi="宋体" w:cs="宋体"/>
          <w:sz w:val="24"/>
          <w:szCs w:val="24"/>
        </w:rPr>
        <w:t>（一）考核组成</w:t>
      </w:r>
    </w:p>
    <w:p>
      <w:pPr>
        <w:snapToGrid w:val="0"/>
        <w:spacing w:line="360" w:lineRule="auto"/>
        <w:ind w:firstLine="480" w:firstLineChars="200"/>
        <w:jc w:val="left"/>
        <w:rPr>
          <w:rFonts w:ascii="宋体" w:cs="宋体"/>
          <w:sz w:val="24"/>
          <w:szCs w:val="24"/>
        </w:rPr>
      </w:pPr>
      <w:r>
        <w:rPr>
          <w:rFonts w:hint="eastAsia" w:ascii="宋体" w:hAnsi="宋体" w:cs="宋体"/>
          <w:sz w:val="24"/>
          <w:szCs w:val="24"/>
        </w:rPr>
        <w:t>园林绿化中心、采购单位依照《河南省城市绿地养护标准》、《绿地植物养护标准》、《卫生保洁标准》、《园林建筑和园林设施维护标准》、《管理人员和工作人员劳动纪律考核办法》和《绿化养护和卫生保洁考核细则》进行考核。</w:t>
      </w:r>
    </w:p>
    <w:p>
      <w:pPr>
        <w:snapToGrid w:val="0"/>
        <w:spacing w:line="360" w:lineRule="auto"/>
        <w:ind w:firstLine="480" w:firstLineChars="200"/>
        <w:jc w:val="left"/>
        <w:rPr>
          <w:rFonts w:ascii="宋体" w:cs="宋体"/>
          <w:sz w:val="24"/>
          <w:szCs w:val="24"/>
        </w:rPr>
      </w:pPr>
      <w:r>
        <w:rPr>
          <w:rFonts w:hint="eastAsia" w:ascii="宋体" w:hAnsi="宋体" w:cs="宋体"/>
          <w:sz w:val="24"/>
          <w:szCs w:val="24"/>
        </w:rPr>
        <w:t>采取园林绿化中心考核、采购单位考核和第三方考核（社会监督）相结合的考核办法。</w:t>
      </w:r>
    </w:p>
    <w:p>
      <w:pPr>
        <w:snapToGrid w:val="0"/>
        <w:spacing w:line="360" w:lineRule="auto"/>
        <w:ind w:firstLine="480" w:firstLineChars="200"/>
        <w:jc w:val="left"/>
        <w:rPr>
          <w:rFonts w:ascii="宋体" w:cs="宋体"/>
          <w:sz w:val="24"/>
          <w:szCs w:val="24"/>
        </w:rPr>
      </w:pPr>
      <w:r>
        <w:rPr>
          <w:rFonts w:ascii="宋体" w:hAnsi="宋体" w:cs="宋体"/>
          <w:sz w:val="24"/>
          <w:szCs w:val="24"/>
        </w:rPr>
        <w:t>1.1</w:t>
      </w:r>
      <w:r>
        <w:rPr>
          <w:rFonts w:hint="eastAsia" w:ascii="宋体" w:hAnsi="宋体" w:cs="宋体"/>
          <w:sz w:val="24"/>
          <w:szCs w:val="24"/>
        </w:rPr>
        <w:t>采购单位考核：</w:t>
      </w:r>
    </w:p>
    <w:p>
      <w:pPr>
        <w:snapToGrid w:val="0"/>
        <w:spacing w:line="360" w:lineRule="auto"/>
        <w:ind w:firstLine="480" w:firstLineChars="200"/>
        <w:jc w:val="left"/>
        <w:rPr>
          <w:rFonts w:ascii="宋体" w:cs="宋体"/>
          <w:sz w:val="24"/>
          <w:szCs w:val="24"/>
        </w:rPr>
      </w:pPr>
      <w:r>
        <w:rPr>
          <w:rFonts w:ascii="宋体" w:hAnsi="宋体" w:cs="宋体"/>
          <w:sz w:val="24"/>
          <w:szCs w:val="24"/>
        </w:rPr>
        <w:t>1.1.1</w:t>
      </w:r>
      <w:r>
        <w:rPr>
          <w:rFonts w:hint="eastAsia" w:ascii="宋体" w:hAnsi="宋体" w:cs="宋体"/>
          <w:sz w:val="24"/>
          <w:szCs w:val="24"/>
        </w:rPr>
        <w:t>每周不定期考核</w:t>
      </w:r>
      <w:r>
        <w:rPr>
          <w:rFonts w:ascii="宋体" w:hAnsi="宋体" w:cs="宋体"/>
          <w:sz w:val="24"/>
          <w:szCs w:val="24"/>
        </w:rPr>
        <w:t>1</w:t>
      </w:r>
      <w:r>
        <w:rPr>
          <w:rFonts w:hint="eastAsia" w:ascii="宋体" w:hAnsi="宋体" w:cs="宋体"/>
          <w:sz w:val="24"/>
          <w:szCs w:val="24"/>
        </w:rPr>
        <w:t>次；</w:t>
      </w:r>
    </w:p>
    <w:p>
      <w:pPr>
        <w:snapToGrid w:val="0"/>
        <w:spacing w:line="360" w:lineRule="auto"/>
        <w:ind w:firstLine="480" w:firstLineChars="200"/>
        <w:jc w:val="left"/>
        <w:rPr>
          <w:rFonts w:ascii="宋体" w:cs="宋体"/>
          <w:sz w:val="24"/>
          <w:szCs w:val="24"/>
        </w:rPr>
      </w:pPr>
      <w:r>
        <w:rPr>
          <w:rFonts w:ascii="宋体" w:hAnsi="宋体" w:cs="宋体"/>
          <w:sz w:val="24"/>
          <w:szCs w:val="24"/>
        </w:rPr>
        <w:t>1.1.2</w:t>
      </w:r>
      <w:r>
        <w:rPr>
          <w:rFonts w:hint="eastAsia" w:ascii="宋体" w:hAnsi="宋体" w:cs="宋体"/>
          <w:sz w:val="24"/>
          <w:szCs w:val="24"/>
        </w:rPr>
        <w:t>每月定期考核</w:t>
      </w:r>
      <w:r>
        <w:rPr>
          <w:rFonts w:ascii="宋体" w:hAnsi="宋体" w:cs="宋体"/>
          <w:sz w:val="24"/>
          <w:szCs w:val="24"/>
        </w:rPr>
        <w:t>2</w:t>
      </w:r>
      <w:r>
        <w:rPr>
          <w:rFonts w:hint="eastAsia" w:ascii="宋体" w:hAnsi="宋体" w:cs="宋体"/>
          <w:sz w:val="24"/>
          <w:szCs w:val="24"/>
        </w:rPr>
        <w:t>次；</w:t>
      </w:r>
    </w:p>
    <w:p>
      <w:pPr>
        <w:snapToGrid w:val="0"/>
        <w:spacing w:line="360" w:lineRule="auto"/>
        <w:ind w:firstLine="480" w:firstLineChars="200"/>
        <w:jc w:val="left"/>
        <w:rPr>
          <w:rFonts w:ascii="宋体" w:cs="宋体"/>
          <w:sz w:val="24"/>
          <w:szCs w:val="24"/>
        </w:rPr>
      </w:pPr>
      <w:r>
        <w:rPr>
          <w:rFonts w:ascii="宋体" w:hAnsi="宋体" w:cs="宋体"/>
          <w:sz w:val="24"/>
          <w:szCs w:val="24"/>
        </w:rPr>
        <w:t>1.2</w:t>
      </w:r>
      <w:r>
        <w:rPr>
          <w:rFonts w:hint="eastAsia" w:ascii="宋体" w:hAnsi="宋体" w:cs="宋体"/>
          <w:sz w:val="24"/>
          <w:szCs w:val="24"/>
        </w:rPr>
        <w:t>园林绿化中心考核：每月定期和不定期考核</w:t>
      </w:r>
      <w:r>
        <w:rPr>
          <w:rFonts w:ascii="宋体" w:hAnsi="宋体" w:cs="宋体"/>
          <w:sz w:val="24"/>
          <w:szCs w:val="24"/>
        </w:rPr>
        <w:t>1-2</w:t>
      </w:r>
      <w:r>
        <w:rPr>
          <w:rFonts w:hint="eastAsia" w:ascii="宋体" w:hAnsi="宋体" w:cs="宋体"/>
          <w:sz w:val="24"/>
          <w:szCs w:val="24"/>
        </w:rPr>
        <w:t>次</w:t>
      </w:r>
      <w:r>
        <w:rPr>
          <w:rFonts w:ascii="宋体" w:cs="宋体"/>
          <w:sz w:val="24"/>
          <w:szCs w:val="24"/>
        </w:rPr>
        <w:t>.</w:t>
      </w:r>
    </w:p>
    <w:p>
      <w:pPr>
        <w:snapToGrid w:val="0"/>
        <w:spacing w:line="360" w:lineRule="auto"/>
        <w:ind w:firstLine="480" w:firstLineChars="200"/>
        <w:jc w:val="left"/>
        <w:rPr>
          <w:rFonts w:ascii="宋体" w:cs="宋体"/>
          <w:sz w:val="24"/>
          <w:szCs w:val="24"/>
        </w:rPr>
      </w:pPr>
      <w:r>
        <w:rPr>
          <w:rFonts w:ascii="宋体" w:hAnsi="宋体" w:cs="宋体"/>
          <w:sz w:val="24"/>
          <w:szCs w:val="24"/>
        </w:rPr>
        <w:t>1.3</w:t>
      </w:r>
      <w:r>
        <w:rPr>
          <w:rFonts w:hint="eastAsia" w:ascii="宋体" w:hAnsi="宋体" w:cs="宋体"/>
          <w:sz w:val="24"/>
          <w:szCs w:val="24"/>
        </w:rPr>
        <w:t>第三方（社会监督）每月考核测评</w:t>
      </w:r>
      <w:r>
        <w:rPr>
          <w:rFonts w:ascii="宋体" w:hAnsi="宋体" w:cs="宋体"/>
          <w:sz w:val="24"/>
          <w:szCs w:val="24"/>
        </w:rPr>
        <w:t>1</w:t>
      </w:r>
      <w:r>
        <w:rPr>
          <w:rFonts w:hint="eastAsia" w:ascii="宋体" w:hAnsi="宋体" w:cs="宋体"/>
          <w:sz w:val="24"/>
          <w:szCs w:val="24"/>
        </w:rPr>
        <w:t>次。</w:t>
      </w:r>
    </w:p>
    <w:p>
      <w:pPr>
        <w:snapToGrid w:val="0"/>
        <w:spacing w:line="360" w:lineRule="auto"/>
        <w:ind w:firstLine="480" w:firstLineChars="200"/>
        <w:jc w:val="left"/>
        <w:rPr>
          <w:rFonts w:ascii="宋体" w:cs="宋体"/>
          <w:sz w:val="24"/>
          <w:szCs w:val="24"/>
        </w:rPr>
      </w:pPr>
      <w:r>
        <w:rPr>
          <w:rFonts w:ascii="宋体" w:hAnsi="宋体" w:cs="宋体"/>
          <w:sz w:val="24"/>
          <w:szCs w:val="24"/>
        </w:rPr>
        <w:t>1.4</w:t>
      </w:r>
      <w:r>
        <w:rPr>
          <w:rFonts w:hint="eastAsia" w:ascii="宋体" w:hAnsi="宋体" w:cs="宋体"/>
          <w:sz w:val="24"/>
          <w:szCs w:val="24"/>
        </w:rPr>
        <w:t>上级领导检查、市长便民邮箱、数字化城管、新闻媒体报道、市民来信等问题曝光纳入考核范围。</w:t>
      </w:r>
    </w:p>
    <w:p>
      <w:pPr>
        <w:snapToGrid w:val="0"/>
        <w:spacing w:line="360" w:lineRule="auto"/>
        <w:ind w:firstLine="480" w:firstLineChars="200"/>
        <w:jc w:val="left"/>
        <w:rPr>
          <w:rFonts w:ascii="宋体" w:cs="宋体"/>
          <w:sz w:val="24"/>
          <w:szCs w:val="24"/>
        </w:rPr>
      </w:pPr>
      <w:r>
        <w:rPr>
          <w:rFonts w:ascii="宋体" w:hAnsi="宋体" w:cs="宋体"/>
          <w:sz w:val="24"/>
          <w:szCs w:val="24"/>
        </w:rPr>
        <w:t>2</w:t>
      </w:r>
      <w:r>
        <w:rPr>
          <w:rFonts w:hint="eastAsia" w:ascii="宋体" w:hAnsi="宋体" w:cs="宋体"/>
          <w:sz w:val="24"/>
          <w:szCs w:val="24"/>
        </w:rPr>
        <w:t>考核分数计算</w:t>
      </w:r>
    </w:p>
    <w:p>
      <w:pPr>
        <w:snapToGrid w:val="0"/>
        <w:spacing w:line="360" w:lineRule="auto"/>
        <w:ind w:firstLine="480" w:firstLineChars="200"/>
        <w:jc w:val="left"/>
        <w:rPr>
          <w:rFonts w:ascii="宋体" w:cs="宋体"/>
          <w:sz w:val="24"/>
          <w:szCs w:val="24"/>
        </w:rPr>
      </w:pPr>
      <w:r>
        <w:rPr>
          <w:rFonts w:hint="eastAsia" w:ascii="宋体" w:hAnsi="宋体" w:cs="宋体"/>
          <w:sz w:val="24"/>
          <w:szCs w:val="24"/>
        </w:rPr>
        <w:t>考核分数采取百分制。考核成绩由园林绿化中心的考核成绩、采购单位的考核成绩和第三方的考核成绩组成。其中园林绿化中心考核分数占</w:t>
      </w:r>
      <w:r>
        <w:rPr>
          <w:rFonts w:ascii="宋体" w:hAnsi="宋体" w:cs="宋体"/>
          <w:sz w:val="24"/>
          <w:szCs w:val="24"/>
        </w:rPr>
        <w:t>30%</w:t>
      </w:r>
      <w:r>
        <w:rPr>
          <w:rFonts w:hint="eastAsia" w:ascii="宋体" w:hAnsi="宋体" w:cs="宋体"/>
          <w:sz w:val="24"/>
          <w:szCs w:val="24"/>
        </w:rPr>
        <w:t>，采购单位考核分数占</w:t>
      </w:r>
      <w:r>
        <w:rPr>
          <w:rFonts w:ascii="宋体" w:hAnsi="宋体" w:cs="宋体"/>
          <w:sz w:val="24"/>
          <w:szCs w:val="24"/>
        </w:rPr>
        <w:t>60%</w:t>
      </w:r>
      <w:r>
        <w:rPr>
          <w:rFonts w:hint="eastAsia" w:ascii="宋体" w:hAnsi="宋体" w:cs="宋体"/>
          <w:sz w:val="24"/>
          <w:szCs w:val="24"/>
        </w:rPr>
        <w:t>，第三方考核测评占</w:t>
      </w:r>
      <w:r>
        <w:rPr>
          <w:rFonts w:ascii="宋体" w:hAnsi="宋体" w:cs="宋体"/>
          <w:sz w:val="24"/>
          <w:szCs w:val="24"/>
        </w:rPr>
        <w:t>10%</w:t>
      </w:r>
      <w:r>
        <w:rPr>
          <w:rFonts w:hint="eastAsia" w:ascii="宋体" w:hAnsi="宋体" w:cs="宋体"/>
          <w:sz w:val="24"/>
          <w:szCs w:val="24"/>
        </w:rPr>
        <w:t>。采购单位依据三方月考核总分数对中标单位予以资金拨付（一季度拨付一次服务费）。</w:t>
      </w:r>
    </w:p>
    <w:p>
      <w:pPr>
        <w:snapToGrid w:val="0"/>
        <w:spacing w:line="360" w:lineRule="auto"/>
        <w:ind w:firstLine="480" w:firstLineChars="200"/>
        <w:jc w:val="left"/>
        <w:rPr>
          <w:rFonts w:ascii="宋体" w:cs="宋体"/>
          <w:sz w:val="24"/>
          <w:szCs w:val="24"/>
        </w:rPr>
      </w:pPr>
      <w:r>
        <w:rPr>
          <w:rFonts w:ascii="宋体" w:hAnsi="宋体" w:cs="宋体"/>
          <w:sz w:val="24"/>
          <w:szCs w:val="24"/>
        </w:rPr>
        <w:t>3</w:t>
      </w:r>
      <w:r>
        <w:rPr>
          <w:rFonts w:hint="eastAsia" w:ascii="宋体" w:hAnsi="宋体" w:cs="宋体"/>
          <w:sz w:val="24"/>
          <w:szCs w:val="24"/>
        </w:rPr>
        <w:t>奖惩办法</w:t>
      </w:r>
    </w:p>
    <w:p>
      <w:pPr>
        <w:snapToGrid w:val="0"/>
        <w:spacing w:line="360" w:lineRule="auto"/>
        <w:ind w:firstLine="480" w:firstLineChars="200"/>
        <w:jc w:val="left"/>
        <w:rPr>
          <w:rFonts w:ascii="宋体" w:cs="宋体"/>
          <w:sz w:val="24"/>
          <w:szCs w:val="24"/>
        </w:rPr>
      </w:pPr>
      <w:r>
        <w:rPr>
          <w:rFonts w:ascii="宋体" w:hAnsi="宋体" w:cs="宋体"/>
          <w:sz w:val="24"/>
          <w:szCs w:val="24"/>
        </w:rPr>
        <w:t>3.1</w:t>
      </w:r>
      <w:r>
        <w:rPr>
          <w:rFonts w:hint="eastAsia" w:ascii="宋体" w:hAnsi="宋体" w:cs="宋体"/>
          <w:sz w:val="24"/>
          <w:szCs w:val="24"/>
        </w:rPr>
        <w:t>奖惩原则：考核按照奖罚分明原则，每月考核分数满分</w:t>
      </w:r>
      <w:r>
        <w:rPr>
          <w:rFonts w:ascii="宋体" w:hAnsi="宋体" w:cs="宋体"/>
          <w:sz w:val="24"/>
          <w:szCs w:val="24"/>
        </w:rPr>
        <w:t>100</w:t>
      </w:r>
      <w:r>
        <w:rPr>
          <w:rFonts w:hint="eastAsia" w:ascii="宋体" w:hAnsi="宋体" w:cs="宋体"/>
          <w:sz w:val="24"/>
          <w:szCs w:val="24"/>
        </w:rPr>
        <w:t>分。分数低于</w:t>
      </w:r>
      <w:r>
        <w:rPr>
          <w:rFonts w:ascii="宋体" w:hAnsi="宋体" w:cs="宋体"/>
          <w:sz w:val="24"/>
          <w:szCs w:val="24"/>
        </w:rPr>
        <w:t>95</w:t>
      </w:r>
      <w:r>
        <w:rPr>
          <w:rFonts w:hint="eastAsia" w:ascii="宋体" w:hAnsi="宋体" w:cs="宋体"/>
          <w:sz w:val="24"/>
          <w:szCs w:val="24"/>
        </w:rPr>
        <w:t>分、高于</w:t>
      </w:r>
      <w:r>
        <w:rPr>
          <w:rFonts w:ascii="宋体" w:hAnsi="宋体" w:cs="宋体"/>
          <w:sz w:val="24"/>
          <w:szCs w:val="24"/>
        </w:rPr>
        <w:t>90</w:t>
      </w:r>
      <w:r>
        <w:rPr>
          <w:rFonts w:hint="eastAsia" w:ascii="宋体" w:hAnsi="宋体" w:cs="宋体"/>
          <w:sz w:val="24"/>
          <w:szCs w:val="24"/>
        </w:rPr>
        <w:t>分（含</w:t>
      </w:r>
      <w:r>
        <w:rPr>
          <w:rFonts w:ascii="宋体" w:hAnsi="宋体" w:cs="宋体"/>
          <w:sz w:val="24"/>
          <w:szCs w:val="24"/>
        </w:rPr>
        <w:t>90</w:t>
      </w:r>
      <w:r>
        <w:rPr>
          <w:rFonts w:hint="eastAsia" w:ascii="宋体" w:hAnsi="宋体" w:cs="宋体"/>
          <w:sz w:val="24"/>
          <w:szCs w:val="24"/>
        </w:rPr>
        <w:t>分）每</w:t>
      </w:r>
      <w:r>
        <w:rPr>
          <w:rFonts w:ascii="宋体" w:hAnsi="宋体" w:cs="宋体"/>
          <w:sz w:val="24"/>
          <w:szCs w:val="24"/>
        </w:rPr>
        <w:t>1</w:t>
      </w:r>
      <w:r>
        <w:rPr>
          <w:rFonts w:hint="eastAsia" w:ascii="宋体" w:hAnsi="宋体" w:cs="宋体"/>
          <w:sz w:val="24"/>
          <w:szCs w:val="24"/>
        </w:rPr>
        <w:t>分扣</w:t>
      </w:r>
      <w:r>
        <w:rPr>
          <w:rFonts w:ascii="宋体" w:hAnsi="宋体" w:cs="宋体"/>
          <w:sz w:val="24"/>
          <w:szCs w:val="24"/>
        </w:rPr>
        <w:t>2000</w:t>
      </w:r>
      <w:r>
        <w:rPr>
          <w:rFonts w:hint="eastAsia" w:ascii="宋体" w:hAnsi="宋体" w:cs="宋体"/>
          <w:sz w:val="24"/>
          <w:szCs w:val="24"/>
        </w:rPr>
        <w:t>元，低于</w:t>
      </w:r>
      <w:r>
        <w:rPr>
          <w:rFonts w:ascii="宋体" w:hAnsi="宋体" w:cs="宋体"/>
          <w:sz w:val="24"/>
          <w:szCs w:val="24"/>
        </w:rPr>
        <w:t>90</w:t>
      </w:r>
      <w:r>
        <w:rPr>
          <w:rFonts w:hint="eastAsia" w:ascii="宋体" w:hAnsi="宋体" w:cs="宋体"/>
          <w:sz w:val="24"/>
          <w:szCs w:val="24"/>
        </w:rPr>
        <w:t>分每</w:t>
      </w:r>
      <w:r>
        <w:rPr>
          <w:rFonts w:ascii="宋体" w:hAnsi="宋体" w:cs="宋体"/>
          <w:sz w:val="24"/>
          <w:szCs w:val="24"/>
        </w:rPr>
        <w:t>1</w:t>
      </w:r>
      <w:r>
        <w:rPr>
          <w:rFonts w:hint="eastAsia" w:ascii="宋体" w:hAnsi="宋体" w:cs="宋体"/>
          <w:sz w:val="24"/>
          <w:szCs w:val="24"/>
        </w:rPr>
        <w:t>分扣</w:t>
      </w:r>
      <w:r>
        <w:rPr>
          <w:rFonts w:ascii="宋体" w:hAnsi="宋体" w:cs="宋体"/>
          <w:sz w:val="24"/>
          <w:szCs w:val="24"/>
        </w:rPr>
        <w:t>10000</w:t>
      </w:r>
      <w:r>
        <w:rPr>
          <w:rFonts w:hint="eastAsia" w:ascii="宋体" w:hAnsi="宋体" w:cs="宋体"/>
          <w:sz w:val="24"/>
          <w:szCs w:val="24"/>
        </w:rPr>
        <w:t>元；连续两个月或一年累计三个月“低于</w:t>
      </w:r>
      <w:r>
        <w:rPr>
          <w:rFonts w:ascii="宋体" w:hAnsi="宋体" w:cs="宋体"/>
          <w:sz w:val="24"/>
          <w:szCs w:val="24"/>
        </w:rPr>
        <w:t>90</w:t>
      </w:r>
      <w:r>
        <w:rPr>
          <w:rFonts w:hint="eastAsia" w:ascii="宋体" w:hAnsi="宋体" w:cs="宋体"/>
          <w:sz w:val="24"/>
          <w:szCs w:val="24"/>
        </w:rPr>
        <w:t>分”的单位，或被新闻媒体曝光的且不进行整改或整改不到位，采购单位有权解除合同。</w:t>
      </w:r>
    </w:p>
    <w:p>
      <w:pPr>
        <w:snapToGrid w:val="0"/>
        <w:spacing w:line="360" w:lineRule="auto"/>
        <w:ind w:firstLine="480" w:firstLineChars="200"/>
        <w:jc w:val="left"/>
        <w:rPr>
          <w:rFonts w:ascii="宋体" w:cs="宋体"/>
          <w:sz w:val="24"/>
          <w:szCs w:val="24"/>
        </w:rPr>
      </w:pPr>
      <w:r>
        <w:rPr>
          <w:rFonts w:ascii="宋体" w:hAnsi="宋体" w:cs="宋体"/>
          <w:sz w:val="24"/>
          <w:szCs w:val="24"/>
        </w:rPr>
        <w:t>3.2</w:t>
      </w:r>
      <w:r>
        <w:rPr>
          <w:rFonts w:hint="eastAsia" w:ascii="宋体" w:hAnsi="宋体" w:cs="宋体"/>
          <w:sz w:val="24"/>
          <w:szCs w:val="24"/>
        </w:rPr>
        <w:t>采购单位与“不达标”的单位解除合同后，由此造成的损失由原中标单位承担。采购单位有权按相关规定按照评标委员会签署的评审报告推荐中标候选名单排序确定下一候选人为中标人，签订合同，或重新组织招标。</w:t>
      </w:r>
    </w:p>
    <w:p>
      <w:pPr>
        <w:adjustRightInd w:val="0"/>
        <w:snapToGrid w:val="0"/>
        <w:spacing w:beforeLines="50" w:line="380" w:lineRule="exact"/>
        <w:rPr>
          <w:rFonts w:ascii="宋体" w:hAnsi="宋体" w:cs="宋体"/>
          <w:b/>
          <w:sz w:val="24"/>
          <w:szCs w:val="24"/>
        </w:rPr>
      </w:pPr>
      <w:r>
        <w:rPr>
          <w:rFonts w:hint="eastAsia" w:ascii="宋体" w:hAnsi="宋体" w:cs="宋体"/>
          <w:b/>
          <w:sz w:val="24"/>
          <w:szCs w:val="24"/>
        </w:rPr>
        <w:t>附件</w:t>
      </w:r>
      <w:r>
        <w:rPr>
          <w:rFonts w:ascii="宋体" w:hAnsi="宋体" w:cs="宋体"/>
          <w:b/>
          <w:sz w:val="24"/>
          <w:szCs w:val="24"/>
        </w:rPr>
        <w:t>1</w:t>
      </w:r>
    </w:p>
    <w:p>
      <w:pPr>
        <w:adjustRightInd w:val="0"/>
        <w:snapToGrid w:val="0"/>
        <w:spacing w:beforeLines="50" w:line="380" w:lineRule="exact"/>
        <w:jc w:val="center"/>
        <w:rPr>
          <w:rFonts w:ascii="宋体" w:cs="宋体"/>
          <w:b/>
          <w:sz w:val="24"/>
          <w:szCs w:val="24"/>
        </w:rPr>
      </w:pPr>
      <w:r>
        <w:rPr>
          <w:rFonts w:hint="eastAsia" w:ascii="宋体" w:hAnsi="宋体" w:cs="宋体"/>
          <w:b/>
          <w:sz w:val="24"/>
          <w:szCs w:val="24"/>
        </w:rPr>
        <w:t>管理人员和工作人员劳动纪律考核办法</w:t>
      </w:r>
    </w:p>
    <w:p>
      <w:pPr>
        <w:spacing w:line="380" w:lineRule="exact"/>
        <w:jc w:val="center"/>
        <w:rPr>
          <w:rFonts w:ascii="宋体" w:cs="宋体"/>
          <w:b/>
          <w:sz w:val="24"/>
          <w:szCs w:val="24"/>
        </w:rPr>
      </w:pPr>
    </w:p>
    <w:p>
      <w:pPr>
        <w:snapToGrid w:val="0"/>
        <w:spacing w:line="360" w:lineRule="auto"/>
        <w:ind w:firstLine="480" w:firstLineChars="200"/>
        <w:jc w:val="left"/>
        <w:rPr>
          <w:rFonts w:ascii="宋体" w:cs="宋体"/>
          <w:sz w:val="24"/>
          <w:szCs w:val="24"/>
        </w:rPr>
      </w:pPr>
      <w:r>
        <w:rPr>
          <w:rFonts w:hint="eastAsia" w:ascii="宋体" w:hAnsi="宋体" w:cs="宋体"/>
          <w:sz w:val="24"/>
          <w:szCs w:val="24"/>
        </w:rPr>
        <w:t>为更好的落实政府购买服务工作，提高管养服务水平，科学依法安排好员工的工作和休息。经认真研讨，管理人员和工作人员须遵守以下劳动纪律：</w:t>
      </w:r>
    </w:p>
    <w:p>
      <w:pPr>
        <w:snapToGrid w:val="0"/>
        <w:spacing w:line="360" w:lineRule="auto"/>
        <w:ind w:firstLine="480" w:firstLineChars="200"/>
        <w:jc w:val="left"/>
        <w:rPr>
          <w:rFonts w:ascii="宋体" w:cs="宋体"/>
          <w:sz w:val="24"/>
          <w:szCs w:val="24"/>
        </w:rPr>
      </w:pPr>
      <w:r>
        <w:rPr>
          <w:rFonts w:ascii="宋体" w:hAnsi="宋体" w:cs="宋体"/>
          <w:sz w:val="24"/>
          <w:szCs w:val="24"/>
        </w:rPr>
        <w:t>1</w:t>
      </w:r>
      <w:r>
        <w:rPr>
          <w:rFonts w:hint="eastAsia" w:ascii="宋体" w:hAnsi="宋体" w:cs="宋体"/>
          <w:sz w:val="24"/>
          <w:szCs w:val="24"/>
        </w:rPr>
        <w:t>、迟到、早退</w:t>
      </w:r>
      <w:r>
        <w:rPr>
          <w:rFonts w:ascii="宋体" w:hAnsi="宋体" w:cs="宋体"/>
          <w:sz w:val="24"/>
          <w:szCs w:val="24"/>
        </w:rPr>
        <w:t>10</w:t>
      </w:r>
      <w:r>
        <w:rPr>
          <w:rFonts w:hint="eastAsia" w:ascii="宋体" w:hAnsi="宋体" w:cs="宋体"/>
          <w:sz w:val="24"/>
          <w:szCs w:val="24"/>
        </w:rPr>
        <w:t>分钟以内，扣</w:t>
      </w:r>
      <w:r>
        <w:rPr>
          <w:rFonts w:ascii="宋体" w:hAnsi="宋体" w:cs="宋体"/>
          <w:sz w:val="24"/>
          <w:szCs w:val="24"/>
        </w:rPr>
        <w:t>10</w:t>
      </w:r>
      <w:r>
        <w:rPr>
          <w:rFonts w:hint="eastAsia" w:ascii="宋体" w:hAnsi="宋体" w:cs="宋体"/>
          <w:sz w:val="24"/>
          <w:szCs w:val="24"/>
        </w:rPr>
        <w:t>元；超过</w:t>
      </w:r>
      <w:r>
        <w:rPr>
          <w:rFonts w:ascii="宋体" w:hAnsi="宋体" w:cs="宋体"/>
          <w:sz w:val="24"/>
          <w:szCs w:val="24"/>
        </w:rPr>
        <w:t>10</w:t>
      </w:r>
      <w:r>
        <w:rPr>
          <w:rFonts w:hint="eastAsia" w:ascii="宋体" w:hAnsi="宋体" w:cs="宋体"/>
          <w:sz w:val="24"/>
          <w:szCs w:val="24"/>
        </w:rPr>
        <w:t>分钟，扣</w:t>
      </w:r>
      <w:r>
        <w:rPr>
          <w:rFonts w:ascii="宋体" w:hAnsi="宋体" w:cs="宋体"/>
          <w:sz w:val="24"/>
          <w:szCs w:val="24"/>
        </w:rPr>
        <w:t>20</w:t>
      </w:r>
      <w:r>
        <w:rPr>
          <w:rFonts w:hint="eastAsia" w:ascii="宋体" w:hAnsi="宋体" w:cs="宋体"/>
          <w:sz w:val="24"/>
          <w:szCs w:val="24"/>
        </w:rPr>
        <w:t>元；超过半小时，扣</w:t>
      </w:r>
      <w:r>
        <w:rPr>
          <w:rFonts w:ascii="宋体" w:hAnsi="宋体" w:cs="宋体"/>
          <w:sz w:val="24"/>
          <w:szCs w:val="24"/>
        </w:rPr>
        <w:t>30</w:t>
      </w:r>
      <w:r>
        <w:rPr>
          <w:rFonts w:hint="eastAsia" w:ascii="宋体" w:hAnsi="宋体" w:cs="宋体"/>
          <w:sz w:val="24"/>
          <w:szCs w:val="24"/>
        </w:rPr>
        <w:t>元。</w:t>
      </w:r>
    </w:p>
    <w:p>
      <w:pPr>
        <w:snapToGrid w:val="0"/>
        <w:spacing w:line="360" w:lineRule="auto"/>
        <w:ind w:firstLine="480" w:firstLineChars="200"/>
        <w:jc w:val="left"/>
        <w:rPr>
          <w:rFonts w:ascii="宋体" w:cs="宋体"/>
          <w:sz w:val="24"/>
          <w:szCs w:val="24"/>
        </w:rPr>
      </w:pPr>
      <w:r>
        <w:rPr>
          <w:rFonts w:ascii="宋体" w:hAnsi="宋体" w:cs="宋体"/>
          <w:sz w:val="24"/>
          <w:szCs w:val="24"/>
        </w:rPr>
        <w:t>2</w:t>
      </w:r>
      <w:r>
        <w:rPr>
          <w:rFonts w:hint="eastAsia" w:ascii="宋体" w:hAnsi="宋体" w:cs="宋体"/>
          <w:sz w:val="24"/>
          <w:szCs w:val="24"/>
        </w:rPr>
        <w:t>、脱岗：不在本岗位时间超过</w:t>
      </w:r>
      <w:r>
        <w:rPr>
          <w:rFonts w:ascii="宋体" w:hAnsi="宋体" w:cs="宋体"/>
          <w:sz w:val="24"/>
          <w:szCs w:val="24"/>
        </w:rPr>
        <w:t>20</w:t>
      </w:r>
      <w:r>
        <w:rPr>
          <w:rFonts w:hint="eastAsia" w:ascii="宋体" w:hAnsi="宋体" w:cs="宋体"/>
          <w:sz w:val="24"/>
          <w:szCs w:val="24"/>
        </w:rPr>
        <w:t>分钟按脱岗处理，扣当事人</w:t>
      </w:r>
      <w:r>
        <w:rPr>
          <w:rFonts w:ascii="宋体" w:hAnsi="宋体" w:cs="宋体"/>
          <w:sz w:val="24"/>
          <w:szCs w:val="24"/>
        </w:rPr>
        <w:t>10</w:t>
      </w:r>
      <w:r>
        <w:rPr>
          <w:rFonts w:hint="eastAsia" w:ascii="宋体" w:hAnsi="宋体" w:cs="宋体"/>
          <w:sz w:val="24"/>
          <w:szCs w:val="24"/>
        </w:rPr>
        <w:t>元。</w:t>
      </w:r>
    </w:p>
    <w:p>
      <w:pPr>
        <w:snapToGrid w:val="0"/>
        <w:spacing w:line="360" w:lineRule="auto"/>
        <w:ind w:firstLine="480" w:firstLineChars="200"/>
        <w:jc w:val="left"/>
        <w:rPr>
          <w:rFonts w:ascii="宋体" w:cs="宋体"/>
          <w:sz w:val="24"/>
          <w:szCs w:val="24"/>
        </w:rPr>
      </w:pPr>
      <w:r>
        <w:rPr>
          <w:rFonts w:ascii="宋体" w:hAnsi="宋体" w:cs="宋体"/>
          <w:sz w:val="24"/>
          <w:szCs w:val="24"/>
        </w:rPr>
        <w:t>3</w:t>
      </w:r>
      <w:r>
        <w:rPr>
          <w:rFonts w:hint="eastAsia" w:ascii="宋体" w:hAnsi="宋体" w:cs="宋体"/>
          <w:sz w:val="24"/>
          <w:szCs w:val="24"/>
        </w:rPr>
        <w:t>、串岗：工作期间串岗，扣当事人</w:t>
      </w:r>
      <w:r>
        <w:rPr>
          <w:rFonts w:ascii="宋体" w:hAnsi="宋体" w:cs="宋体"/>
          <w:sz w:val="24"/>
          <w:szCs w:val="24"/>
        </w:rPr>
        <w:t>10</w:t>
      </w:r>
      <w:r>
        <w:rPr>
          <w:rFonts w:hint="eastAsia" w:ascii="宋体" w:hAnsi="宋体" w:cs="宋体"/>
          <w:sz w:val="24"/>
          <w:szCs w:val="24"/>
        </w:rPr>
        <w:t>元。</w:t>
      </w:r>
    </w:p>
    <w:p>
      <w:pPr>
        <w:snapToGrid w:val="0"/>
        <w:spacing w:line="360" w:lineRule="auto"/>
        <w:ind w:firstLine="480" w:firstLineChars="200"/>
        <w:jc w:val="left"/>
        <w:rPr>
          <w:rFonts w:ascii="宋体" w:cs="宋体"/>
          <w:sz w:val="24"/>
          <w:szCs w:val="24"/>
        </w:rPr>
      </w:pPr>
      <w:r>
        <w:rPr>
          <w:rFonts w:ascii="宋体" w:hAnsi="宋体" w:cs="宋体"/>
          <w:sz w:val="24"/>
          <w:szCs w:val="24"/>
        </w:rPr>
        <w:t>4</w:t>
      </w:r>
      <w:r>
        <w:rPr>
          <w:rFonts w:hint="eastAsia" w:ascii="宋体" w:hAnsi="宋体" w:cs="宋体"/>
          <w:sz w:val="24"/>
          <w:szCs w:val="24"/>
        </w:rPr>
        <w:t>、上岗未穿标志服，每人次扣</w:t>
      </w:r>
      <w:r>
        <w:rPr>
          <w:rFonts w:ascii="宋体" w:hAnsi="宋体" w:cs="宋体"/>
          <w:sz w:val="24"/>
          <w:szCs w:val="24"/>
        </w:rPr>
        <w:t>10</w:t>
      </w:r>
      <w:r>
        <w:rPr>
          <w:rFonts w:hint="eastAsia" w:ascii="宋体" w:hAnsi="宋体" w:cs="宋体"/>
          <w:sz w:val="24"/>
          <w:szCs w:val="24"/>
        </w:rPr>
        <w:t>元。</w:t>
      </w:r>
    </w:p>
    <w:p>
      <w:pPr>
        <w:snapToGrid w:val="0"/>
        <w:spacing w:line="360" w:lineRule="auto"/>
        <w:ind w:firstLine="480" w:firstLineChars="200"/>
        <w:jc w:val="left"/>
        <w:rPr>
          <w:rFonts w:ascii="宋体" w:cs="宋体"/>
          <w:sz w:val="24"/>
          <w:szCs w:val="24"/>
        </w:rPr>
      </w:pPr>
      <w:r>
        <w:rPr>
          <w:rFonts w:ascii="宋体" w:hAnsi="宋体" w:cs="宋体"/>
          <w:sz w:val="24"/>
          <w:szCs w:val="24"/>
        </w:rPr>
        <w:t>5</w:t>
      </w:r>
      <w:r>
        <w:rPr>
          <w:rFonts w:hint="eastAsia" w:ascii="宋体" w:hAnsi="宋体" w:cs="宋体"/>
          <w:sz w:val="24"/>
          <w:szCs w:val="24"/>
        </w:rPr>
        <w:t>、吵架、骂人、打架：工作人员吵架、骂人、打架，发现一次，每人扣</w:t>
      </w:r>
      <w:r>
        <w:rPr>
          <w:rFonts w:ascii="宋体" w:hAnsi="宋体" w:cs="宋体"/>
          <w:sz w:val="24"/>
          <w:szCs w:val="24"/>
        </w:rPr>
        <w:t>20</w:t>
      </w:r>
      <w:r>
        <w:rPr>
          <w:rFonts w:hint="eastAsia" w:ascii="宋体" w:hAnsi="宋体" w:cs="宋体"/>
          <w:sz w:val="24"/>
          <w:szCs w:val="24"/>
        </w:rPr>
        <w:t>元。</w:t>
      </w:r>
    </w:p>
    <w:p>
      <w:pPr>
        <w:snapToGrid w:val="0"/>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、旷工半天，扣</w:t>
      </w:r>
      <w:r>
        <w:rPr>
          <w:rFonts w:ascii="宋体" w:hAnsi="宋体" w:cs="宋体"/>
          <w:sz w:val="24"/>
          <w:szCs w:val="24"/>
        </w:rPr>
        <w:t>40</w:t>
      </w:r>
      <w:r>
        <w:rPr>
          <w:rFonts w:hint="eastAsia" w:ascii="宋体" w:hAnsi="宋体" w:cs="宋体"/>
          <w:sz w:val="24"/>
          <w:szCs w:val="24"/>
        </w:rPr>
        <w:t>元；一天以上三天以下（不含</w:t>
      </w:r>
      <w:r>
        <w:rPr>
          <w:rFonts w:ascii="宋体" w:hAnsi="宋体" w:cs="宋体"/>
          <w:sz w:val="24"/>
          <w:szCs w:val="24"/>
        </w:rPr>
        <w:t>3</w:t>
      </w:r>
      <w:r>
        <w:rPr>
          <w:rFonts w:hint="eastAsia" w:ascii="宋体" w:hAnsi="宋体" w:cs="宋体"/>
          <w:sz w:val="24"/>
          <w:szCs w:val="24"/>
        </w:rPr>
        <w:t>天），扣甲方应支付乙方人均当天全部费用；三天以上，乙方应及时另行安排工作人员。</w:t>
      </w:r>
    </w:p>
    <w:p>
      <w:pPr>
        <w:snapToGrid w:val="0"/>
        <w:spacing w:line="360" w:lineRule="auto"/>
        <w:ind w:firstLine="480" w:firstLineChars="200"/>
        <w:jc w:val="left"/>
        <w:rPr>
          <w:rFonts w:ascii="宋体" w:cs="宋体"/>
          <w:sz w:val="24"/>
          <w:szCs w:val="24"/>
        </w:rPr>
      </w:pPr>
      <w:r>
        <w:rPr>
          <w:rFonts w:ascii="宋体" w:hAnsi="宋体" w:cs="宋体"/>
          <w:sz w:val="24"/>
          <w:szCs w:val="24"/>
        </w:rPr>
        <w:t>7</w:t>
      </w:r>
      <w:r>
        <w:rPr>
          <w:rFonts w:hint="eastAsia" w:ascii="宋体" w:hAnsi="宋体" w:cs="宋体"/>
          <w:sz w:val="24"/>
          <w:szCs w:val="24"/>
        </w:rPr>
        <w:t>、请假半天，扣</w:t>
      </w:r>
      <w:r>
        <w:rPr>
          <w:rFonts w:ascii="宋体" w:hAnsi="宋体" w:cs="宋体"/>
          <w:sz w:val="24"/>
          <w:szCs w:val="24"/>
        </w:rPr>
        <w:t>20</w:t>
      </w:r>
      <w:r>
        <w:rPr>
          <w:rFonts w:hint="eastAsia" w:ascii="宋体" w:hAnsi="宋体" w:cs="宋体"/>
          <w:sz w:val="24"/>
          <w:szCs w:val="24"/>
        </w:rPr>
        <w:t>元；请假</w:t>
      </w:r>
      <w:r>
        <w:rPr>
          <w:rFonts w:ascii="宋体" w:hAnsi="宋体" w:cs="宋体"/>
          <w:sz w:val="24"/>
          <w:szCs w:val="24"/>
        </w:rPr>
        <w:t>1</w:t>
      </w:r>
      <w:r>
        <w:rPr>
          <w:rFonts w:hint="eastAsia" w:ascii="宋体" w:hAnsi="宋体" w:cs="宋体"/>
          <w:sz w:val="24"/>
          <w:szCs w:val="24"/>
        </w:rPr>
        <w:t>天，扣</w:t>
      </w:r>
      <w:r>
        <w:rPr>
          <w:rFonts w:ascii="宋体" w:hAnsi="宋体" w:cs="宋体"/>
          <w:sz w:val="24"/>
          <w:szCs w:val="24"/>
        </w:rPr>
        <w:t>50</w:t>
      </w:r>
      <w:r>
        <w:rPr>
          <w:rFonts w:hint="eastAsia" w:ascii="宋体" w:hAnsi="宋体" w:cs="宋体"/>
          <w:sz w:val="24"/>
          <w:szCs w:val="24"/>
        </w:rPr>
        <w:t>元；连续请假</w:t>
      </w:r>
      <w:r>
        <w:rPr>
          <w:rFonts w:ascii="宋体" w:hAnsi="宋体" w:cs="宋体"/>
          <w:sz w:val="24"/>
          <w:szCs w:val="24"/>
        </w:rPr>
        <w:t>2-7</w:t>
      </w:r>
      <w:r>
        <w:rPr>
          <w:rFonts w:hint="eastAsia" w:ascii="宋体" w:hAnsi="宋体" w:cs="宋体"/>
          <w:sz w:val="24"/>
          <w:szCs w:val="24"/>
        </w:rPr>
        <w:t>天，扣甲方应支付乙方人均每天全部费用；连续请假</w:t>
      </w:r>
      <w:r>
        <w:rPr>
          <w:rFonts w:ascii="宋体" w:hAnsi="宋体" w:cs="宋体"/>
          <w:sz w:val="24"/>
          <w:szCs w:val="24"/>
        </w:rPr>
        <w:t>8</w:t>
      </w:r>
      <w:r>
        <w:rPr>
          <w:rFonts w:hint="eastAsia" w:ascii="宋体" w:hAnsi="宋体" w:cs="宋体"/>
          <w:sz w:val="24"/>
          <w:szCs w:val="24"/>
        </w:rPr>
        <w:t>天以上，乙方应及时另行安排工作人员。</w:t>
      </w:r>
    </w:p>
    <w:p>
      <w:pPr>
        <w:snapToGrid w:val="0"/>
        <w:spacing w:line="360" w:lineRule="auto"/>
        <w:ind w:firstLine="480" w:firstLineChars="200"/>
        <w:jc w:val="left"/>
        <w:rPr>
          <w:rFonts w:ascii="宋体" w:cs="宋体"/>
          <w:sz w:val="24"/>
          <w:szCs w:val="24"/>
        </w:rPr>
      </w:pPr>
      <w:r>
        <w:rPr>
          <w:rFonts w:ascii="宋体" w:hAnsi="宋体" w:cs="宋体"/>
          <w:sz w:val="24"/>
          <w:szCs w:val="24"/>
        </w:rPr>
        <w:t>8</w:t>
      </w:r>
      <w:r>
        <w:rPr>
          <w:rFonts w:hint="eastAsia" w:ascii="宋体" w:hAnsi="宋体" w:cs="宋体"/>
          <w:sz w:val="24"/>
          <w:szCs w:val="24"/>
        </w:rPr>
        <w:t>、请假</w:t>
      </w:r>
      <w:r>
        <w:rPr>
          <w:rFonts w:ascii="宋体" w:hAnsi="宋体" w:cs="宋体"/>
          <w:sz w:val="24"/>
          <w:szCs w:val="24"/>
        </w:rPr>
        <w:t>1</w:t>
      </w:r>
      <w:r>
        <w:rPr>
          <w:rFonts w:hint="eastAsia" w:ascii="宋体" w:hAnsi="宋体" w:cs="宋体"/>
          <w:sz w:val="24"/>
          <w:szCs w:val="24"/>
        </w:rPr>
        <w:t>天以下需向现场管理人员书面申请，并得到批准；请假</w:t>
      </w:r>
      <w:r>
        <w:rPr>
          <w:rFonts w:ascii="宋体" w:hAnsi="宋体" w:cs="宋体"/>
          <w:sz w:val="24"/>
          <w:szCs w:val="24"/>
        </w:rPr>
        <w:t>2-7</w:t>
      </w:r>
      <w:r>
        <w:rPr>
          <w:rFonts w:hint="eastAsia" w:ascii="宋体" w:hAnsi="宋体" w:cs="宋体"/>
          <w:sz w:val="24"/>
          <w:szCs w:val="24"/>
        </w:rPr>
        <w:t>天需经管理单位批准。</w:t>
      </w:r>
    </w:p>
    <w:p>
      <w:pPr>
        <w:snapToGrid w:val="0"/>
        <w:spacing w:line="360" w:lineRule="auto"/>
        <w:ind w:firstLine="480" w:firstLineChars="200"/>
        <w:jc w:val="left"/>
        <w:rPr>
          <w:rFonts w:ascii="宋体" w:cs="宋体"/>
          <w:sz w:val="24"/>
          <w:szCs w:val="24"/>
        </w:rPr>
      </w:pPr>
      <w:r>
        <w:rPr>
          <w:rFonts w:ascii="宋体" w:hAnsi="宋体" w:cs="宋体"/>
          <w:sz w:val="24"/>
          <w:szCs w:val="24"/>
        </w:rPr>
        <w:t>9</w:t>
      </w:r>
      <w:r>
        <w:rPr>
          <w:rFonts w:hint="eastAsia" w:ascii="宋体" w:hAnsi="宋体" w:cs="宋体"/>
          <w:sz w:val="24"/>
          <w:szCs w:val="24"/>
        </w:rPr>
        <w:t>、每月累计请假</w:t>
      </w:r>
      <w:r>
        <w:rPr>
          <w:rFonts w:ascii="宋体" w:hAnsi="宋体" w:cs="宋体"/>
          <w:sz w:val="24"/>
          <w:szCs w:val="24"/>
        </w:rPr>
        <w:t>10</w:t>
      </w:r>
      <w:r>
        <w:rPr>
          <w:rFonts w:hint="eastAsia" w:ascii="宋体" w:hAnsi="宋体" w:cs="宋体"/>
          <w:sz w:val="24"/>
          <w:szCs w:val="24"/>
        </w:rPr>
        <w:t>天以上（不含</w:t>
      </w:r>
      <w:r>
        <w:rPr>
          <w:rFonts w:ascii="宋体" w:hAnsi="宋体" w:cs="宋体"/>
          <w:sz w:val="24"/>
          <w:szCs w:val="24"/>
        </w:rPr>
        <w:t>10</w:t>
      </w:r>
      <w:r>
        <w:rPr>
          <w:rFonts w:hint="eastAsia" w:ascii="宋体" w:hAnsi="宋体" w:cs="宋体"/>
          <w:sz w:val="24"/>
          <w:szCs w:val="24"/>
        </w:rPr>
        <w:t>天），甲方扣乙方应支付人均每天全部费用，并及时另行安排工作人员。</w:t>
      </w:r>
    </w:p>
    <w:p>
      <w:pPr>
        <w:snapToGrid w:val="0"/>
        <w:spacing w:line="360" w:lineRule="auto"/>
        <w:ind w:firstLine="480" w:firstLineChars="200"/>
        <w:jc w:val="left"/>
        <w:rPr>
          <w:rFonts w:ascii="宋体" w:cs="宋体"/>
          <w:sz w:val="24"/>
          <w:szCs w:val="24"/>
        </w:rPr>
      </w:pPr>
      <w:r>
        <w:rPr>
          <w:rFonts w:ascii="宋体" w:hAnsi="宋体" w:cs="宋体"/>
          <w:sz w:val="24"/>
          <w:szCs w:val="24"/>
        </w:rPr>
        <w:t>10</w:t>
      </w:r>
      <w:r>
        <w:rPr>
          <w:rFonts w:hint="eastAsia" w:ascii="宋体" w:hAnsi="宋体" w:cs="宋体"/>
          <w:sz w:val="24"/>
          <w:szCs w:val="24"/>
        </w:rPr>
        <w:t>、对不服从上级领导和现场管理人员合理安排分配的工作，不能按时保质保量完成工作任务，每次扣扣</w:t>
      </w:r>
      <w:r>
        <w:rPr>
          <w:rFonts w:ascii="宋体" w:hAnsi="宋体" w:cs="宋体"/>
          <w:sz w:val="24"/>
          <w:szCs w:val="24"/>
        </w:rPr>
        <w:t>10</w:t>
      </w:r>
      <w:r>
        <w:rPr>
          <w:rFonts w:hint="eastAsia" w:ascii="宋体" w:hAnsi="宋体" w:cs="宋体"/>
          <w:sz w:val="24"/>
          <w:szCs w:val="24"/>
        </w:rPr>
        <w:t>元，对性质严重将进行停工处理，停工期间按旷工处理。。</w:t>
      </w:r>
    </w:p>
    <w:p>
      <w:pPr>
        <w:snapToGrid w:val="0"/>
        <w:spacing w:line="360" w:lineRule="auto"/>
        <w:ind w:firstLine="480" w:firstLineChars="200"/>
        <w:jc w:val="left"/>
        <w:rPr>
          <w:rFonts w:ascii="宋体" w:cs="宋体"/>
          <w:sz w:val="24"/>
          <w:szCs w:val="24"/>
        </w:rPr>
      </w:pPr>
      <w:r>
        <w:rPr>
          <w:rFonts w:ascii="宋体" w:hAnsi="宋体" w:cs="宋体"/>
          <w:sz w:val="24"/>
          <w:szCs w:val="24"/>
        </w:rPr>
        <w:t>11</w:t>
      </w:r>
      <w:r>
        <w:rPr>
          <w:rFonts w:hint="eastAsia" w:ascii="宋体" w:hAnsi="宋体" w:cs="宋体"/>
          <w:sz w:val="24"/>
          <w:szCs w:val="24"/>
        </w:rPr>
        <w:t>、对谩骂、殴打上级领导和现场管理人员的现象，每次扣</w:t>
      </w:r>
      <w:r>
        <w:rPr>
          <w:rFonts w:ascii="宋体" w:hAnsi="宋体" w:cs="宋体"/>
          <w:sz w:val="24"/>
          <w:szCs w:val="24"/>
        </w:rPr>
        <w:t>100</w:t>
      </w:r>
      <w:r>
        <w:rPr>
          <w:rFonts w:hint="eastAsia" w:ascii="宋体" w:hAnsi="宋体" w:cs="宋体"/>
          <w:sz w:val="24"/>
          <w:szCs w:val="24"/>
        </w:rPr>
        <w:t>元，一切后果自负。</w:t>
      </w:r>
    </w:p>
    <w:p>
      <w:pPr>
        <w:snapToGrid w:val="0"/>
        <w:spacing w:line="360" w:lineRule="auto"/>
        <w:ind w:firstLine="480" w:firstLineChars="200"/>
        <w:jc w:val="left"/>
        <w:rPr>
          <w:rFonts w:ascii="宋体" w:cs="宋体"/>
          <w:sz w:val="24"/>
          <w:szCs w:val="24"/>
        </w:rPr>
      </w:pPr>
      <w:r>
        <w:rPr>
          <w:rFonts w:ascii="宋体" w:hAnsi="宋体" w:cs="宋体"/>
          <w:sz w:val="24"/>
          <w:szCs w:val="24"/>
        </w:rPr>
        <w:t>12</w:t>
      </w:r>
      <w:r>
        <w:rPr>
          <w:rFonts w:hint="eastAsia" w:ascii="宋体" w:hAnsi="宋体" w:cs="宋体"/>
          <w:sz w:val="24"/>
          <w:szCs w:val="24"/>
        </w:rPr>
        <w:t>、凡酒后上岗或酗酒闹事引起的事故，扣</w:t>
      </w:r>
      <w:r>
        <w:rPr>
          <w:rFonts w:ascii="宋体" w:hAnsi="宋体" w:cs="宋体"/>
          <w:sz w:val="24"/>
          <w:szCs w:val="24"/>
        </w:rPr>
        <w:t>100</w:t>
      </w:r>
      <w:r>
        <w:rPr>
          <w:rFonts w:hint="eastAsia" w:ascii="宋体" w:hAnsi="宋体" w:cs="宋体"/>
          <w:sz w:val="24"/>
          <w:szCs w:val="24"/>
        </w:rPr>
        <w:t>元，一切后果自负。</w:t>
      </w:r>
    </w:p>
    <w:p>
      <w:pPr>
        <w:snapToGrid w:val="0"/>
        <w:spacing w:line="360" w:lineRule="auto"/>
        <w:ind w:firstLine="480" w:firstLineChars="200"/>
        <w:jc w:val="left"/>
        <w:rPr>
          <w:rFonts w:ascii="宋体" w:cs="宋体"/>
          <w:sz w:val="24"/>
          <w:szCs w:val="24"/>
        </w:rPr>
      </w:pPr>
      <w:r>
        <w:rPr>
          <w:rFonts w:ascii="宋体" w:hAnsi="宋体" w:cs="宋体"/>
          <w:sz w:val="24"/>
          <w:szCs w:val="24"/>
        </w:rPr>
        <w:t>13</w:t>
      </w:r>
      <w:r>
        <w:rPr>
          <w:rFonts w:hint="eastAsia" w:ascii="宋体" w:hAnsi="宋体" w:cs="宋体"/>
          <w:sz w:val="24"/>
          <w:szCs w:val="24"/>
        </w:rPr>
        <w:t>、甲方现场管理人员有权要求乙方调整工作人员。</w:t>
      </w:r>
    </w:p>
    <w:p>
      <w:pPr>
        <w:snapToGrid w:val="0"/>
        <w:spacing w:line="360" w:lineRule="auto"/>
        <w:ind w:firstLine="480" w:firstLineChars="200"/>
        <w:jc w:val="left"/>
        <w:rPr>
          <w:rFonts w:ascii="宋体" w:cs="宋体"/>
          <w:sz w:val="24"/>
          <w:szCs w:val="24"/>
        </w:rPr>
      </w:pPr>
      <w:r>
        <w:rPr>
          <w:rFonts w:ascii="宋体" w:hAnsi="宋体" w:cs="宋体"/>
          <w:sz w:val="24"/>
          <w:szCs w:val="24"/>
        </w:rPr>
        <w:t>14</w:t>
      </w:r>
      <w:r>
        <w:rPr>
          <w:rFonts w:hint="eastAsia" w:ascii="宋体" w:hAnsi="宋体" w:cs="宋体"/>
          <w:sz w:val="24"/>
          <w:szCs w:val="24"/>
        </w:rPr>
        <w:t>、甲方管理人员应以身作则，认真遵守以上劳动纪律，因工作失误，造成重大影响，对当事人进行通报批评，扣罚</w:t>
      </w:r>
      <w:r>
        <w:rPr>
          <w:rFonts w:ascii="宋体" w:hAnsi="宋体" w:cs="宋体"/>
          <w:sz w:val="24"/>
          <w:szCs w:val="24"/>
        </w:rPr>
        <w:t>100</w:t>
      </w:r>
      <w:r>
        <w:rPr>
          <w:rFonts w:hint="eastAsia" w:ascii="宋体" w:hAnsi="宋体" w:cs="宋体"/>
          <w:sz w:val="24"/>
          <w:szCs w:val="24"/>
        </w:rPr>
        <w:t>元。甲方管理人员徇私舞弊，涉嫌违法犯罪移交司法机关处理。</w:t>
      </w:r>
    </w:p>
    <w:p>
      <w:pPr>
        <w:snapToGrid w:val="0"/>
        <w:spacing w:line="360" w:lineRule="auto"/>
        <w:ind w:firstLine="480" w:firstLineChars="200"/>
        <w:jc w:val="left"/>
        <w:rPr>
          <w:rFonts w:ascii="宋体" w:cs="宋体"/>
          <w:sz w:val="24"/>
          <w:szCs w:val="24"/>
        </w:rPr>
      </w:pPr>
      <w:r>
        <w:rPr>
          <w:rFonts w:hint="eastAsia" w:ascii="宋体" w:hAnsi="宋体" w:cs="宋体"/>
          <w:sz w:val="24"/>
          <w:szCs w:val="24"/>
        </w:rPr>
        <w:t>中标人管理人员和工作人员违反以上劳动纪律涉及到扣款的，采购人直接从中标人当月服务费中扣除。</w:t>
      </w:r>
    </w:p>
    <w:p>
      <w:pPr>
        <w:snapToGrid w:val="0"/>
        <w:spacing w:line="360" w:lineRule="auto"/>
        <w:ind w:firstLine="480" w:firstLineChars="200"/>
        <w:jc w:val="left"/>
        <w:rPr>
          <w:rFonts w:ascii="宋体" w:cs="宋体"/>
          <w:sz w:val="24"/>
          <w:szCs w:val="24"/>
        </w:rPr>
      </w:pPr>
      <w:r>
        <w:rPr>
          <w:rFonts w:hint="eastAsia" w:ascii="宋体" w:hAnsi="宋体" w:cs="宋体"/>
          <w:sz w:val="24"/>
          <w:szCs w:val="24"/>
        </w:rPr>
        <w:t>本办法和考核细则并行使用。</w:t>
      </w:r>
    </w:p>
    <w:p>
      <w:pPr>
        <w:snapToGrid w:val="0"/>
        <w:spacing w:line="360" w:lineRule="auto"/>
        <w:ind w:firstLine="480" w:firstLineChars="200"/>
        <w:jc w:val="left"/>
        <w:rPr>
          <w:rFonts w:ascii="宋体" w:cs="宋体"/>
          <w:sz w:val="24"/>
          <w:szCs w:val="24"/>
        </w:rPr>
      </w:pPr>
    </w:p>
    <w:p>
      <w:pPr>
        <w:adjustRightInd w:val="0"/>
        <w:snapToGrid w:val="0"/>
        <w:spacing w:beforeLines="50" w:line="380" w:lineRule="exact"/>
        <w:rPr>
          <w:rFonts w:hint="eastAsia" w:ascii="宋体" w:hAnsi="宋体" w:cs="宋体"/>
          <w:b/>
          <w:sz w:val="24"/>
          <w:szCs w:val="24"/>
        </w:rPr>
      </w:pPr>
    </w:p>
    <w:p>
      <w:pPr>
        <w:adjustRightInd w:val="0"/>
        <w:snapToGrid w:val="0"/>
        <w:spacing w:beforeLines="50" w:line="380" w:lineRule="exact"/>
        <w:rPr>
          <w:rFonts w:hint="eastAsia" w:ascii="宋体" w:hAnsi="宋体" w:cs="宋体"/>
          <w:b/>
          <w:sz w:val="24"/>
          <w:szCs w:val="24"/>
        </w:rPr>
      </w:pPr>
    </w:p>
    <w:p>
      <w:pPr>
        <w:adjustRightInd w:val="0"/>
        <w:snapToGrid w:val="0"/>
        <w:spacing w:beforeLines="50" w:line="380" w:lineRule="exact"/>
        <w:rPr>
          <w:rFonts w:hint="eastAsia" w:ascii="宋体" w:hAnsi="宋体" w:cs="宋体"/>
          <w:b/>
          <w:sz w:val="24"/>
          <w:szCs w:val="24"/>
        </w:rPr>
      </w:pPr>
    </w:p>
    <w:p>
      <w:pPr>
        <w:adjustRightInd w:val="0"/>
        <w:snapToGrid w:val="0"/>
        <w:spacing w:beforeLines="50" w:line="380" w:lineRule="exact"/>
        <w:rPr>
          <w:rFonts w:hint="eastAsia" w:ascii="宋体" w:hAnsi="宋体" w:cs="宋体"/>
          <w:b/>
          <w:sz w:val="24"/>
          <w:szCs w:val="24"/>
        </w:rPr>
      </w:pPr>
    </w:p>
    <w:p>
      <w:pPr>
        <w:adjustRightInd w:val="0"/>
        <w:snapToGrid w:val="0"/>
        <w:spacing w:beforeLines="50" w:line="380" w:lineRule="exact"/>
        <w:rPr>
          <w:rFonts w:hint="eastAsia" w:ascii="宋体" w:hAnsi="宋体" w:cs="宋体"/>
          <w:b/>
          <w:sz w:val="24"/>
          <w:szCs w:val="24"/>
        </w:rPr>
      </w:pPr>
    </w:p>
    <w:p>
      <w:pPr>
        <w:adjustRightInd w:val="0"/>
        <w:snapToGrid w:val="0"/>
        <w:spacing w:beforeLines="50" w:line="380" w:lineRule="exact"/>
        <w:rPr>
          <w:rFonts w:hint="eastAsia" w:ascii="宋体" w:hAnsi="宋体" w:cs="宋体"/>
          <w:b/>
          <w:sz w:val="24"/>
          <w:szCs w:val="24"/>
        </w:rPr>
      </w:pPr>
    </w:p>
    <w:p>
      <w:pPr>
        <w:adjustRightInd w:val="0"/>
        <w:snapToGrid w:val="0"/>
        <w:spacing w:beforeLines="50" w:line="380" w:lineRule="exact"/>
        <w:rPr>
          <w:rFonts w:ascii="宋体" w:hAnsi="宋体" w:cs="宋体"/>
          <w:b/>
          <w:sz w:val="24"/>
          <w:szCs w:val="24"/>
        </w:rPr>
      </w:pPr>
      <w:r>
        <w:rPr>
          <w:rFonts w:hint="eastAsia" w:ascii="宋体" w:hAnsi="宋体" w:cs="宋体"/>
          <w:b/>
          <w:sz w:val="24"/>
          <w:szCs w:val="24"/>
        </w:rPr>
        <w:t>附件</w:t>
      </w:r>
      <w:r>
        <w:rPr>
          <w:rFonts w:ascii="宋体" w:hAnsi="宋体" w:cs="宋体"/>
          <w:b/>
          <w:sz w:val="24"/>
          <w:szCs w:val="24"/>
        </w:rPr>
        <w:t>2</w:t>
      </w:r>
    </w:p>
    <w:p>
      <w:pPr>
        <w:spacing w:before="100" w:beforeAutospacing="1" w:after="100" w:afterAutospacing="1" w:line="270" w:lineRule="atLeast"/>
        <w:jc w:val="center"/>
        <w:rPr>
          <w:rFonts w:ascii="宋体" w:cs="宋体"/>
          <w:b/>
          <w:bCs/>
          <w:sz w:val="24"/>
          <w:szCs w:val="24"/>
        </w:rPr>
      </w:pPr>
      <w:r>
        <w:rPr>
          <w:rFonts w:hint="eastAsia" w:ascii="宋体" w:hAnsi="宋体" w:cs="宋体"/>
          <w:b/>
          <w:bCs/>
          <w:sz w:val="24"/>
          <w:szCs w:val="24"/>
        </w:rPr>
        <w:t>公园绿化养护和卫生保洁考核细则</w:t>
      </w:r>
    </w:p>
    <w:p>
      <w:pPr>
        <w:spacing w:before="100" w:beforeAutospacing="1" w:after="100" w:afterAutospacing="1" w:line="270" w:lineRule="atLeast"/>
        <w:jc w:val="left"/>
        <w:rPr>
          <w:rFonts w:ascii="宋体" w:cs="宋体"/>
          <w:sz w:val="24"/>
          <w:szCs w:val="24"/>
        </w:rPr>
      </w:pPr>
      <w:r>
        <w:rPr>
          <w:rFonts w:hint="eastAsia" w:ascii="宋体" w:hAnsi="宋体" w:cs="宋体"/>
          <w:sz w:val="24"/>
          <w:szCs w:val="24"/>
        </w:rPr>
        <w:t>绿地名称：</w:t>
      </w:r>
      <w:r>
        <w:rPr>
          <w:rFonts w:ascii="宋体" w:cs="宋体"/>
          <w:sz w:val="24"/>
          <w:szCs w:val="24"/>
        </w:rPr>
        <w:t>                   </w:t>
      </w:r>
      <w:r>
        <w:rPr>
          <w:rFonts w:hint="eastAsia" w:ascii="宋体" w:hAnsi="宋体" w:cs="宋体"/>
          <w:sz w:val="24"/>
          <w:szCs w:val="24"/>
        </w:rPr>
        <w:t>养护等级</w:t>
      </w:r>
      <w:r>
        <w:rPr>
          <w:rFonts w:ascii="宋体" w:hAnsi="宋体" w:cs="宋体"/>
          <w:sz w:val="24"/>
          <w:szCs w:val="24"/>
        </w:rPr>
        <w:t xml:space="preserve"> </w:t>
      </w:r>
      <w:r>
        <w:rPr>
          <w:rFonts w:hint="eastAsia" w:ascii="宋体" w:hAnsi="宋体" w:cs="宋体"/>
          <w:sz w:val="24"/>
          <w:szCs w:val="24"/>
        </w:rPr>
        <w:t>：</w:t>
      </w:r>
    </w:p>
    <w:tbl>
      <w:tblPr>
        <w:tblStyle w:val="23"/>
        <w:tblW w:w="10479" w:type="dxa"/>
        <w:jc w:val="center"/>
        <w:tblLayout w:type="fixed"/>
        <w:tblCellMar>
          <w:top w:w="0" w:type="dxa"/>
          <w:left w:w="0" w:type="dxa"/>
          <w:bottom w:w="0" w:type="dxa"/>
          <w:right w:w="0" w:type="dxa"/>
        </w:tblCellMar>
      </w:tblPr>
      <w:tblGrid>
        <w:gridCol w:w="711"/>
        <w:gridCol w:w="3828"/>
        <w:gridCol w:w="688"/>
        <w:gridCol w:w="3992"/>
        <w:gridCol w:w="1260"/>
      </w:tblGrid>
      <w:tr>
        <w:tblPrEx>
          <w:tblCellMar>
            <w:top w:w="0" w:type="dxa"/>
            <w:left w:w="0" w:type="dxa"/>
            <w:bottom w:w="0" w:type="dxa"/>
            <w:right w:w="0" w:type="dxa"/>
          </w:tblCellMar>
        </w:tblPrEx>
        <w:trPr>
          <w:trHeight w:val="357" w:hRule="atLeast"/>
          <w:jc w:val="center"/>
        </w:trPr>
        <w:tc>
          <w:tcPr>
            <w:tcW w:w="711"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cs="宋体"/>
                <w:sz w:val="24"/>
                <w:szCs w:val="24"/>
              </w:rPr>
            </w:pPr>
            <w:r>
              <w:rPr>
                <w:rFonts w:hint="eastAsia" w:ascii="宋体" w:hAnsi="宋体" w:cs="宋体"/>
                <w:sz w:val="24"/>
                <w:szCs w:val="24"/>
              </w:rPr>
              <w:t>序</w:t>
            </w:r>
          </w:p>
          <w:p>
            <w:pPr>
              <w:spacing w:before="100" w:beforeAutospacing="1" w:after="100" w:afterAutospacing="1"/>
              <w:jc w:val="center"/>
              <w:rPr>
                <w:rFonts w:ascii="宋体" w:cs="宋体"/>
                <w:sz w:val="24"/>
                <w:szCs w:val="24"/>
              </w:rPr>
            </w:pPr>
            <w:r>
              <w:rPr>
                <w:rFonts w:hint="eastAsia" w:ascii="宋体" w:hAnsi="宋体" w:cs="宋体"/>
                <w:sz w:val="24"/>
                <w:szCs w:val="24"/>
              </w:rPr>
              <w:t>号</w:t>
            </w:r>
          </w:p>
        </w:tc>
        <w:tc>
          <w:tcPr>
            <w:tcW w:w="382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cs="宋体"/>
                <w:sz w:val="24"/>
                <w:szCs w:val="24"/>
              </w:rPr>
            </w:pPr>
            <w:r>
              <w:rPr>
                <w:rFonts w:hint="eastAsia" w:ascii="宋体" w:hAnsi="宋体" w:cs="宋体"/>
                <w:sz w:val="24"/>
                <w:szCs w:val="24"/>
              </w:rPr>
              <w:t>考核标准</w:t>
            </w:r>
          </w:p>
        </w:tc>
        <w:tc>
          <w:tcPr>
            <w:tcW w:w="68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cs="宋体"/>
                <w:sz w:val="24"/>
                <w:szCs w:val="24"/>
              </w:rPr>
            </w:pPr>
            <w:r>
              <w:rPr>
                <w:rFonts w:hint="eastAsia" w:ascii="宋体" w:hAnsi="宋体" w:cs="宋体"/>
                <w:sz w:val="24"/>
                <w:szCs w:val="24"/>
              </w:rPr>
              <w:t>标准分</w:t>
            </w:r>
          </w:p>
        </w:tc>
        <w:tc>
          <w:tcPr>
            <w:tcW w:w="399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cs="宋体"/>
                <w:sz w:val="24"/>
                <w:szCs w:val="24"/>
              </w:rPr>
            </w:pPr>
            <w:r>
              <w:rPr>
                <w:rFonts w:hint="eastAsia" w:ascii="宋体" w:hAnsi="宋体" w:cs="宋体"/>
                <w:sz w:val="24"/>
                <w:szCs w:val="24"/>
              </w:rPr>
              <w:t>考核办法</w:t>
            </w:r>
          </w:p>
        </w:tc>
        <w:tc>
          <w:tcPr>
            <w:tcW w:w="1260"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cs="宋体"/>
                <w:sz w:val="24"/>
                <w:szCs w:val="24"/>
              </w:rPr>
            </w:pPr>
            <w:r>
              <w:rPr>
                <w:rFonts w:hint="eastAsia" w:ascii="宋体" w:hAnsi="宋体" w:cs="宋体"/>
                <w:sz w:val="24"/>
                <w:szCs w:val="24"/>
              </w:rPr>
              <w:t>实际得分</w:t>
            </w:r>
          </w:p>
        </w:tc>
      </w:tr>
      <w:tr>
        <w:tblPrEx>
          <w:tblCellMar>
            <w:top w:w="0" w:type="dxa"/>
            <w:left w:w="0" w:type="dxa"/>
            <w:bottom w:w="0" w:type="dxa"/>
            <w:right w:w="0" w:type="dxa"/>
          </w:tblCellMar>
        </w:tblPrEx>
        <w:trPr>
          <w:trHeight w:val="357" w:hRule="atLeast"/>
          <w:jc w:val="center"/>
        </w:trPr>
        <w:tc>
          <w:tcPr>
            <w:tcW w:w="711"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szCs w:val="24"/>
              </w:rPr>
            </w:pPr>
          </w:p>
        </w:tc>
        <w:tc>
          <w:tcPr>
            <w:tcW w:w="3828" w:type="dxa"/>
            <w:vMerge w:val="continue"/>
            <w:tcBorders>
              <w:top w:val="single" w:color="auto" w:sz="8" w:space="0"/>
              <w:left w:val="nil"/>
              <w:bottom w:val="single" w:color="auto" w:sz="8" w:space="0"/>
              <w:right w:val="single" w:color="auto" w:sz="8" w:space="0"/>
            </w:tcBorders>
            <w:vAlign w:val="center"/>
          </w:tcPr>
          <w:p>
            <w:pPr>
              <w:jc w:val="left"/>
              <w:rPr>
                <w:rFonts w:ascii="宋体" w:cs="宋体"/>
                <w:sz w:val="24"/>
                <w:szCs w:val="24"/>
              </w:rPr>
            </w:pPr>
          </w:p>
        </w:tc>
        <w:tc>
          <w:tcPr>
            <w:tcW w:w="688" w:type="dxa"/>
            <w:vMerge w:val="continue"/>
            <w:tcBorders>
              <w:top w:val="single" w:color="auto" w:sz="8" w:space="0"/>
              <w:left w:val="nil"/>
              <w:bottom w:val="single" w:color="auto" w:sz="8" w:space="0"/>
              <w:right w:val="single" w:color="auto" w:sz="8" w:space="0"/>
            </w:tcBorders>
            <w:vAlign w:val="center"/>
          </w:tcPr>
          <w:p>
            <w:pPr>
              <w:jc w:val="left"/>
              <w:rPr>
                <w:rFonts w:ascii="宋体" w:cs="宋体"/>
                <w:sz w:val="24"/>
                <w:szCs w:val="24"/>
              </w:rPr>
            </w:pPr>
          </w:p>
        </w:tc>
        <w:tc>
          <w:tcPr>
            <w:tcW w:w="3992" w:type="dxa"/>
            <w:vMerge w:val="continue"/>
            <w:tcBorders>
              <w:top w:val="single" w:color="auto" w:sz="8" w:space="0"/>
              <w:left w:val="nil"/>
              <w:bottom w:val="single" w:color="auto" w:sz="8" w:space="0"/>
              <w:right w:val="single" w:color="auto" w:sz="8" w:space="0"/>
            </w:tcBorders>
            <w:vAlign w:val="center"/>
          </w:tcPr>
          <w:p>
            <w:pPr>
              <w:jc w:val="left"/>
              <w:rPr>
                <w:rFonts w:ascii="宋体" w:cs="宋体"/>
                <w:sz w:val="24"/>
                <w:szCs w:val="24"/>
              </w:rPr>
            </w:pPr>
          </w:p>
        </w:tc>
        <w:tc>
          <w:tcPr>
            <w:tcW w:w="1260" w:type="dxa"/>
            <w:vMerge w:val="continue"/>
            <w:tcBorders>
              <w:top w:val="single" w:color="auto" w:sz="8" w:space="0"/>
              <w:left w:val="nil"/>
              <w:bottom w:val="single" w:color="000000" w:sz="8" w:space="0"/>
              <w:right w:val="single" w:color="auto" w:sz="8" w:space="0"/>
            </w:tcBorders>
            <w:vAlign w:val="center"/>
          </w:tcPr>
          <w:p>
            <w:pPr>
              <w:jc w:val="left"/>
              <w:rPr>
                <w:rFonts w:ascii="宋体" w:cs="宋体"/>
                <w:sz w:val="24"/>
                <w:szCs w:val="24"/>
              </w:rPr>
            </w:pPr>
          </w:p>
        </w:tc>
      </w:tr>
      <w:tr>
        <w:tblPrEx>
          <w:tblCellMar>
            <w:top w:w="0" w:type="dxa"/>
            <w:left w:w="0" w:type="dxa"/>
            <w:bottom w:w="0" w:type="dxa"/>
            <w:right w:w="0" w:type="dxa"/>
          </w:tblCellMar>
        </w:tblPrEx>
        <w:trPr>
          <w:trHeight w:val="1253" w:hRule="atLeast"/>
          <w:jc w:val="center"/>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管理</w:t>
            </w:r>
            <w:r>
              <w:rPr>
                <w:rFonts w:ascii="宋体" w:hAnsi="宋体" w:cs="宋体"/>
                <w:sz w:val="24"/>
                <w:szCs w:val="24"/>
              </w:rPr>
              <w:t>(5</w:t>
            </w:r>
            <w:r>
              <w:rPr>
                <w:rFonts w:hint="eastAsia" w:ascii="宋体" w:hAnsi="宋体" w:cs="宋体"/>
                <w:sz w:val="24"/>
                <w:szCs w:val="24"/>
              </w:rPr>
              <w:t>分</w:t>
            </w:r>
            <w:r>
              <w:rPr>
                <w:rFonts w:ascii="宋体" w:hAnsi="宋体" w:cs="宋体"/>
                <w:sz w:val="24"/>
                <w:szCs w:val="24"/>
              </w:rPr>
              <w:t>)</w:t>
            </w:r>
          </w:p>
        </w:tc>
        <w:tc>
          <w:tcPr>
            <w:tcW w:w="3828" w:type="dxa"/>
            <w:tcBorders>
              <w:top w:val="nil"/>
              <w:left w:val="nil"/>
              <w:bottom w:val="single" w:color="auto" w:sz="8" w:space="0"/>
              <w:right w:val="single" w:color="000000"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统一工作服，着装得体，干净整洁。遵守劳动纪律，按时上下班，无迟到、早退、脱岗、上班不作为现象。</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cs="宋体"/>
                <w:sz w:val="24"/>
                <w:szCs w:val="24"/>
              </w:rPr>
            </w:pPr>
            <w:r>
              <w:rPr>
                <w:rFonts w:ascii="宋体" w:hAnsi="宋体" w:cs="宋体"/>
                <w:sz w:val="24"/>
                <w:szCs w:val="24"/>
              </w:rPr>
              <w:t>2</w:t>
            </w:r>
          </w:p>
        </w:tc>
        <w:tc>
          <w:tcPr>
            <w:tcW w:w="399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若有违反规定，发现每人次扣</w:t>
            </w:r>
            <w:r>
              <w:rPr>
                <w:rFonts w:ascii="宋体" w:hAnsi="宋体" w:cs="宋体"/>
                <w:sz w:val="24"/>
                <w:szCs w:val="24"/>
              </w:rPr>
              <w:t>1</w:t>
            </w:r>
            <w:r>
              <w:rPr>
                <w:rFonts w:hint="eastAsia" w:ascii="宋体" w:hAnsi="宋体" w:cs="宋体"/>
                <w:sz w:val="24"/>
                <w:szCs w:val="24"/>
              </w:rPr>
              <w:t>分。</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　</w:t>
            </w:r>
          </w:p>
        </w:tc>
      </w:tr>
      <w:tr>
        <w:tblPrEx>
          <w:tblCellMar>
            <w:top w:w="0" w:type="dxa"/>
            <w:left w:w="0" w:type="dxa"/>
            <w:bottom w:w="0" w:type="dxa"/>
            <w:right w:w="0" w:type="dxa"/>
          </w:tblCellMar>
        </w:tblPrEx>
        <w:trPr>
          <w:trHeight w:val="860" w:hRule="atLeast"/>
          <w:jc w:val="center"/>
        </w:trPr>
        <w:tc>
          <w:tcPr>
            <w:tcW w:w="711" w:type="dxa"/>
            <w:vMerge w:val="continue"/>
            <w:tcBorders>
              <w:left w:val="single" w:color="auto" w:sz="8" w:space="0"/>
              <w:right w:val="single" w:color="auto" w:sz="8" w:space="0"/>
            </w:tcBorders>
            <w:vAlign w:val="center"/>
          </w:tcPr>
          <w:p>
            <w:pPr>
              <w:jc w:val="center"/>
              <w:rPr>
                <w:rFonts w:ascii="宋体" w:cs="宋体"/>
                <w:sz w:val="24"/>
                <w:szCs w:val="24"/>
              </w:rPr>
            </w:pPr>
          </w:p>
        </w:tc>
        <w:tc>
          <w:tcPr>
            <w:tcW w:w="3828" w:type="dxa"/>
            <w:tcBorders>
              <w:top w:val="nil"/>
              <w:left w:val="nil"/>
              <w:bottom w:val="single" w:color="auto" w:sz="4" w:space="0"/>
              <w:right w:val="single" w:color="000000"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公司主要负责人须参加管理部门通知的会议、考核。</w:t>
            </w:r>
          </w:p>
        </w:tc>
        <w:tc>
          <w:tcPr>
            <w:tcW w:w="688" w:type="dxa"/>
            <w:tcBorders>
              <w:top w:val="nil"/>
              <w:left w:val="nil"/>
              <w:bottom w:val="single" w:color="auto" w:sz="4"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cs="宋体"/>
                <w:sz w:val="24"/>
                <w:szCs w:val="24"/>
              </w:rPr>
            </w:pPr>
            <w:r>
              <w:rPr>
                <w:rFonts w:ascii="宋体" w:hAnsi="宋体" w:cs="宋体"/>
                <w:sz w:val="24"/>
                <w:szCs w:val="24"/>
              </w:rPr>
              <w:t>2</w:t>
            </w:r>
          </w:p>
        </w:tc>
        <w:tc>
          <w:tcPr>
            <w:tcW w:w="3992" w:type="dxa"/>
            <w:tcBorders>
              <w:top w:val="nil"/>
              <w:left w:val="nil"/>
              <w:bottom w:val="single" w:color="auto" w:sz="4"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主要负责人未参加一次扣</w:t>
            </w:r>
            <w:r>
              <w:rPr>
                <w:rFonts w:ascii="宋体" w:hAnsi="宋体" w:cs="宋体"/>
                <w:sz w:val="24"/>
                <w:szCs w:val="24"/>
              </w:rPr>
              <w:t>1</w:t>
            </w:r>
            <w:r>
              <w:rPr>
                <w:rFonts w:hint="eastAsia" w:ascii="宋体" w:hAnsi="宋体" w:cs="宋体"/>
                <w:sz w:val="24"/>
                <w:szCs w:val="24"/>
              </w:rPr>
              <w:t>分。</w:t>
            </w:r>
          </w:p>
        </w:tc>
        <w:tc>
          <w:tcPr>
            <w:tcW w:w="1260" w:type="dxa"/>
            <w:tcBorders>
              <w:top w:val="nil"/>
              <w:left w:val="nil"/>
              <w:bottom w:val="single" w:color="auto" w:sz="4"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　</w:t>
            </w:r>
          </w:p>
        </w:tc>
      </w:tr>
      <w:tr>
        <w:tblPrEx>
          <w:tblCellMar>
            <w:top w:w="0" w:type="dxa"/>
            <w:left w:w="0" w:type="dxa"/>
            <w:bottom w:w="0" w:type="dxa"/>
            <w:right w:w="0" w:type="dxa"/>
          </w:tblCellMar>
        </w:tblPrEx>
        <w:trPr>
          <w:trHeight w:val="585" w:hRule="atLeast"/>
          <w:jc w:val="center"/>
        </w:trPr>
        <w:tc>
          <w:tcPr>
            <w:tcW w:w="711" w:type="dxa"/>
            <w:vMerge w:val="continue"/>
            <w:tcBorders>
              <w:left w:val="single" w:color="auto" w:sz="8" w:space="0"/>
              <w:bottom w:val="single" w:color="auto" w:sz="8" w:space="0"/>
              <w:right w:val="single" w:color="auto" w:sz="8" w:space="0"/>
            </w:tcBorders>
            <w:vAlign w:val="center"/>
          </w:tcPr>
          <w:p>
            <w:pPr>
              <w:jc w:val="center"/>
              <w:rPr>
                <w:rFonts w:ascii="宋体" w:cs="宋体"/>
                <w:sz w:val="24"/>
                <w:szCs w:val="24"/>
              </w:rPr>
            </w:pPr>
          </w:p>
        </w:tc>
        <w:tc>
          <w:tcPr>
            <w:tcW w:w="3828" w:type="dxa"/>
            <w:tcBorders>
              <w:top w:val="single" w:color="auto" w:sz="4" w:space="0"/>
              <w:left w:val="nil"/>
              <w:bottom w:val="single" w:color="auto" w:sz="8" w:space="0"/>
              <w:right w:val="single" w:color="000000"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项目负责人必须保证在岗履职，应该做好日常工作分配，及时解决突发事件，妥善解决问题。</w:t>
            </w:r>
          </w:p>
        </w:tc>
        <w:tc>
          <w:tcPr>
            <w:tcW w:w="68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cs="宋体"/>
                <w:sz w:val="24"/>
                <w:szCs w:val="24"/>
              </w:rPr>
            </w:pPr>
            <w:r>
              <w:rPr>
                <w:rFonts w:ascii="宋体" w:hAnsi="宋体" w:cs="宋体"/>
                <w:sz w:val="24"/>
                <w:szCs w:val="24"/>
              </w:rPr>
              <w:t>1</w:t>
            </w:r>
          </w:p>
        </w:tc>
        <w:tc>
          <w:tcPr>
            <w:tcW w:w="39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项目负责人必须保证在岗履职，缺岗扣</w:t>
            </w:r>
            <w:r>
              <w:rPr>
                <w:rFonts w:ascii="宋体" w:hAnsi="宋体" w:cs="宋体"/>
                <w:sz w:val="24"/>
                <w:szCs w:val="24"/>
              </w:rPr>
              <w:t xml:space="preserve"> 3</w:t>
            </w:r>
            <w:r>
              <w:rPr>
                <w:rFonts w:hint="eastAsia" w:ascii="宋体" w:hAnsi="宋体" w:cs="宋体"/>
                <w:sz w:val="24"/>
                <w:szCs w:val="24"/>
              </w:rPr>
              <w:t>分；应该做好日常工作分配，及时解决突发事件，不能妥善解决问题，对单位造成影响的，每次扣</w:t>
            </w:r>
            <w:r>
              <w:rPr>
                <w:rFonts w:ascii="宋体" w:hAnsi="宋体" w:cs="宋体"/>
                <w:sz w:val="24"/>
                <w:szCs w:val="24"/>
              </w:rPr>
              <w:t>3</w:t>
            </w:r>
            <w:r>
              <w:rPr>
                <w:rFonts w:hint="eastAsia" w:ascii="宋体" w:hAnsi="宋体" w:cs="宋体"/>
                <w:sz w:val="24"/>
                <w:szCs w:val="24"/>
              </w:rPr>
              <w:t>分。</w:t>
            </w:r>
          </w:p>
        </w:tc>
        <w:tc>
          <w:tcPr>
            <w:tcW w:w="126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p>
        </w:tc>
      </w:tr>
      <w:tr>
        <w:tblPrEx>
          <w:tblCellMar>
            <w:top w:w="0" w:type="dxa"/>
            <w:left w:w="0" w:type="dxa"/>
            <w:bottom w:w="0" w:type="dxa"/>
            <w:right w:w="0" w:type="dxa"/>
          </w:tblCellMar>
        </w:tblPrEx>
        <w:trPr>
          <w:trHeight w:val="1453" w:hRule="atLeast"/>
          <w:jc w:val="center"/>
        </w:trPr>
        <w:tc>
          <w:tcPr>
            <w:tcW w:w="71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cs="宋体"/>
                <w:sz w:val="24"/>
                <w:szCs w:val="24"/>
              </w:rPr>
            </w:pPr>
            <w:r>
              <w:rPr>
                <w:rFonts w:hint="eastAsia" w:ascii="宋体" w:hAnsi="宋体" w:cs="宋体"/>
                <w:sz w:val="24"/>
                <w:szCs w:val="24"/>
              </w:rPr>
              <w:t>卫生保洁（</w:t>
            </w:r>
            <w:r>
              <w:rPr>
                <w:rFonts w:ascii="宋体" w:hAnsi="宋体" w:cs="宋体"/>
                <w:sz w:val="24"/>
                <w:szCs w:val="24"/>
              </w:rPr>
              <w:t>15</w:t>
            </w:r>
            <w:r>
              <w:rPr>
                <w:rFonts w:hint="eastAsia" w:ascii="宋体" w:hAnsi="宋体" w:cs="宋体"/>
                <w:sz w:val="24"/>
                <w:szCs w:val="24"/>
              </w:rPr>
              <w:t>分）</w:t>
            </w:r>
          </w:p>
        </w:tc>
        <w:tc>
          <w:tcPr>
            <w:tcW w:w="3828" w:type="dxa"/>
            <w:tcBorders>
              <w:top w:val="nil"/>
              <w:left w:val="nil"/>
              <w:bottom w:val="single" w:color="auto" w:sz="8" w:space="0"/>
              <w:right w:val="single" w:color="000000"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每天及时清理绿地垃圾并有保洁人员在岗实施保洁工作；垃圾应及时清运，不过夜，不现场焚烧垃圾。绿地无明显纸屑、果皮、杂物。</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cs="宋体"/>
                <w:sz w:val="24"/>
                <w:szCs w:val="24"/>
              </w:rPr>
            </w:pPr>
            <w:r>
              <w:rPr>
                <w:rFonts w:ascii="宋体" w:hAnsi="宋体" w:cs="宋体"/>
                <w:sz w:val="24"/>
                <w:szCs w:val="24"/>
              </w:rPr>
              <w:t>8</w:t>
            </w:r>
          </w:p>
        </w:tc>
        <w:tc>
          <w:tcPr>
            <w:tcW w:w="399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未及时完成清扫清理工作的扣</w:t>
            </w:r>
            <w:r>
              <w:rPr>
                <w:rFonts w:ascii="宋体" w:hAnsi="宋体" w:cs="宋体"/>
                <w:sz w:val="24"/>
                <w:szCs w:val="24"/>
              </w:rPr>
              <w:t>3</w:t>
            </w:r>
            <w:r>
              <w:rPr>
                <w:rFonts w:hint="eastAsia" w:ascii="宋体" w:hAnsi="宋体" w:cs="宋体"/>
                <w:sz w:val="24"/>
                <w:szCs w:val="24"/>
              </w:rPr>
              <w:t>分，保洁人员不在岗或未实行保洁工作的扣</w:t>
            </w:r>
            <w:r>
              <w:rPr>
                <w:rFonts w:ascii="宋体" w:hAnsi="宋体" w:cs="宋体"/>
                <w:sz w:val="24"/>
                <w:szCs w:val="24"/>
              </w:rPr>
              <w:t>1</w:t>
            </w:r>
            <w:r>
              <w:rPr>
                <w:rFonts w:hint="eastAsia" w:ascii="宋体" w:hAnsi="宋体" w:cs="宋体"/>
                <w:sz w:val="24"/>
                <w:szCs w:val="24"/>
              </w:rPr>
              <w:t>分。有明显纸屑、果皮、杂物，每处扣</w:t>
            </w:r>
            <w:r>
              <w:rPr>
                <w:rFonts w:ascii="宋体" w:hAnsi="宋体" w:cs="宋体"/>
                <w:sz w:val="24"/>
                <w:szCs w:val="24"/>
              </w:rPr>
              <w:t>1</w:t>
            </w:r>
            <w:r>
              <w:rPr>
                <w:rFonts w:hint="eastAsia" w:ascii="宋体" w:hAnsi="宋体" w:cs="宋体"/>
                <w:sz w:val="24"/>
                <w:szCs w:val="24"/>
              </w:rPr>
              <w:t>分，垃圾未及时清理、过夜、现场焚烧垃圾扣</w:t>
            </w:r>
            <w:r>
              <w:rPr>
                <w:rFonts w:ascii="宋体" w:hAnsi="宋体" w:cs="宋体"/>
                <w:sz w:val="24"/>
                <w:szCs w:val="24"/>
              </w:rPr>
              <w:t>2</w:t>
            </w:r>
            <w:r>
              <w:rPr>
                <w:rFonts w:hint="eastAsia" w:ascii="宋体" w:hAnsi="宋体" w:cs="宋体"/>
                <w:sz w:val="24"/>
                <w:szCs w:val="24"/>
              </w:rPr>
              <w:t>分。</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ascii="宋体" w:cs="宋体"/>
                <w:sz w:val="24"/>
                <w:szCs w:val="24"/>
              </w:rPr>
              <w:t> </w:t>
            </w:r>
          </w:p>
        </w:tc>
      </w:tr>
      <w:tr>
        <w:tblPrEx>
          <w:tblCellMar>
            <w:top w:w="0" w:type="dxa"/>
            <w:left w:w="0" w:type="dxa"/>
            <w:bottom w:w="0" w:type="dxa"/>
            <w:right w:w="0" w:type="dxa"/>
          </w:tblCellMar>
        </w:tblPrEx>
        <w:trPr>
          <w:trHeight w:val="1275" w:hRule="atLeast"/>
          <w:jc w:val="center"/>
        </w:trPr>
        <w:tc>
          <w:tcPr>
            <w:tcW w:w="711" w:type="dxa"/>
            <w:vMerge w:val="continue"/>
            <w:tcBorders>
              <w:top w:val="nil"/>
              <w:left w:val="single" w:color="auto" w:sz="8" w:space="0"/>
              <w:bottom w:val="single" w:color="auto" w:sz="8" w:space="0"/>
              <w:right w:val="single" w:color="auto" w:sz="8" w:space="0"/>
            </w:tcBorders>
            <w:vAlign w:val="center"/>
          </w:tcPr>
          <w:p>
            <w:pPr>
              <w:jc w:val="center"/>
              <w:rPr>
                <w:rFonts w:ascii="宋体" w:cs="宋体"/>
                <w:sz w:val="24"/>
                <w:szCs w:val="24"/>
              </w:rPr>
            </w:pPr>
          </w:p>
        </w:tc>
        <w:tc>
          <w:tcPr>
            <w:tcW w:w="3828" w:type="dxa"/>
            <w:tcBorders>
              <w:top w:val="nil"/>
              <w:left w:val="nil"/>
              <w:bottom w:val="single" w:color="auto" w:sz="8" w:space="0"/>
              <w:right w:val="single" w:color="000000"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保持设施完好，路沿石、椅子、花池、树池若有破损应及时上报并清理干净。对绿地内的硬地、道路、护拦、沟渠、雕塑、景石、水池、长廊、凉亭等进行清洗；对桌椅、果皮箱、园灯、小品等园林设施进行擦抹保洁，绿地上无晾衣物杂物、乱张贴，乱涂画。</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cs="宋体"/>
                <w:sz w:val="24"/>
                <w:szCs w:val="24"/>
              </w:rPr>
            </w:pPr>
            <w:r>
              <w:rPr>
                <w:rFonts w:ascii="宋体" w:hAnsi="宋体" w:cs="宋体"/>
                <w:sz w:val="24"/>
                <w:szCs w:val="24"/>
              </w:rPr>
              <w:t>5</w:t>
            </w:r>
          </w:p>
        </w:tc>
        <w:tc>
          <w:tcPr>
            <w:tcW w:w="399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设施有破损或丢失未及时上报的扣</w:t>
            </w:r>
            <w:r>
              <w:rPr>
                <w:rFonts w:ascii="宋体" w:hAnsi="宋体" w:cs="宋体"/>
                <w:sz w:val="24"/>
                <w:szCs w:val="24"/>
              </w:rPr>
              <w:t>1</w:t>
            </w:r>
            <w:r>
              <w:rPr>
                <w:rFonts w:hint="eastAsia" w:ascii="宋体" w:hAnsi="宋体" w:cs="宋体"/>
                <w:sz w:val="24"/>
                <w:szCs w:val="24"/>
              </w:rPr>
              <w:t>分；未及时清理扣</w:t>
            </w:r>
            <w:r>
              <w:rPr>
                <w:rFonts w:ascii="宋体" w:hAnsi="宋体" w:cs="宋体"/>
                <w:sz w:val="24"/>
                <w:szCs w:val="24"/>
              </w:rPr>
              <w:t>1</w:t>
            </w:r>
            <w:r>
              <w:rPr>
                <w:rFonts w:hint="eastAsia" w:ascii="宋体" w:hAnsi="宋体" w:cs="宋体"/>
                <w:sz w:val="24"/>
                <w:szCs w:val="24"/>
              </w:rPr>
              <w:t>分。未及时清洗、擦抹设施的，每次扣</w:t>
            </w:r>
            <w:r>
              <w:rPr>
                <w:rFonts w:ascii="宋体" w:hAnsi="宋体" w:cs="宋体"/>
                <w:sz w:val="24"/>
                <w:szCs w:val="24"/>
              </w:rPr>
              <w:t>1</w:t>
            </w:r>
            <w:r>
              <w:rPr>
                <w:rFonts w:hint="eastAsia" w:ascii="宋体" w:hAnsi="宋体" w:cs="宋体"/>
                <w:sz w:val="24"/>
                <w:szCs w:val="24"/>
              </w:rPr>
              <w:t>分。设施有乱粘贴、乱图画每处扣</w:t>
            </w:r>
            <w:r>
              <w:rPr>
                <w:rFonts w:ascii="宋体" w:hAnsi="宋体" w:cs="宋体"/>
                <w:sz w:val="24"/>
                <w:szCs w:val="24"/>
              </w:rPr>
              <w:t>1</w:t>
            </w:r>
            <w:r>
              <w:rPr>
                <w:rFonts w:hint="eastAsia" w:ascii="宋体" w:hAnsi="宋体" w:cs="宋体"/>
                <w:sz w:val="24"/>
                <w:szCs w:val="24"/>
              </w:rPr>
              <w:t>分。绿地上有晾衣服杂物每处扣</w:t>
            </w:r>
            <w:r>
              <w:rPr>
                <w:rFonts w:ascii="宋体" w:hAnsi="宋体" w:cs="宋体"/>
                <w:sz w:val="24"/>
                <w:szCs w:val="24"/>
              </w:rPr>
              <w:t>1</w:t>
            </w:r>
            <w:r>
              <w:rPr>
                <w:rFonts w:hint="eastAsia" w:ascii="宋体" w:hAnsi="宋体" w:cs="宋体"/>
                <w:sz w:val="24"/>
                <w:szCs w:val="24"/>
              </w:rPr>
              <w:t>分。</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　</w:t>
            </w:r>
          </w:p>
        </w:tc>
      </w:tr>
      <w:tr>
        <w:tblPrEx>
          <w:tblCellMar>
            <w:top w:w="0" w:type="dxa"/>
            <w:left w:w="0" w:type="dxa"/>
            <w:bottom w:w="0" w:type="dxa"/>
            <w:right w:w="0" w:type="dxa"/>
          </w:tblCellMar>
        </w:tblPrEx>
        <w:trPr>
          <w:trHeight w:val="1350" w:hRule="atLeast"/>
          <w:jc w:val="center"/>
        </w:trPr>
        <w:tc>
          <w:tcPr>
            <w:tcW w:w="711" w:type="dxa"/>
            <w:vMerge w:val="continue"/>
            <w:tcBorders>
              <w:top w:val="nil"/>
              <w:left w:val="single" w:color="auto" w:sz="8" w:space="0"/>
              <w:bottom w:val="single" w:color="auto" w:sz="8" w:space="0"/>
              <w:right w:val="single" w:color="auto" w:sz="8" w:space="0"/>
            </w:tcBorders>
            <w:vAlign w:val="center"/>
          </w:tcPr>
          <w:p>
            <w:pPr>
              <w:jc w:val="center"/>
              <w:rPr>
                <w:rFonts w:ascii="宋体" w:cs="宋体"/>
                <w:sz w:val="24"/>
                <w:szCs w:val="24"/>
              </w:rPr>
            </w:pPr>
          </w:p>
        </w:tc>
        <w:tc>
          <w:tcPr>
            <w:tcW w:w="3828" w:type="dxa"/>
            <w:tcBorders>
              <w:top w:val="nil"/>
              <w:left w:val="nil"/>
              <w:bottom w:val="single" w:color="auto" w:sz="8" w:space="0"/>
              <w:right w:val="single" w:color="000000"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厕所无积水、恶臭、淫物污水外溢现象。湖水、喷泉池水等水面无杂物，水体有异味。游乐场区域卫生、游乐设施干净，服务摊点周围整洁。定期“灭四害”，清除鼠洞及蚊蝇滋生物。</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cs="宋体"/>
                <w:sz w:val="24"/>
                <w:szCs w:val="24"/>
              </w:rPr>
            </w:pPr>
            <w:r>
              <w:rPr>
                <w:rFonts w:ascii="宋体" w:hAnsi="宋体" w:cs="宋体"/>
                <w:sz w:val="24"/>
                <w:szCs w:val="24"/>
              </w:rPr>
              <w:t>2</w:t>
            </w:r>
          </w:p>
        </w:tc>
        <w:tc>
          <w:tcPr>
            <w:tcW w:w="399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发现鼠洞，一处扣</w:t>
            </w:r>
            <w:r>
              <w:rPr>
                <w:rFonts w:ascii="宋体" w:hAnsi="宋体" w:cs="宋体"/>
                <w:sz w:val="24"/>
                <w:szCs w:val="24"/>
              </w:rPr>
              <w:t>1</w:t>
            </w:r>
            <w:r>
              <w:rPr>
                <w:rFonts w:hint="eastAsia" w:ascii="宋体" w:hAnsi="宋体" w:cs="宋体"/>
                <w:sz w:val="24"/>
                <w:szCs w:val="24"/>
              </w:rPr>
              <w:t>分。未做好“灭四害”工作扣</w:t>
            </w:r>
            <w:r>
              <w:rPr>
                <w:rFonts w:ascii="宋体" w:hAnsi="宋体" w:cs="宋体"/>
                <w:sz w:val="24"/>
                <w:szCs w:val="24"/>
              </w:rPr>
              <w:t>2</w:t>
            </w:r>
            <w:r>
              <w:rPr>
                <w:rFonts w:hint="eastAsia" w:ascii="宋体" w:hAnsi="宋体" w:cs="宋体"/>
                <w:sz w:val="24"/>
                <w:szCs w:val="24"/>
              </w:rPr>
              <w:t>分。</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　</w:t>
            </w:r>
          </w:p>
        </w:tc>
      </w:tr>
      <w:tr>
        <w:tblPrEx>
          <w:tblCellMar>
            <w:top w:w="0" w:type="dxa"/>
            <w:left w:w="0" w:type="dxa"/>
            <w:bottom w:w="0" w:type="dxa"/>
            <w:right w:w="0" w:type="dxa"/>
          </w:tblCellMar>
        </w:tblPrEx>
        <w:trPr>
          <w:trHeight w:val="3251" w:hRule="atLeast"/>
          <w:jc w:val="center"/>
        </w:trPr>
        <w:tc>
          <w:tcPr>
            <w:tcW w:w="711"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景观效果</w:t>
            </w:r>
            <w:r>
              <w:rPr>
                <w:rFonts w:ascii="宋体" w:hAnsi="宋体" w:cs="宋体"/>
                <w:sz w:val="24"/>
                <w:szCs w:val="24"/>
              </w:rPr>
              <w:t>(35)</w:t>
            </w:r>
          </w:p>
        </w:tc>
        <w:tc>
          <w:tcPr>
            <w:tcW w:w="3828" w:type="dxa"/>
            <w:tcBorders>
              <w:top w:val="single" w:color="auto" w:sz="4" w:space="0"/>
              <w:left w:val="nil"/>
              <w:bottom w:val="single" w:color="auto" w:sz="4" w:space="0"/>
              <w:right w:val="single" w:color="000000"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景观效果好，植物生长旺盛，修剪整齐，层次分明、色彩鲜艳、整齐美观、无死株缺株、无病虫株。树木修剪规范整齐，分枝合理均匀；花灌木修剪及时、准确；色块、绿篱适期修剪，曲线润畅，轮廓明显，三面整齐平整，球类修剪圆整。草坪适时进行修剪，保持一定高度，修剪面平整，边角无遗留，草屑及时扫尽运出。</w:t>
            </w:r>
          </w:p>
        </w:tc>
        <w:tc>
          <w:tcPr>
            <w:tcW w:w="68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cs="宋体"/>
                <w:sz w:val="24"/>
                <w:szCs w:val="24"/>
              </w:rPr>
            </w:pPr>
            <w:r>
              <w:rPr>
                <w:rFonts w:ascii="宋体" w:hAnsi="宋体" w:cs="宋体"/>
                <w:sz w:val="24"/>
                <w:szCs w:val="24"/>
              </w:rPr>
              <w:t>35</w:t>
            </w:r>
          </w:p>
        </w:tc>
        <w:tc>
          <w:tcPr>
            <w:tcW w:w="399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cs="宋体"/>
                <w:sz w:val="24"/>
                <w:szCs w:val="24"/>
              </w:rPr>
            </w:pPr>
            <w:r>
              <w:rPr>
                <w:rFonts w:hint="eastAsia" w:ascii="宋体" w:hAnsi="宋体" w:cs="宋体"/>
                <w:sz w:val="24"/>
                <w:szCs w:val="24"/>
              </w:rPr>
              <w:t>景观效果差扣</w:t>
            </w:r>
            <w:r>
              <w:rPr>
                <w:rFonts w:ascii="宋体" w:hAnsi="宋体" w:cs="宋体"/>
                <w:sz w:val="24"/>
                <w:szCs w:val="24"/>
              </w:rPr>
              <w:t>5</w:t>
            </w:r>
            <w:r>
              <w:rPr>
                <w:rFonts w:hint="eastAsia" w:ascii="宋体" w:hAnsi="宋体" w:cs="宋体"/>
                <w:sz w:val="24"/>
                <w:szCs w:val="24"/>
              </w:rPr>
              <w:t>分。植物修剪不到位、层次不分明扣</w:t>
            </w:r>
            <w:r>
              <w:rPr>
                <w:rFonts w:ascii="宋体" w:hAnsi="宋体" w:cs="宋体"/>
                <w:sz w:val="24"/>
                <w:szCs w:val="24"/>
              </w:rPr>
              <w:t>1</w:t>
            </w:r>
            <w:r>
              <w:rPr>
                <w:rFonts w:hint="eastAsia" w:ascii="宋体" w:hAnsi="宋体" w:cs="宋体"/>
                <w:sz w:val="24"/>
                <w:szCs w:val="24"/>
              </w:rPr>
              <w:t>分。不及时修剪，灌木超出</w:t>
            </w:r>
            <w:r>
              <w:rPr>
                <w:rFonts w:ascii="宋体" w:hAnsi="宋体" w:cs="宋体"/>
                <w:sz w:val="24"/>
                <w:szCs w:val="24"/>
              </w:rPr>
              <w:t>10cm</w:t>
            </w:r>
            <w:r>
              <w:rPr>
                <w:rFonts w:hint="eastAsia" w:ascii="宋体" w:hAnsi="宋体" w:cs="宋体"/>
                <w:sz w:val="24"/>
                <w:szCs w:val="24"/>
              </w:rPr>
              <w:t>扣</w:t>
            </w:r>
            <w:r>
              <w:rPr>
                <w:rFonts w:ascii="宋体" w:hAnsi="宋体" w:cs="宋体"/>
                <w:sz w:val="24"/>
                <w:szCs w:val="24"/>
              </w:rPr>
              <w:t>1</w:t>
            </w:r>
            <w:r>
              <w:rPr>
                <w:rFonts w:hint="eastAsia" w:ascii="宋体" w:hAnsi="宋体" w:cs="宋体"/>
                <w:sz w:val="24"/>
                <w:szCs w:val="24"/>
              </w:rPr>
              <w:t>分；不按要求乱修剪，扣</w:t>
            </w:r>
            <w:r>
              <w:rPr>
                <w:rFonts w:ascii="宋体" w:hAnsi="宋体" w:cs="宋体"/>
                <w:sz w:val="24"/>
                <w:szCs w:val="24"/>
              </w:rPr>
              <w:t>1</w:t>
            </w:r>
            <w:r>
              <w:rPr>
                <w:rFonts w:hint="eastAsia" w:ascii="宋体" w:hAnsi="宋体" w:cs="宋体"/>
                <w:sz w:val="24"/>
                <w:szCs w:val="24"/>
              </w:rPr>
              <w:t>分，绿篱修剪面不平、不直，宽度不匀，每</w:t>
            </w:r>
            <w:r>
              <w:rPr>
                <w:rFonts w:ascii="宋体" w:hAnsi="宋体" w:cs="宋体"/>
                <w:sz w:val="24"/>
                <w:szCs w:val="24"/>
              </w:rPr>
              <w:t>100</w:t>
            </w:r>
            <w:r>
              <w:rPr>
                <w:rFonts w:hint="eastAsia" w:ascii="宋体" w:hAnsi="宋体" w:cs="宋体"/>
                <w:sz w:val="24"/>
                <w:szCs w:val="24"/>
              </w:rPr>
              <w:t>㎡扣</w:t>
            </w:r>
            <w:r>
              <w:rPr>
                <w:rFonts w:ascii="宋体" w:hAnsi="宋体" w:cs="宋体"/>
                <w:sz w:val="24"/>
                <w:szCs w:val="24"/>
              </w:rPr>
              <w:t>1</w:t>
            </w:r>
            <w:r>
              <w:rPr>
                <w:rFonts w:hint="eastAsia" w:ascii="宋体" w:hAnsi="宋体" w:cs="宋体"/>
                <w:sz w:val="24"/>
                <w:szCs w:val="24"/>
              </w:rPr>
              <w:t>分；色块轮廓不明显，层次不清，每</w:t>
            </w:r>
            <w:r>
              <w:rPr>
                <w:rFonts w:ascii="宋体" w:hAnsi="宋体" w:cs="宋体"/>
                <w:sz w:val="24"/>
                <w:szCs w:val="24"/>
              </w:rPr>
              <w:t>100</w:t>
            </w:r>
            <w:r>
              <w:rPr>
                <w:rFonts w:hint="eastAsia" w:ascii="宋体" w:hAnsi="宋体" w:cs="宋体"/>
                <w:sz w:val="24"/>
                <w:szCs w:val="24"/>
              </w:rPr>
              <w:t>㎡扣</w:t>
            </w:r>
            <w:r>
              <w:rPr>
                <w:rFonts w:ascii="宋体" w:hAnsi="宋体" w:cs="宋体"/>
                <w:sz w:val="24"/>
                <w:szCs w:val="24"/>
              </w:rPr>
              <w:t>2</w:t>
            </w:r>
            <w:r>
              <w:rPr>
                <w:rFonts w:hint="eastAsia" w:ascii="宋体" w:hAnsi="宋体" w:cs="宋体"/>
                <w:sz w:val="24"/>
                <w:szCs w:val="24"/>
              </w:rPr>
              <w:t>分；球类修整不圆，每球扣</w:t>
            </w:r>
            <w:r>
              <w:rPr>
                <w:rFonts w:ascii="宋体" w:hAnsi="宋体" w:cs="宋体"/>
                <w:sz w:val="24"/>
                <w:szCs w:val="24"/>
              </w:rPr>
              <w:t>0.5</w:t>
            </w:r>
            <w:r>
              <w:rPr>
                <w:rFonts w:hint="eastAsia" w:ascii="宋体" w:hAnsi="宋体" w:cs="宋体"/>
                <w:sz w:val="24"/>
                <w:szCs w:val="24"/>
              </w:rPr>
              <w:t>分。草坪修剪面不平，边角有遗留，每㎡扣</w:t>
            </w:r>
            <w:r>
              <w:rPr>
                <w:rFonts w:ascii="宋体" w:hAnsi="宋体" w:cs="宋体"/>
                <w:sz w:val="24"/>
                <w:szCs w:val="24"/>
              </w:rPr>
              <w:t>2</w:t>
            </w:r>
            <w:r>
              <w:rPr>
                <w:rFonts w:hint="eastAsia" w:ascii="宋体" w:hAnsi="宋体" w:cs="宋体"/>
                <w:sz w:val="24"/>
                <w:szCs w:val="24"/>
              </w:rPr>
              <w:t>分。</w:t>
            </w:r>
          </w:p>
        </w:tc>
        <w:tc>
          <w:tcPr>
            <w:tcW w:w="126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　</w:t>
            </w:r>
          </w:p>
        </w:tc>
      </w:tr>
      <w:tr>
        <w:tblPrEx>
          <w:tblCellMar>
            <w:top w:w="0" w:type="dxa"/>
            <w:left w:w="0" w:type="dxa"/>
            <w:bottom w:w="0" w:type="dxa"/>
            <w:right w:w="0" w:type="dxa"/>
          </w:tblCellMar>
        </w:tblPrEx>
        <w:trPr>
          <w:trHeight w:val="795" w:hRule="atLeast"/>
          <w:jc w:val="center"/>
        </w:trPr>
        <w:tc>
          <w:tcPr>
            <w:tcW w:w="71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jc w:val="center"/>
              <w:rPr>
                <w:rFonts w:ascii="宋体" w:cs="宋体"/>
                <w:sz w:val="24"/>
                <w:szCs w:val="24"/>
              </w:rPr>
            </w:pPr>
            <w:r>
              <w:rPr>
                <w:rFonts w:hint="eastAsia" w:ascii="宋体" w:hAnsi="宋体" w:cs="宋体"/>
                <w:sz w:val="24"/>
                <w:szCs w:val="24"/>
              </w:rPr>
              <w:t>绿化养管（</w:t>
            </w:r>
            <w:r>
              <w:rPr>
                <w:rFonts w:ascii="宋体" w:hAnsi="宋体" w:cs="宋体"/>
                <w:sz w:val="24"/>
                <w:szCs w:val="24"/>
              </w:rPr>
              <w:t>45</w:t>
            </w:r>
            <w:r>
              <w:rPr>
                <w:rFonts w:hint="eastAsia" w:ascii="宋体" w:hAnsi="宋体" w:cs="宋体"/>
                <w:sz w:val="24"/>
                <w:szCs w:val="24"/>
              </w:rPr>
              <w:t>分）</w:t>
            </w:r>
          </w:p>
        </w:tc>
        <w:tc>
          <w:tcPr>
            <w:tcW w:w="38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除杂草：绿地及时除草，要求乔木、灌木无杂草伴生，草坪杂草率≤</w:t>
            </w:r>
            <w:r>
              <w:rPr>
                <w:rFonts w:ascii="宋体" w:hAnsi="宋体" w:cs="宋体"/>
                <w:sz w:val="24"/>
                <w:szCs w:val="24"/>
              </w:rPr>
              <w:t>1-5%</w:t>
            </w:r>
            <w:r>
              <w:rPr>
                <w:rFonts w:hint="eastAsia" w:ascii="宋体" w:hAnsi="宋体" w:cs="宋体"/>
                <w:sz w:val="24"/>
                <w:szCs w:val="24"/>
              </w:rPr>
              <w:t>，树穴整修，草坪内树穴与绿篱及时切边，草坪与树木、绿篱、草花应有分隔沟。</w:t>
            </w:r>
          </w:p>
        </w:tc>
        <w:tc>
          <w:tcPr>
            <w:tcW w:w="6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jc w:val="center"/>
              <w:rPr>
                <w:rFonts w:ascii="宋体" w:hAnsi="宋体" w:cs="宋体"/>
                <w:sz w:val="24"/>
                <w:szCs w:val="24"/>
              </w:rPr>
            </w:pPr>
            <w:r>
              <w:rPr>
                <w:rFonts w:ascii="宋体" w:hAnsi="宋体" w:cs="宋体"/>
                <w:sz w:val="24"/>
                <w:szCs w:val="24"/>
              </w:rPr>
              <w:t>10</w:t>
            </w:r>
          </w:p>
        </w:tc>
        <w:tc>
          <w:tcPr>
            <w:tcW w:w="3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jc w:val="center"/>
              <w:rPr>
                <w:rFonts w:ascii="宋体" w:cs="宋体"/>
                <w:sz w:val="24"/>
                <w:szCs w:val="24"/>
              </w:rPr>
            </w:pPr>
            <w:r>
              <w:rPr>
                <w:rFonts w:hint="eastAsia" w:ascii="宋体" w:hAnsi="宋体" w:cs="宋体"/>
                <w:sz w:val="24"/>
                <w:szCs w:val="24"/>
              </w:rPr>
              <w:t>草坪杂草率≥</w:t>
            </w:r>
            <w:r>
              <w:rPr>
                <w:rFonts w:ascii="宋体" w:hAnsi="宋体" w:cs="宋体"/>
                <w:sz w:val="24"/>
                <w:szCs w:val="24"/>
              </w:rPr>
              <w:t>1-5%</w:t>
            </w:r>
            <w:r>
              <w:rPr>
                <w:rFonts w:hint="eastAsia" w:ascii="宋体" w:hAnsi="宋体" w:cs="宋体"/>
                <w:sz w:val="24"/>
                <w:szCs w:val="24"/>
              </w:rPr>
              <w:t>，每</w:t>
            </w:r>
            <w:r>
              <w:rPr>
                <w:rFonts w:ascii="宋体" w:hAnsi="宋体" w:cs="宋体"/>
                <w:sz w:val="24"/>
                <w:szCs w:val="24"/>
              </w:rPr>
              <w:t>100</w:t>
            </w:r>
            <w:r>
              <w:rPr>
                <w:rFonts w:hint="eastAsia" w:ascii="宋体" w:hAnsi="宋体" w:cs="宋体"/>
                <w:sz w:val="24"/>
                <w:szCs w:val="24"/>
              </w:rPr>
              <w:t>㎡扣</w:t>
            </w:r>
            <w:r>
              <w:rPr>
                <w:rFonts w:ascii="宋体" w:hAnsi="宋体" w:cs="宋体"/>
                <w:sz w:val="24"/>
                <w:szCs w:val="24"/>
              </w:rPr>
              <w:t>1</w:t>
            </w:r>
            <w:r>
              <w:rPr>
                <w:rFonts w:hint="eastAsia" w:ascii="宋体" w:hAnsi="宋体" w:cs="宋体"/>
                <w:sz w:val="24"/>
                <w:szCs w:val="24"/>
              </w:rPr>
              <w:t>分；树穴、绿篱等不及时切边，草坪与树木、绿篱、草花等无合理分隔沟每</w:t>
            </w:r>
            <w:r>
              <w:rPr>
                <w:rFonts w:ascii="宋体" w:hAnsi="宋体" w:cs="宋体"/>
                <w:sz w:val="24"/>
                <w:szCs w:val="24"/>
              </w:rPr>
              <w:t>10m</w:t>
            </w:r>
            <w:r>
              <w:rPr>
                <w:rFonts w:hint="eastAsia" w:ascii="宋体" w:hAnsi="宋体" w:cs="宋体"/>
                <w:sz w:val="24"/>
                <w:szCs w:val="24"/>
              </w:rPr>
              <w:t>扣</w:t>
            </w:r>
            <w:r>
              <w:rPr>
                <w:rFonts w:ascii="宋体" w:hAnsi="宋体" w:cs="宋体"/>
                <w:sz w:val="24"/>
                <w:szCs w:val="24"/>
              </w:rPr>
              <w:t>0.5</w:t>
            </w:r>
            <w:r>
              <w:rPr>
                <w:rFonts w:hint="eastAsia" w:ascii="宋体" w:hAnsi="宋体" w:cs="宋体"/>
                <w:sz w:val="24"/>
                <w:szCs w:val="24"/>
              </w:rPr>
              <w:t>分。灌木（乔木）内杂草伴生，扣</w:t>
            </w:r>
            <w:r>
              <w:rPr>
                <w:rFonts w:ascii="宋体" w:hAnsi="宋体" w:cs="宋体"/>
                <w:sz w:val="24"/>
                <w:szCs w:val="24"/>
              </w:rPr>
              <w:t>1</w:t>
            </w:r>
            <w:r>
              <w:rPr>
                <w:rFonts w:hint="eastAsia" w:ascii="宋体" w:hAnsi="宋体" w:cs="宋体"/>
                <w:sz w:val="24"/>
                <w:szCs w:val="24"/>
              </w:rPr>
              <w:t>分。杂草明显高于绿地乔灌木</w:t>
            </w:r>
            <w:r>
              <w:rPr>
                <w:rFonts w:ascii="宋体" w:hAnsi="宋体" w:cs="宋体"/>
                <w:sz w:val="24"/>
                <w:szCs w:val="24"/>
              </w:rPr>
              <w:t>5cm</w:t>
            </w:r>
            <w:r>
              <w:rPr>
                <w:rFonts w:hint="eastAsia" w:ascii="宋体" w:hAnsi="宋体" w:cs="宋体"/>
                <w:sz w:val="24"/>
                <w:szCs w:val="24"/>
              </w:rPr>
              <w:t>以上每处扣</w:t>
            </w:r>
            <w:r>
              <w:rPr>
                <w:rFonts w:ascii="宋体" w:hAnsi="宋体" w:cs="宋体"/>
                <w:sz w:val="24"/>
                <w:szCs w:val="24"/>
              </w:rPr>
              <w:t>1</w:t>
            </w:r>
            <w:r>
              <w:rPr>
                <w:rFonts w:hint="eastAsia" w:ascii="宋体" w:hAnsi="宋体" w:cs="宋体"/>
                <w:sz w:val="24"/>
                <w:szCs w:val="24"/>
              </w:rPr>
              <w:t>分。</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　</w:t>
            </w:r>
          </w:p>
        </w:tc>
      </w:tr>
      <w:tr>
        <w:tblPrEx>
          <w:tblCellMar>
            <w:top w:w="0" w:type="dxa"/>
            <w:left w:w="0" w:type="dxa"/>
            <w:bottom w:w="0" w:type="dxa"/>
            <w:right w:w="0" w:type="dxa"/>
          </w:tblCellMar>
        </w:tblPrEx>
        <w:trPr>
          <w:trHeight w:val="795" w:hRule="atLeast"/>
          <w:jc w:val="center"/>
        </w:trPr>
        <w:tc>
          <w:tcPr>
            <w:tcW w:w="71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szCs w:val="24"/>
              </w:rPr>
            </w:pPr>
          </w:p>
        </w:tc>
        <w:tc>
          <w:tcPr>
            <w:tcW w:w="38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土壤无板结，植物根系不得裸露，绿地无坑洼积水。</w:t>
            </w:r>
          </w:p>
        </w:tc>
        <w:tc>
          <w:tcPr>
            <w:tcW w:w="6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jc w:val="center"/>
              <w:rPr>
                <w:rFonts w:ascii="宋体" w:hAnsi="宋体" w:cs="宋体"/>
                <w:sz w:val="24"/>
                <w:szCs w:val="24"/>
              </w:rPr>
            </w:pPr>
            <w:r>
              <w:rPr>
                <w:rFonts w:ascii="宋体" w:hAnsi="宋体" w:cs="宋体"/>
                <w:sz w:val="24"/>
                <w:szCs w:val="24"/>
              </w:rPr>
              <w:t>4</w:t>
            </w:r>
          </w:p>
        </w:tc>
        <w:tc>
          <w:tcPr>
            <w:tcW w:w="3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jc w:val="center"/>
              <w:rPr>
                <w:rFonts w:ascii="宋体" w:cs="宋体"/>
                <w:sz w:val="24"/>
                <w:szCs w:val="24"/>
              </w:rPr>
            </w:pPr>
            <w:r>
              <w:rPr>
                <w:rFonts w:hint="eastAsia" w:ascii="宋体" w:hAnsi="宋体" w:cs="宋体"/>
                <w:sz w:val="24"/>
                <w:szCs w:val="24"/>
              </w:rPr>
              <w:t>出现植物根系裸露，绿地坑洼积水，灌木每</w:t>
            </w:r>
            <w:r>
              <w:rPr>
                <w:rFonts w:ascii="宋体" w:hAnsi="宋体" w:cs="宋体"/>
                <w:sz w:val="24"/>
                <w:szCs w:val="24"/>
              </w:rPr>
              <w:t>100</w:t>
            </w:r>
            <w:r>
              <w:rPr>
                <w:rFonts w:hint="eastAsia" w:ascii="宋体" w:hAnsi="宋体" w:cs="宋体"/>
                <w:sz w:val="24"/>
                <w:szCs w:val="24"/>
              </w:rPr>
              <w:t>㎡扣</w:t>
            </w:r>
            <w:r>
              <w:rPr>
                <w:rFonts w:ascii="宋体" w:hAnsi="宋体" w:cs="宋体"/>
                <w:sz w:val="24"/>
                <w:szCs w:val="24"/>
              </w:rPr>
              <w:t>1-4</w:t>
            </w:r>
            <w:r>
              <w:rPr>
                <w:rFonts w:hint="eastAsia" w:ascii="宋体" w:hAnsi="宋体" w:cs="宋体"/>
                <w:sz w:val="24"/>
                <w:szCs w:val="24"/>
              </w:rPr>
              <w:t>分；树穴、地被土壤板结，长期不疏松，每</w:t>
            </w:r>
            <w:r>
              <w:rPr>
                <w:rFonts w:ascii="宋体" w:hAnsi="宋体" w:cs="宋体"/>
                <w:sz w:val="24"/>
                <w:szCs w:val="24"/>
              </w:rPr>
              <w:t>10</w:t>
            </w:r>
            <w:r>
              <w:rPr>
                <w:rFonts w:hint="eastAsia" w:ascii="宋体" w:hAnsi="宋体" w:cs="宋体"/>
                <w:sz w:val="24"/>
                <w:szCs w:val="24"/>
              </w:rPr>
              <w:t>㎡扣</w:t>
            </w:r>
            <w:r>
              <w:rPr>
                <w:rFonts w:ascii="宋体" w:hAnsi="宋体" w:cs="宋体"/>
                <w:sz w:val="24"/>
                <w:szCs w:val="24"/>
              </w:rPr>
              <w:t>1</w:t>
            </w:r>
            <w:r>
              <w:rPr>
                <w:rFonts w:hint="eastAsia" w:ascii="宋体" w:hAnsi="宋体" w:cs="宋体"/>
                <w:sz w:val="24"/>
                <w:szCs w:val="24"/>
              </w:rPr>
              <w:t>分。</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ascii="宋体" w:cs="宋体"/>
                <w:sz w:val="24"/>
                <w:szCs w:val="24"/>
              </w:rPr>
              <w:t> </w:t>
            </w:r>
          </w:p>
        </w:tc>
      </w:tr>
      <w:tr>
        <w:tblPrEx>
          <w:tblCellMar>
            <w:top w:w="0" w:type="dxa"/>
            <w:left w:w="0" w:type="dxa"/>
            <w:bottom w:w="0" w:type="dxa"/>
            <w:right w:w="0" w:type="dxa"/>
          </w:tblCellMar>
        </w:tblPrEx>
        <w:trPr>
          <w:trHeight w:val="795" w:hRule="atLeast"/>
          <w:jc w:val="center"/>
        </w:trPr>
        <w:tc>
          <w:tcPr>
            <w:tcW w:w="711" w:type="dxa"/>
            <w:vMerge w:val="continue"/>
            <w:tcBorders>
              <w:top w:val="single" w:color="auto" w:sz="4" w:space="0"/>
              <w:left w:val="single" w:color="auto" w:sz="4" w:space="0"/>
              <w:bottom w:val="single" w:color="auto" w:sz="8" w:space="0"/>
              <w:right w:val="single" w:color="auto" w:sz="8" w:space="0"/>
            </w:tcBorders>
            <w:vAlign w:val="center"/>
          </w:tcPr>
          <w:p>
            <w:pPr>
              <w:jc w:val="center"/>
              <w:rPr>
                <w:rFonts w:ascii="宋体" w:cs="宋体"/>
                <w:sz w:val="24"/>
                <w:szCs w:val="24"/>
              </w:rPr>
            </w:pPr>
          </w:p>
        </w:tc>
        <w:tc>
          <w:tcPr>
            <w:tcW w:w="3828" w:type="dxa"/>
            <w:tcBorders>
              <w:top w:val="single" w:color="auto" w:sz="4" w:space="0"/>
              <w:left w:val="nil"/>
              <w:bottom w:val="single" w:color="auto" w:sz="8" w:space="0"/>
              <w:right w:val="single" w:color="000000"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补植：应及时清除死株，补植缺株，保持植物景观的植株完整，无裸露地。</w:t>
            </w:r>
          </w:p>
        </w:tc>
        <w:tc>
          <w:tcPr>
            <w:tcW w:w="68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cs="宋体"/>
                <w:sz w:val="24"/>
                <w:szCs w:val="24"/>
              </w:rPr>
            </w:pPr>
            <w:r>
              <w:rPr>
                <w:rFonts w:ascii="宋体" w:hAnsi="宋体" w:cs="宋体"/>
                <w:sz w:val="24"/>
                <w:szCs w:val="24"/>
              </w:rPr>
              <w:t>10</w:t>
            </w:r>
          </w:p>
        </w:tc>
        <w:tc>
          <w:tcPr>
            <w:tcW w:w="39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cs="宋体"/>
                <w:sz w:val="24"/>
                <w:szCs w:val="24"/>
              </w:rPr>
            </w:pPr>
            <w:r>
              <w:rPr>
                <w:rFonts w:hint="eastAsia" w:ascii="宋体" w:hAnsi="宋体" w:cs="宋体"/>
                <w:sz w:val="24"/>
                <w:szCs w:val="24"/>
              </w:rPr>
              <w:t>发现死株、缺株，乔木每株扣</w:t>
            </w:r>
            <w:r>
              <w:rPr>
                <w:rFonts w:ascii="宋体" w:hAnsi="宋体" w:cs="宋体"/>
                <w:sz w:val="24"/>
                <w:szCs w:val="24"/>
              </w:rPr>
              <w:t>1</w:t>
            </w:r>
            <w:r>
              <w:rPr>
                <w:rFonts w:hint="eastAsia" w:ascii="宋体" w:hAnsi="宋体" w:cs="宋体"/>
                <w:sz w:val="24"/>
                <w:szCs w:val="24"/>
              </w:rPr>
              <w:t>分；灌木每</w:t>
            </w:r>
            <w:r>
              <w:rPr>
                <w:rFonts w:ascii="宋体" w:hAnsi="宋体" w:cs="宋体"/>
                <w:sz w:val="24"/>
                <w:szCs w:val="24"/>
              </w:rPr>
              <w:t>10</w:t>
            </w:r>
            <w:r>
              <w:rPr>
                <w:rFonts w:hint="eastAsia" w:ascii="宋体" w:hAnsi="宋体" w:cs="宋体"/>
                <w:sz w:val="24"/>
                <w:szCs w:val="24"/>
              </w:rPr>
              <w:t>㎡扣</w:t>
            </w:r>
            <w:r>
              <w:rPr>
                <w:rFonts w:ascii="宋体" w:hAnsi="宋体" w:cs="宋体"/>
                <w:sz w:val="24"/>
                <w:szCs w:val="24"/>
              </w:rPr>
              <w:t>1</w:t>
            </w:r>
            <w:r>
              <w:rPr>
                <w:rFonts w:hint="eastAsia" w:ascii="宋体" w:hAnsi="宋体" w:cs="宋体"/>
                <w:sz w:val="24"/>
                <w:szCs w:val="24"/>
              </w:rPr>
              <w:t>分，草地每</w:t>
            </w:r>
            <w:r>
              <w:rPr>
                <w:rFonts w:ascii="宋体" w:hAnsi="宋体" w:cs="宋体"/>
                <w:sz w:val="24"/>
                <w:szCs w:val="24"/>
              </w:rPr>
              <w:t>10</w:t>
            </w:r>
            <w:r>
              <w:rPr>
                <w:rFonts w:hint="eastAsia" w:ascii="宋体" w:hAnsi="宋体" w:cs="宋体"/>
                <w:sz w:val="24"/>
                <w:szCs w:val="24"/>
              </w:rPr>
              <w:t>㎡扣</w:t>
            </w:r>
            <w:r>
              <w:rPr>
                <w:rFonts w:ascii="宋体" w:hAnsi="宋体" w:cs="宋体"/>
                <w:sz w:val="24"/>
                <w:szCs w:val="24"/>
              </w:rPr>
              <w:t>1</w:t>
            </w:r>
            <w:r>
              <w:rPr>
                <w:rFonts w:hint="eastAsia" w:ascii="宋体" w:hAnsi="宋体" w:cs="宋体"/>
                <w:sz w:val="24"/>
                <w:szCs w:val="24"/>
              </w:rPr>
              <w:t>分</w:t>
            </w:r>
          </w:p>
        </w:tc>
        <w:tc>
          <w:tcPr>
            <w:tcW w:w="126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ascii="宋体" w:cs="宋体"/>
                <w:sz w:val="24"/>
                <w:szCs w:val="24"/>
              </w:rPr>
              <w:t> </w:t>
            </w:r>
          </w:p>
        </w:tc>
      </w:tr>
      <w:tr>
        <w:tblPrEx>
          <w:tblCellMar>
            <w:top w:w="0" w:type="dxa"/>
            <w:left w:w="0" w:type="dxa"/>
            <w:bottom w:w="0" w:type="dxa"/>
            <w:right w:w="0" w:type="dxa"/>
          </w:tblCellMar>
        </w:tblPrEx>
        <w:trPr>
          <w:trHeight w:val="1519" w:hRule="atLeast"/>
          <w:jc w:val="center"/>
        </w:trPr>
        <w:tc>
          <w:tcPr>
            <w:tcW w:w="711" w:type="dxa"/>
            <w:vMerge w:val="continue"/>
            <w:tcBorders>
              <w:top w:val="nil"/>
              <w:left w:val="single" w:color="auto" w:sz="4" w:space="0"/>
              <w:bottom w:val="single" w:color="auto" w:sz="8" w:space="0"/>
              <w:right w:val="single" w:color="auto" w:sz="8" w:space="0"/>
            </w:tcBorders>
            <w:vAlign w:val="center"/>
          </w:tcPr>
          <w:p>
            <w:pPr>
              <w:jc w:val="center"/>
              <w:rPr>
                <w:rFonts w:ascii="宋体" w:cs="宋体"/>
                <w:sz w:val="24"/>
                <w:szCs w:val="24"/>
              </w:rPr>
            </w:pPr>
          </w:p>
        </w:tc>
        <w:tc>
          <w:tcPr>
            <w:tcW w:w="3828" w:type="dxa"/>
            <w:tcBorders>
              <w:top w:val="nil"/>
              <w:left w:val="nil"/>
              <w:bottom w:val="single" w:color="auto" w:sz="8" w:space="0"/>
              <w:right w:val="single" w:color="000000"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浇水：根据植物的生长特性和季节变化进行浇水，确保植物正常生长。</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cs="宋体"/>
                <w:sz w:val="24"/>
                <w:szCs w:val="24"/>
              </w:rPr>
            </w:pPr>
            <w:r>
              <w:rPr>
                <w:rFonts w:ascii="宋体" w:hAnsi="宋体" w:cs="宋体"/>
                <w:sz w:val="24"/>
                <w:szCs w:val="24"/>
              </w:rPr>
              <w:t>10</w:t>
            </w:r>
          </w:p>
        </w:tc>
        <w:tc>
          <w:tcPr>
            <w:tcW w:w="399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宋体" w:cs="宋体"/>
                <w:sz w:val="24"/>
                <w:szCs w:val="24"/>
              </w:rPr>
            </w:pPr>
            <w:r>
              <w:rPr>
                <w:rFonts w:hint="eastAsia" w:ascii="宋体" w:hAnsi="宋体" w:cs="宋体"/>
                <w:sz w:val="24"/>
                <w:szCs w:val="24"/>
              </w:rPr>
              <w:t>植物因缺水出现萎焉乔木每株扣</w:t>
            </w:r>
            <w:r>
              <w:rPr>
                <w:rFonts w:ascii="宋体" w:hAnsi="宋体" w:cs="宋体"/>
                <w:sz w:val="24"/>
                <w:szCs w:val="24"/>
              </w:rPr>
              <w:t>1</w:t>
            </w:r>
            <w:r>
              <w:rPr>
                <w:rFonts w:hint="eastAsia" w:ascii="宋体" w:hAnsi="宋体" w:cs="宋体"/>
                <w:sz w:val="24"/>
                <w:szCs w:val="24"/>
              </w:rPr>
              <w:t>分，灌木每</w:t>
            </w:r>
            <w:r>
              <w:rPr>
                <w:rFonts w:ascii="宋体" w:hAnsi="宋体" w:cs="宋体"/>
                <w:sz w:val="24"/>
                <w:szCs w:val="24"/>
              </w:rPr>
              <w:t>10</w:t>
            </w:r>
            <w:r>
              <w:rPr>
                <w:rFonts w:hint="eastAsia" w:ascii="宋体" w:hAnsi="宋体" w:cs="宋体"/>
                <w:sz w:val="24"/>
                <w:szCs w:val="24"/>
              </w:rPr>
              <w:t>㎡扣</w:t>
            </w:r>
            <w:r>
              <w:rPr>
                <w:rFonts w:ascii="宋体" w:hAnsi="宋体" w:cs="宋体"/>
                <w:sz w:val="24"/>
                <w:szCs w:val="24"/>
              </w:rPr>
              <w:t>1</w:t>
            </w:r>
            <w:r>
              <w:rPr>
                <w:rFonts w:hint="eastAsia" w:ascii="宋体" w:hAnsi="宋体" w:cs="宋体"/>
                <w:sz w:val="24"/>
                <w:szCs w:val="24"/>
              </w:rPr>
              <w:t>分，草地每</w:t>
            </w:r>
            <w:r>
              <w:rPr>
                <w:rFonts w:ascii="宋体" w:hAnsi="宋体" w:cs="宋体"/>
                <w:sz w:val="24"/>
                <w:szCs w:val="24"/>
              </w:rPr>
              <w:t>10</w:t>
            </w:r>
            <w:r>
              <w:rPr>
                <w:rFonts w:hint="eastAsia" w:ascii="宋体" w:hAnsi="宋体" w:cs="宋体"/>
                <w:sz w:val="24"/>
                <w:szCs w:val="24"/>
              </w:rPr>
              <w:t>㎡扣</w:t>
            </w:r>
            <w:r>
              <w:rPr>
                <w:rFonts w:ascii="宋体" w:hAnsi="宋体" w:cs="宋体"/>
                <w:sz w:val="24"/>
                <w:szCs w:val="24"/>
              </w:rPr>
              <w:t>1</w:t>
            </w:r>
            <w:r>
              <w:rPr>
                <w:rFonts w:hint="eastAsia" w:ascii="宋体" w:hAnsi="宋体" w:cs="宋体"/>
                <w:sz w:val="24"/>
                <w:szCs w:val="24"/>
              </w:rPr>
              <w:t>分，出现枯死乔木每株扣</w:t>
            </w:r>
            <w:r>
              <w:rPr>
                <w:rFonts w:ascii="宋体" w:hAnsi="宋体" w:cs="宋体"/>
                <w:sz w:val="24"/>
                <w:szCs w:val="24"/>
              </w:rPr>
              <w:t>5</w:t>
            </w:r>
            <w:r>
              <w:rPr>
                <w:rFonts w:hint="eastAsia" w:ascii="宋体" w:hAnsi="宋体" w:cs="宋体"/>
                <w:sz w:val="24"/>
                <w:szCs w:val="24"/>
              </w:rPr>
              <w:t>分，灌木每</w:t>
            </w:r>
            <w:r>
              <w:rPr>
                <w:rFonts w:ascii="宋体" w:hAnsi="宋体" w:cs="宋体"/>
                <w:sz w:val="24"/>
                <w:szCs w:val="24"/>
              </w:rPr>
              <w:t>10</w:t>
            </w:r>
            <w:r>
              <w:rPr>
                <w:rFonts w:hint="eastAsia" w:ascii="宋体" w:hAnsi="宋体" w:cs="宋体"/>
                <w:sz w:val="24"/>
                <w:szCs w:val="24"/>
              </w:rPr>
              <w:t>㎡扣</w:t>
            </w:r>
            <w:r>
              <w:rPr>
                <w:rFonts w:ascii="宋体" w:hAnsi="宋体" w:cs="宋体"/>
                <w:sz w:val="24"/>
                <w:szCs w:val="24"/>
              </w:rPr>
              <w:t>3</w:t>
            </w:r>
            <w:r>
              <w:rPr>
                <w:rFonts w:hint="eastAsia" w:ascii="宋体" w:hAnsi="宋体" w:cs="宋体"/>
                <w:sz w:val="24"/>
                <w:szCs w:val="24"/>
              </w:rPr>
              <w:t>分，草地每</w:t>
            </w:r>
            <w:r>
              <w:rPr>
                <w:rFonts w:ascii="宋体" w:hAnsi="宋体" w:cs="宋体"/>
                <w:sz w:val="24"/>
                <w:szCs w:val="24"/>
              </w:rPr>
              <w:t>10</w:t>
            </w:r>
            <w:r>
              <w:rPr>
                <w:rFonts w:hint="eastAsia" w:ascii="宋体" w:hAnsi="宋体" w:cs="宋体"/>
                <w:sz w:val="24"/>
                <w:szCs w:val="24"/>
              </w:rPr>
              <w:t>㎡扣</w:t>
            </w:r>
            <w:r>
              <w:rPr>
                <w:rFonts w:ascii="宋体" w:hAnsi="宋体" w:cs="宋体"/>
                <w:sz w:val="24"/>
                <w:szCs w:val="24"/>
              </w:rPr>
              <w:t>2</w:t>
            </w:r>
            <w:r>
              <w:rPr>
                <w:rFonts w:hint="eastAsia" w:ascii="宋体" w:hAnsi="宋体" w:cs="宋体"/>
                <w:sz w:val="24"/>
                <w:szCs w:val="24"/>
              </w:rPr>
              <w:t>分。</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ascii="宋体" w:cs="宋体"/>
                <w:sz w:val="24"/>
                <w:szCs w:val="24"/>
              </w:rPr>
              <w:t> </w:t>
            </w:r>
          </w:p>
        </w:tc>
      </w:tr>
      <w:tr>
        <w:tblPrEx>
          <w:tblCellMar>
            <w:top w:w="0" w:type="dxa"/>
            <w:left w:w="0" w:type="dxa"/>
            <w:bottom w:w="0" w:type="dxa"/>
            <w:right w:w="0" w:type="dxa"/>
          </w:tblCellMar>
        </w:tblPrEx>
        <w:trPr>
          <w:trHeight w:val="795" w:hRule="atLeast"/>
          <w:jc w:val="center"/>
        </w:trPr>
        <w:tc>
          <w:tcPr>
            <w:tcW w:w="711" w:type="dxa"/>
            <w:vMerge w:val="continue"/>
            <w:tcBorders>
              <w:top w:val="nil"/>
              <w:left w:val="single" w:color="auto" w:sz="4" w:space="0"/>
              <w:bottom w:val="single" w:color="auto" w:sz="8" w:space="0"/>
              <w:right w:val="single" w:color="auto" w:sz="8" w:space="0"/>
            </w:tcBorders>
            <w:vAlign w:val="center"/>
          </w:tcPr>
          <w:p>
            <w:pPr>
              <w:jc w:val="center"/>
              <w:rPr>
                <w:rFonts w:ascii="宋体" w:cs="宋体"/>
                <w:sz w:val="24"/>
                <w:szCs w:val="24"/>
              </w:rPr>
            </w:pPr>
          </w:p>
        </w:tc>
        <w:tc>
          <w:tcPr>
            <w:tcW w:w="3828" w:type="dxa"/>
            <w:tcBorders>
              <w:top w:val="nil"/>
              <w:left w:val="nil"/>
              <w:bottom w:val="single" w:color="auto" w:sz="8" w:space="0"/>
              <w:right w:val="single" w:color="000000"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施肥：根据植物的生长特性和月养护计划进行施肥。</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cs="宋体"/>
                <w:sz w:val="24"/>
                <w:szCs w:val="24"/>
              </w:rPr>
            </w:pPr>
            <w:r>
              <w:rPr>
                <w:rFonts w:ascii="宋体" w:hAnsi="宋体" w:cs="宋体"/>
                <w:sz w:val="24"/>
                <w:szCs w:val="24"/>
              </w:rPr>
              <w:t>6</w:t>
            </w:r>
          </w:p>
        </w:tc>
        <w:tc>
          <w:tcPr>
            <w:tcW w:w="399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cs="宋体"/>
                <w:sz w:val="24"/>
                <w:szCs w:val="24"/>
              </w:rPr>
            </w:pPr>
            <w:r>
              <w:rPr>
                <w:rFonts w:hint="eastAsia" w:ascii="宋体" w:hAnsi="宋体" w:cs="宋体"/>
                <w:sz w:val="24"/>
                <w:szCs w:val="24"/>
              </w:rPr>
              <w:t>因缺肥导致植物叶片黄叶、长势不良的每处扣</w:t>
            </w:r>
            <w:r>
              <w:rPr>
                <w:rFonts w:ascii="宋体" w:hAnsi="宋体" w:cs="宋体"/>
                <w:sz w:val="24"/>
                <w:szCs w:val="24"/>
              </w:rPr>
              <w:t>2</w:t>
            </w:r>
            <w:r>
              <w:rPr>
                <w:rFonts w:hint="eastAsia" w:ascii="宋体" w:hAnsi="宋体" w:cs="宋体"/>
                <w:sz w:val="24"/>
                <w:szCs w:val="24"/>
              </w:rPr>
              <w:t>分，因施肥不当出现肥害，每处扣</w:t>
            </w:r>
            <w:r>
              <w:rPr>
                <w:rFonts w:ascii="宋体" w:hAnsi="宋体" w:cs="宋体"/>
                <w:sz w:val="24"/>
                <w:szCs w:val="24"/>
              </w:rPr>
              <w:t>1-2</w:t>
            </w:r>
            <w:r>
              <w:rPr>
                <w:rFonts w:hint="eastAsia" w:ascii="宋体" w:hAnsi="宋体" w:cs="宋体"/>
                <w:sz w:val="24"/>
                <w:szCs w:val="24"/>
              </w:rPr>
              <w:t>分。</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ascii="宋体" w:cs="宋体"/>
                <w:sz w:val="24"/>
                <w:szCs w:val="24"/>
              </w:rPr>
              <w:t> </w:t>
            </w:r>
          </w:p>
        </w:tc>
      </w:tr>
      <w:tr>
        <w:tblPrEx>
          <w:tblCellMar>
            <w:top w:w="0" w:type="dxa"/>
            <w:left w:w="0" w:type="dxa"/>
            <w:bottom w:w="0" w:type="dxa"/>
            <w:right w:w="0" w:type="dxa"/>
          </w:tblCellMar>
        </w:tblPrEx>
        <w:trPr>
          <w:trHeight w:val="795" w:hRule="atLeast"/>
          <w:jc w:val="center"/>
        </w:trPr>
        <w:tc>
          <w:tcPr>
            <w:tcW w:w="711" w:type="dxa"/>
            <w:vMerge w:val="continue"/>
            <w:tcBorders>
              <w:top w:val="nil"/>
              <w:left w:val="single" w:color="auto" w:sz="4" w:space="0"/>
              <w:bottom w:val="single" w:color="auto" w:sz="8" w:space="0"/>
              <w:right w:val="single" w:color="auto" w:sz="8" w:space="0"/>
            </w:tcBorders>
            <w:vAlign w:val="center"/>
          </w:tcPr>
          <w:p>
            <w:pPr>
              <w:jc w:val="center"/>
              <w:rPr>
                <w:rFonts w:ascii="宋体" w:cs="宋体"/>
                <w:sz w:val="24"/>
                <w:szCs w:val="24"/>
              </w:rPr>
            </w:pPr>
          </w:p>
        </w:tc>
        <w:tc>
          <w:tcPr>
            <w:tcW w:w="3828" w:type="dxa"/>
            <w:tcBorders>
              <w:top w:val="nil"/>
              <w:left w:val="nil"/>
              <w:bottom w:val="single" w:color="auto" w:sz="8" w:space="0"/>
              <w:right w:val="single" w:color="000000"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病虫害：应及时做好植物病虫害防治工作，发生病虫害，植株受害面积须参考《河南省城市绿地养护标准》控制在受害率以下。</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hAnsi="宋体" w:cs="宋体"/>
                <w:sz w:val="24"/>
                <w:szCs w:val="24"/>
              </w:rPr>
            </w:pPr>
            <w:r>
              <w:rPr>
                <w:rFonts w:ascii="宋体" w:hAnsi="宋体" w:cs="宋体"/>
                <w:sz w:val="24"/>
                <w:szCs w:val="24"/>
              </w:rPr>
              <w:t>5</w:t>
            </w:r>
          </w:p>
        </w:tc>
        <w:tc>
          <w:tcPr>
            <w:tcW w:w="399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cs="宋体"/>
                <w:sz w:val="24"/>
                <w:szCs w:val="24"/>
              </w:rPr>
            </w:pPr>
            <w:r>
              <w:rPr>
                <w:rFonts w:hint="eastAsia" w:ascii="宋体" w:hAnsi="宋体" w:cs="宋体"/>
                <w:sz w:val="24"/>
                <w:szCs w:val="24"/>
              </w:rPr>
              <w:t>发生病虫害，植株受害率以上每处扣</w:t>
            </w:r>
            <w:r>
              <w:rPr>
                <w:rFonts w:ascii="宋体" w:hAnsi="宋体" w:cs="宋体"/>
                <w:sz w:val="24"/>
                <w:szCs w:val="24"/>
              </w:rPr>
              <w:t>2</w:t>
            </w:r>
            <w:r>
              <w:rPr>
                <w:rFonts w:hint="eastAsia" w:ascii="宋体" w:hAnsi="宋体" w:cs="宋体"/>
                <w:sz w:val="24"/>
                <w:szCs w:val="24"/>
              </w:rPr>
              <w:t>分；严重导致死亡每处扣</w:t>
            </w:r>
            <w:r>
              <w:rPr>
                <w:rFonts w:ascii="宋体" w:hAnsi="宋体" w:cs="宋体"/>
                <w:sz w:val="24"/>
                <w:szCs w:val="24"/>
              </w:rPr>
              <w:t>5</w:t>
            </w:r>
            <w:r>
              <w:rPr>
                <w:rFonts w:hint="eastAsia" w:ascii="宋体" w:hAnsi="宋体" w:cs="宋体"/>
                <w:sz w:val="24"/>
                <w:szCs w:val="24"/>
              </w:rPr>
              <w:t>分；使用不当发生药害，致使植物落叶死亡，每处扣</w:t>
            </w:r>
            <w:r>
              <w:rPr>
                <w:rFonts w:ascii="宋体" w:hAnsi="宋体" w:cs="宋体"/>
                <w:sz w:val="24"/>
                <w:szCs w:val="24"/>
              </w:rPr>
              <w:t>1</w:t>
            </w:r>
            <w:r>
              <w:rPr>
                <w:rFonts w:hint="eastAsia" w:ascii="宋体" w:hAnsi="宋体" w:cs="宋体"/>
                <w:sz w:val="24"/>
                <w:szCs w:val="24"/>
              </w:rPr>
              <w:t>分。</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ascii="宋体" w:cs="宋体"/>
                <w:sz w:val="24"/>
                <w:szCs w:val="24"/>
              </w:rPr>
              <w:t> </w:t>
            </w:r>
          </w:p>
        </w:tc>
      </w:tr>
      <w:tr>
        <w:tblPrEx>
          <w:tblCellMar>
            <w:top w:w="0" w:type="dxa"/>
            <w:left w:w="0" w:type="dxa"/>
            <w:bottom w:w="0" w:type="dxa"/>
            <w:right w:w="0" w:type="dxa"/>
          </w:tblCellMar>
        </w:tblPrEx>
        <w:trPr>
          <w:trHeight w:val="1371" w:hRule="atLeast"/>
          <w:jc w:val="center"/>
        </w:trPr>
        <w:tc>
          <w:tcPr>
            <w:tcW w:w="711"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cs="宋体"/>
                <w:sz w:val="24"/>
                <w:szCs w:val="24"/>
              </w:rPr>
            </w:pPr>
            <w:r>
              <w:rPr>
                <w:rFonts w:hint="eastAsia" w:ascii="宋体" w:hAnsi="宋体" w:cs="宋体"/>
                <w:sz w:val="24"/>
                <w:szCs w:val="24"/>
              </w:rPr>
              <w:t>直接扣分的条款</w:t>
            </w:r>
          </w:p>
        </w:tc>
        <w:tc>
          <w:tcPr>
            <w:tcW w:w="8508" w:type="dxa"/>
            <w:gridSpan w:val="3"/>
            <w:tcBorders>
              <w:top w:val="nil"/>
              <w:left w:val="nil"/>
              <w:bottom w:val="single" w:color="auto" w:sz="4" w:space="0"/>
              <w:right w:val="nil"/>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被新闻媒体、社会舆论、市长热线等曝光一次，属于责任问题扣</w:t>
            </w:r>
            <w:r>
              <w:rPr>
                <w:rFonts w:ascii="宋体" w:hAnsi="宋体" w:cs="宋体"/>
                <w:sz w:val="24"/>
                <w:szCs w:val="24"/>
              </w:rPr>
              <w:t>5</w:t>
            </w:r>
            <w:r>
              <w:rPr>
                <w:rFonts w:hint="eastAsia" w:ascii="宋体" w:hAnsi="宋体" w:cs="宋体"/>
                <w:sz w:val="24"/>
                <w:szCs w:val="24"/>
              </w:rPr>
              <w:t>分。</w:t>
            </w:r>
          </w:p>
          <w:p>
            <w:pPr>
              <w:spacing w:before="100" w:beforeAutospacing="1" w:after="100" w:afterAutospacing="1"/>
              <w:jc w:val="left"/>
              <w:rPr>
                <w:rFonts w:ascii="宋体" w:cs="宋体"/>
                <w:sz w:val="24"/>
                <w:szCs w:val="24"/>
              </w:rPr>
            </w:pPr>
            <w:r>
              <w:rPr>
                <w:rFonts w:hint="eastAsia" w:ascii="宋体" w:hAnsi="宋体" w:cs="宋体"/>
                <w:sz w:val="24"/>
                <w:szCs w:val="24"/>
              </w:rPr>
              <w:t>上级有关部门考核，发现问题扣</w:t>
            </w:r>
            <w:r>
              <w:rPr>
                <w:rFonts w:ascii="宋体" w:hAnsi="宋体" w:cs="宋体"/>
                <w:sz w:val="24"/>
                <w:szCs w:val="24"/>
              </w:rPr>
              <w:t>10</w:t>
            </w:r>
            <w:r>
              <w:rPr>
                <w:rFonts w:hint="eastAsia" w:ascii="宋体" w:hAnsi="宋体" w:cs="宋体"/>
                <w:sz w:val="24"/>
                <w:szCs w:val="24"/>
              </w:rPr>
              <w:t>分</w:t>
            </w:r>
            <w:r>
              <w:rPr>
                <w:rFonts w:ascii="宋体" w:hAnsi="宋体" w:cs="宋体"/>
                <w:sz w:val="24"/>
                <w:szCs w:val="24"/>
              </w:rPr>
              <w:t>/</w:t>
            </w:r>
            <w:r>
              <w:rPr>
                <w:rFonts w:hint="eastAsia" w:ascii="宋体" w:hAnsi="宋体" w:cs="宋体"/>
                <w:sz w:val="24"/>
                <w:szCs w:val="24"/>
              </w:rPr>
              <w:t>次</w:t>
            </w:r>
          </w:p>
        </w:tc>
        <w:tc>
          <w:tcPr>
            <w:tcW w:w="1260"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before="100" w:beforeAutospacing="1" w:after="100" w:afterAutospacing="1"/>
              <w:jc w:val="center"/>
              <w:rPr>
                <w:rFonts w:ascii="宋体" w:cs="宋体"/>
                <w:sz w:val="24"/>
                <w:szCs w:val="24"/>
              </w:rPr>
            </w:pPr>
            <w:r>
              <w:rPr>
                <w:rFonts w:hint="eastAsia" w:ascii="宋体" w:hAnsi="宋体" w:cs="宋体"/>
                <w:sz w:val="24"/>
                <w:szCs w:val="24"/>
              </w:rPr>
              <w:t>　</w:t>
            </w:r>
          </w:p>
          <w:p>
            <w:pPr>
              <w:spacing w:before="100" w:beforeAutospacing="1" w:after="100" w:afterAutospacing="1"/>
              <w:jc w:val="center"/>
              <w:rPr>
                <w:rFonts w:ascii="宋体" w:cs="宋体"/>
                <w:sz w:val="24"/>
                <w:szCs w:val="24"/>
              </w:rPr>
            </w:pPr>
            <w:r>
              <w:rPr>
                <w:rFonts w:ascii="宋体" w:cs="宋体"/>
                <w:sz w:val="24"/>
                <w:szCs w:val="24"/>
              </w:rPr>
              <w:t> </w:t>
            </w:r>
          </w:p>
        </w:tc>
      </w:tr>
      <w:tr>
        <w:tblPrEx>
          <w:tblCellMar>
            <w:top w:w="0" w:type="dxa"/>
            <w:left w:w="0" w:type="dxa"/>
            <w:bottom w:w="0" w:type="dxa"/>
            <w:right w:w="0" w:type="dxa"/>
          </w:tblCellMar>
        </w:tblPrEx>
        <w:trPr>
          <w:trHeight w:val="1324" w:hRule="atLeast"/>
          <w:jc w:val="center"/>
        </w:trPr>
        <w:tc>
          <w:tcPr>
            <w:tcW w:w="7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宋体" w:cs="宋体"/>
                <w:sz w:val="24"/>
                <w:szCs w:val="24"/>
              </w:rPr>
            </w:pPr>
            <w:r>
              <w:rPr>
                <w:rFonts w:hint="eastAsia" w:ascii="宋体" w:hAnsi="宋体" w:cs="宋体"/>
                <w:sz w:val="24"/>
                <w:szCs w:val="24"/>
              </w:rPr>
              <w:t>合计分数</w:t>
            </w:r>
          </w:p>
        </w:tc>
        <w:tc>
          <w:tcPr>
            <w:tcW w:w="9768"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left"/>
              <w:rPr>
                <w:rFonts w:ascii="宋体" w:cs="宋体"/>
                <w:sz w:val="24"/>
                <w:szCs w:val="24"/>
              </w:rPr>
            </w:pPr>
            <w:r>
              <w:rPr>
                <w:rFonts w:hint="eastAsia" w:ascii="宋体" w:hAnsi="宋体" w:cs="宋体"/>
                <w:sz w:val="24"/>
                <w:szCs w:val="24"/>
              </w:rPr>
              <w:t>　</w:t>
            </w:r>
          </w:p>
        </w:tc>
      </w:tr>
    </w:tbl>
    <w:p>
      <w:pPr>
        <w:spacing w:line="520" w:lineRule="exact"/>
        <w:rPr>
          <w:rFonts w:ascii="宋体" w:hAnsi="宋体" w:cs="宋体"/>
          <w:sz w:val="24"/>
          <w:szCs w:val="24"/>
        </w:rPr>
      </w:pPr>
      <w:r>
        <w:rPr>
          <w:rFonts w:hint="eastAsia" w:ascii="宋体" w:hAnsi="宋体" w:cs="宋体"/>
          <w:sz w:val="24"/>
          <w:szCs w:val="24"/>
        </w:rPr>
        <w:t>附件</w:t>
      </w:r>
      <w:r>
        <w:rPr>
          <w:rFonts w:ascii="宋体" w:hAnsi="宋体" w:cs="宋体"/>
          <w:sz w:val="24"/>
          <w:szCs w:val="24"/>
        </w:rPr>
        <w:t>3</w:t>
      </w:r>
    </w:p>
    <w:p>
      <w:pPr>
        <w:spacing w:line="520" w:lineRule="exact"/>
        <w:jc w:val="center"/>
        <w:rPr>
          <w:rFonts w:ascii="宋体" w:cs="宋体"/>
          <w:sz w:val="24"/>
          <w:szCs w:val="24"/>
        </w:rPr>
      </w:pPr>
      <w:r>
        <w:rPr>
          <w:rFonts w:ascii="宋体" w:hAnsi="宋体" w:cs="宋体"/>
          <w:sz w:val="24"/>
          <w:szCs w:val="24"/>
        </w:rPr>
        <w:t>2021-2023</w:t>
      </w:r>
      <w:r>
        <w:rPr>
          <w:rFonts w:hint="eastAsia" w:ascii="宋体" w:hAnsi="宋体" w:cs="宋体"/>
          <w:sz w:val="24"/>
          <w:szCs w:val="24"/>
        </w:rPr>
        <w:t>年露地园林植物病虫害月防治详表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440"/>
        <w:gridCol w:w="1980"/>
        <w:gridCol w:w="3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520" w:lineRule="exact"/>
              <w:jc w:val="center"/>
              <w:rPr>
                <w:rFonts w:ascii="宋体" w:cs="宋体"/>
                <w:sz w:val="24"/>
                <w:szCs w:val="24"/>
              </w:rPr>
            </w:pPr>
            <w:r>
              <w:rPr>
                <w:rFonts w:hint="eastAsia" w:ascii="宋体" w:hAnsi="宋体" w:cs="宋体"/>
                <w:sz w:val="24"/>
                <w:szCs w:val="24"/>
              </w:rPr>
              <w:t>防治时期</w:t>
            </w:r>
          </w:p>
        </w:tc>
        <w:tc>
          <w:tcPr>
            <w:tcW w:w="1440" w:type="dxa"/>
          </w:tcPr>
          <w:p>
            <w:pPr>
              <w:spacing w:line="520" w:lineRule="exact"/>
              <w:jc w:val="center"/>
              <w:rPr>
                <w:rFonts w:ascii="宋体" w:cs="宋体"/>
                <w:sz w:val="24"/>
                <w:szCs w:val="24"/>
              </w:rPr>
            </w:pPr>
            <w:r>
              <w:rPr>
                <w:rFonts w:hint="eastAsia" w:ascii="宋体" w:hAnsi="宋体" w:cs="宋体"/>
                <w:sz w:val="24"/>
                <w:szCs w:val="24"/>
              </w:rPr>
              <w:t>防治植物类别</w:t>
            </w:r>
          </w:p>
        </w:tc>
        <w:tc>
          <w:tcPr>
            <w:tcW w:w="1980" w:type="dxa"/>
          </w:tcPr>
          <w:p>
            <w:pPr>
              <w:spacing w:line="520" w:lineRule="exact"/>
              <w:jc w:val="center"/>
              <w:rPr>
                <w:rFonts w:ascii="宋体" w:cs="宋体"/>
                <w:sz w:val="24"/>
                <w:szCs w:val="24"/>
              </w:rPr>
            </w:pPr>
            <w:r>
              <w:rPr>
                <w:rFonts w:hint="eastAsia" w:ascii="宋体" w:hAnsi="宋体" w:cs="宋体"/>
                <w:sz w:val="24"/>
                <w:szCs w:val="24"/>
              </w:rPr>
              <w:t>防治对象</w:t>
            </w:r>
          </w:p>
        </w:tc>
        <w:tc>
          <w:tcPr>
            <w:tcW w:w="3914" w:type="dxa"/>
          </w:tcPr>
          <w:p>
            <w:pPr>
              <w:tabs>
                <w:tab w:val="left" w:pos="327"/>
              </w:tabs>
              <w:spacing w:line="520" w:lineRule="exact"/>
              <w:rPr>
                <w:rFonts w:ascii="宋体" w:cs="宋体"/>
                <w:sz w:val="24"/>
                <w:szCs w:val="24"/>
              </w:rPr>
            </w:pPr>
            <w:r>
              <w:rPr>
                <w:rFonts w:ascii="宋体" w:cs="宋体"/>
                <w:sz w:val="24"/>
                <w:szCs w:val="24"/>
              </w:rPr>
              <w:tab/>
            </w:r>
            <w:r>
              <w:rPr>
                <w:rFonts w:hint="eastAsia" w:ascii="宋体" w:hAnsi="宋体" w:cs="宋体"/>
                <w:sz w:val="24"/>
                <w:szCs w:val="24"/>
              </w:rPr>
              <w:t>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1188" w:type="dxa"/>
            <w:vAlign w:val="center"/>
          </w:tcPr>
          <w:p>
            <w:pPr>
              <w:spacing w:line="520" w:lineRule="exact"/>
              <w:jc w:val="center"/>
              <w:rPr>
                <w:rFonts w:ascii="宋体" w:cs="宋体"/>
                <w:sz w:val="24"/>
                <w:szCs w:val="24"/>
              </w:rPr>
            </w:pPr>
            <w:r>
              <w:rPr>
                <w:rFonts w:hint="eastAsia" w:ascii="宋体" w:hAnsi="宋体" w:cs="宋体"/>
                <w:sz w:val="24"/>
                <w:szCs w:val="24"/>
              </w:rPr>
              <w:t>一月</w:t>
            </w:r>
          </w:p>
        </w:tc>
        <w:tc>
          <w:tcPr>
            <w:tcW w:w="1440" w:type="dxa"/>
            <w:vAlign w:val="center"/>
          </w:tcPr>
          <w:p>
            <w:pPr>
              <w:jc w:val="center"/>
              <w:rPr>
                <w:rFonts w:ascii="宋体" w:cs="宋体"/>
                <w:sz w:val="24"/>
                <w:szCs w:val="24"/>
              </w:rPr>
            </w:pPr>
            <w:r>
              <w:rPr>
                <w:rFonts w:hint="eastAsia" w:ascii="宋体" w:hAnsi="宋体" w:cs="宋体"/>
                <w:sz w:val="24"/>
                <w:szCs w:val="24"/>
              </w:rPr>
              <w:t>乔木、花灌木、草坪</w:t>
            </w:r>
          </w:p>
        </w:tc>
        <w:tc>
          <w:tcPr>
            <w:tcW w:w="1980" w:type="dxa"/>
            <w:vAlign w:val="center"/>
          </w:tcPr>
          <w:p>
            <w:pPr>
              <w:jc w:val="center"/>
              <w:rPr>
                <w:rFonts w:ascii="宋体" w:hAnsi="宋体" w:cs="宋体"/>
                <w:sz w:val="24"/>
                <w:szCs w:val="24"/>
              </w:rPr>
            </w:pPr>
            <w:r>
              <w:rPr>
                <w:rFonts w:hint="eastAsia" w:ascii="宋体" w:hAnsi="宋体" w:cs="宋体"/>
                <w:sz w:val="24"/>
                <w:szCs w:val="24"/>
              </w:rPr>
              <w:t>虫卵</w:t>
            </w:r>
            <w:r>
              <w:rPr>
                <w:rFonts w:ascii="宋体" w:cs="宋体"/>
                <w:sz w:val="24"/>
                <w:szCs w:val="24"/>
              </w:rPr>
              <w:t>.</w:t>
            </w:r>
            <w:r>
              <w:rPr>
                <w:rFonts w:hint="eastAsia" w:ascii="宋体" w:hAnsi="宋体" w:cs="宋体"/>
                <w:sz w:val="24"/>
                <w:szCs w:val="24"/>
              </w:rPr>
              <w:t>幼虫</w:t>
            </w:r>
            <w:r>
              <w:rPr>
                <w:rFonts w:ascii="宋体" w:cs="宋体"/>
                <w:sz w:val="24"/>
                <w:szCs w:val="24"/>
              </w:rPr>
              <w:t>.</w:t>
            </w:r>
            <w:r>
              <w:rPr>
                <w:rFonts w:hint="eastAsia" w:ascii="宋体" w:hAnsi="宋体" w:cs="宋体"/>
                <w:sz w:val="24"/>
                <w:szCs w:val="24"/>
              </w:rPr>
              <w:t>蛹</w:t>
            </w:r>
            <w:r>
              <w:rPr>
                <w:rFonts w:ascii="宋体" w:cs="宋体"/>
                <w:sz w:val="24"/>
                <w:szCs w:val="24"/>
              </w:rPr>
              <w:t>.</w:t>
            </w:r>
            <w:r>
              <w:rPr>
                <w:rFonts w:hint="eastAsia" w:ascii="宋体" w:hAnsi="宋体" w:cs="宋体"/>
                <w:sz w:val="24"/>
                <w:szCs w:val="24"/>
              </w:rPr>
              <w:t>病菌</w:t>
            </w:r>
            <w:r>
              <w:rPr>
                <w:rFonts w:ascii="宋体" w:hAnsi="宋体" w:cs="宋体"/>
                <w:sz w:val="24"/>
                <w:szCs w:val="24"/>
              </w:rPr>
              <w:t>(</w:t>
            </w:r>
            <w:r>
              <w:rPr>
                <w:rFonts w:hint="eastAsia" w:ascii="宋体" w:hAnsi="宋体" w:cs="宋体"/>
                <w:sz w:val="24"/>
                <w:szCs w:val="24"/>
              </w:rPr>
              <w:t>越冬病虫</w:t>
            </w:r>
            <w:r>
              <w:rPr>
                <w:rFonts w:ascii="宋体" w:hAnsi="宋体" w:cs="宋体"/>
                <w:sz w:val="24"/>
                <w:szCs w:val="24"/>
              </w:rPr>
              <w:t>)</w:t>
            </w:r>
          </w:p>
          <w:p>
            <w:pPr>
              <w:spacing w:line="520" w:lineRule="exact"/>
              <w:jc w:val="center"/>
              <w:rPr>
                <w:rFonts w:ascii="宋体" w:cs="宋体"/>
                <w:sz w:val="24"/>
                <w:szCs w:val="24"/>
              </w:rPr>
            </w:pPr>
          </w:p>
        </w:tc>
        <w:tc>
          <w:tcPr>
            <w:tcW w:w="3914" w:type="dxa"/>
            <w:vAlign w:val="center"/>
          </w:tcPr>
          <w:p>
            <w:pPr>
              <w:jc w:val="center"/>
              <w:rPr>
                <w:rFonts w:ascii="宋体" w:cs="宋体"/>
                <w:sz w:val="24"/>
                <w:szCs w:val="24"/>
              </w:rPr>
            </w:pPr>
            <w:r>
              <w:rPr>
                <w:rFonts w:ascii="宋体" w:hAnsi="宋体" w:cs="宋体"/>
                <w:sz w:val="24"/>
                <w:szCs w:val="24"/>
              </w:rPr>
              <w:t>1</w:t>
            </w:r>
            <w:r>
              <w:rPr>
                <w:rFonts w:hint="eastAsia" w:ascii="宋体" w:hAnsi="宋体" w:cs="宋体"/>
                <w:sz w:val="24"/>
                <w:szCs w:val="24"/>
              </w:rPr>
              <w:t>、石硫合剂→</w:t>
            </w:r>
            <w:r>
              <w:rPr>
                <w:rFonts w:ascii="宋体" w:hAnsi="宋体" w:cs="宋体"/>
                <w:sz w:val="24"/>
                <w:szCs w:val="24"/>
              </w:rPr>
              <w:t>200</w:t>
            </w:r>
            <w:r>
              <w:rPr>
                <w:rFonts w:hint="eastAsia" w:ascii="宋体" w:hAnsi="宋体" w:cs="宋体"/>
                <w:sz w:val="24"/>
                <w:szCs w:val="24"/>
              </w:rPr>
              <w:t>倍液喷洒全园植物</w:t>
            </w:r>
            <w:r>
              <w:rPr>
                <w:rFonts w:ascii="宋体" w:hAnsi="宋体" w:cs="宋体"/>
                <w:sz w:val="24"/>
                <w:szCs w:val="24"/>
              </w:rPr>
              <w:t xml:space="preserve">  20</w:t>
            </w:r>
            <w:r>
              <w:rPr>
                <w:rFonts w:hint="eastAsia" w:ascii="宋体" w:hAnsi="宋体" w:cs="宋体"/>
                <w:sz w:val="24"/>
                <w:szCs w:val="24"/>
              </w:rPr>
              <w:t>倍液→涂抹百日红</w:t>
            </w:r>
            <w:r>
              <w:rPr>
                <w:rFonts w:ascii="宋体" w:hAnsi="宋体" w:cs="宋体"/>
                <w:sz w:val="24"/>
                <w:szCs w:val="24"/>
              </w:rPr>
              <w:t xml:space="preserve"> 2</w:t>
            </w:r>
            <w:r>
              <w:rPr>
                <w:rFonts w:hint="eastAsia" w:ascii="宋体" w:hAnsi="宋体" w:cs="宋体"/>
                <w:sz w:val="24"/>
                <w:szCs w:val="24"/>
              </w:rPr>
              <w:t>、用人工修剪病虫枝，刮除树皮缝杈处的越冬害虫、病菌。</w:t>
            </w:r>
            <w:r>
              <w:rPr>
                <w:rFonts w:ascii="宋体" w:hAnsi="宋体" w:cs="宋体"/>
                <w:sz w:val="24"/>
                <w:szCs w:val="24"/>
              </w:rPr>
              <w:t>3</w:t>
            </w:r>
            <w:r>
              <w:rPr>
                <w:rFonts w:hint="eastAsia" w:ascii="宋体" w:hAnsi="宋体" w:cs="宋体"/>
                <w:sz w:val="24"/>
                <w:szCs w:val="24"/>
              </w:rPr>
              <w:t>、对有病虫害的植物结合冬季修剪并烧毁病虫枝，消灭越冬害虫。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520" w:lineRule="exact"/>
              <w:jc w:val="center"/>
              <w:rPr>
                <w:rFonts w:ascii="宋体" w:cs="宋体"/>
                <w:sz w:val="24"/>
                <w:szCs w:val="24"/>
              </w:rPr>
            </w:pPr>
            <w:r>
              <w:rPr>
                <w:rFonts w:hint="eastAsia" w:ascii="宋体" w:hAnsi="宋体" w:cs="宋体"/>
                <w:sz w:val="24"/>
                <w:szCs w:val="24"/>
              </w:rPr>
              <w:t>二月</w:t>
            </w:r>
          </w:p>
        </w:tc>
        <w:tc>
          <w:tcPr>
            <w:tcW w:w="1440" w:type="dxa"/>
            <w:vAlign w:val="center"/>
          </w:tcPr>
          <w:p>
            <w:pPr>
              <w:spacing w:line="520" w:lineRule="exact"/>
              <w:jc w:val="center"/>
              <w:rPr>
                <w:rFonts w:ascii="宋体" w:cs="宋体"/>
                <w:sz w:val="24"/>
                <w:szCs w:val="24"/>
              </w:rPr>
            </w:pPr>
            <w:r>
              <w:rPr>
                <w:rFonts w:hint="eastAsia" w:ascii="宋体" w:hAnsi="宋体" w:cs="宋体"/>
                <w:sz w:val="24"/>
                <w:szCs w:val="24"/>
              </w:rPr>
              <w:t>乔木、花灌木、草坪</w:t>
            </w:r>
          </w:p>
        </w:tc>
        <w:tc>
          <w:tcPr>
            <w:tcW w:w="1980" w:type="dxa"/>
            <w:vAlign w:val="center"/>
          </w:tcPr>
          <w:p>
            <w:pPr>
              <w:jc w:val="center"/>
              <w:rPr>
                <w:rFonts w:ascii="宋体" w:hAnsi="宋体" w:cs="宋体"/>
                <w:sz w:val="24"/>
                <w:szCs w:val="24"/>
              </w:rPr>
            </w:pPr>
            <w:r>
              <w:rPr>
                <w:rFonts w:hint="eastAsia" w:ascii="宋体" w:hAnsi="宋体" w:cs="宋体"/>
                <w:sz w:val="24"/>
                <w:szCs w:val="24"/>
              </w:rPr>
              <w:t>虫卵</w:t>
            </w:r>
            <w:r>
              <w:rPr>
                <w:rFonts w:ascii="宋体" w:cs="宋体"/>
                <w:sz w:val="24"/>
                <w:szCs w:val="24"/>
              </w:rPr>
              <w:t>.</w:t>
            </w:r>
            <w:r>
              <w:rPr>
                <w:rFonts w:hint="eastAsia" w:ascii="宋体" w:hAnsi="宋体" w:cs="宋体"/>
                <w:sz w:val="24"/>
                <w:szCs w:val="24"/>
              </w:rPr>
              <w:t>幼虫</w:t>
            </w:r>
            <w:r>
              <w:rPr>
                <w:rFonts w:ascii="宋体" w:cs="宋体"/>
                <w:sz w:val="24"/>
                <w:szCs w:val="24"/>
              </w:rPr>
              <w:t>.</w:t>
            </w:r>
            <w:r>
              <w:rPr>
                <w:rFonts w:hint="eastAsia" w:ascii="宋体" w:hAnsi="宋体" w:cs="宋体"/>
                <w:sz w:val="24"/>
                <w:szCs w:val="24"/>
              </w:rPr>
              <w:t>蛹</w:t>
            </w:r>
            <w:r>
              <w:rPr>
                <w:rFonts w:ascii="宋体" w:cs="宋体"/>
                <w:sz w:val="24"/>
                <w:szCs w:val="24"/>
              </w:rPr>
              <w:t>.</w:t>
            </w:r>
            <w:r>
              <w:rPr>
                <w:rFonts w:hint="eastAsia" w:ascii="宋体" w:hAnsi="宋体" w:cs="宋体"/>
                <w:sz w:val="24"/>
                <w:szCs w:val="24"/>
              </w:rPr>
              <w:t>病菌</w:t>
            </w:r>
            <w:r>
              <w:rPr>
                <w:rFonts w:ascii="宋体" w:hAnsi="宋体" w:cs="宋体"/>
                <w:sz w:val="24"/>
                <w:szCs w:val="24"/>
              </w:rPr>
              <w:t>(</w:t>
            </w:r>
            <w:r>
              <w:rPr>
                <w:rFonts w:hint="eastAsia" w:ascii="宋体" w:hAnsi="宋体" w:cs="宋体"/>
                <w:sz w:val="24"/>
                <w:szCs w:val="24"/>
              </w:rPr>
              <w:t>越冬病虫</w:t>
            </w:r>
            <w:r>
              <w:rPr>
                <w:rFonts w:ascii="宋体" w:hAnsi="宋体" w:cs="宋体"/>
                <w:sz w:val="24"/>
                <w:szCs w:val="24"/>
              </w:rPr>
              <w:t>)</w:t>
            </w:r>
          </w:p>
          <w:p>
            <w:pPr>
              <w:spacing w:line="520" w:lineRule="exact"/>
              <w:jc w:val="center"/>
              <w:rPr>
                <w:rFonts w:ascii="宋体" w:cs="宋体"/>
                <w:sz w:val="24"/>
                <w:szCs w:val="24"/>
              </w:rPr>
            </w:pPr>
          </w:p>
        </w:tc>
        <w:tc>
          <w:tcPr>
            <w:tcW w:w="3914" w:type="dxa"/>
            <w:vAlign w:val="center"/>
          </w:tcPr>
          <w:p>
            <w:pPr>
              <w:jc w:val="center"/>
              <w:rPr>
                <w:rFonts w:ascii="宋体" w:cs="宋体"/>
                <w:sz w:val="24"/>
                <w:szCs w:val="24"/>
              </w:rPr>
            </w:pPr>
            <w:r>
              <w:rPr>
                <w:rFonts w:ascii="宋体" w:hAnsi="宋体" w:cs="宋体"/>
                <w:sz w:val="24"/>
                <w:szCs w:val="24"/>
              </w:rPr>
              <w:t>1</w:t>
            </w:r>
            <w:r>
              <w:rPr>
                <w:rFonts w:hint="eastAsia" w:ascii="宋体" w:hAnsi="宋体" w:cs="宋体"/>
                <w:sz w:val="24"/>
                <w:szCs w:val="24"/>
              </w:rPr>
              <w:t>、石硫合剂→</w:t>
            </w:r>
            <w:r>
              <w:rPr>
                <w:rFonts w:ascii="宋体" w:hAnsi="宋体" w:cs="宋体"/>
                <w:sz w:val="24"/>
                <w:szCs w:val="24"/>
              </w:rPr>
              <w:t>200</w:t>
            </w:r>
            <w:r>
              <w:rPr>
                <w:rFonts w:hint="eastAsia" w:ascii="宋体" w:hAnsi="宋体" w:cs="宋体"/>
                <w:sz w:val="24"/>
                <w:szCs w:val="24"/>
              </w:rPr>
              <w:t>倍液喷洒全园植物</w:t>
            </w:r>
            <w:r>
              <w:rPr>
                <w:rFonts w:ascii="宋体" w:hAnsi="宋体" w:cs="宋体"/>
                <w:sz w:val="24"/>
                <w:szCs w:val="24"/>
              </w:rPr>
              <w:t xml:space="preserve">  20</w:t>
            </w:r>
            <w:r>
              <w:rPr>
                <w:rFonts w:hint="eastAsia" w:ascii="宋体" w:hAnsi="宋体" w:cs="宋体"/>
                <w:sz w:val="24"/>
                <w:szCs w:val="24"/>
              </w:rPr>
              <w:t>倍液→涂抹百日红</w:t>
            </w:r>
            <w:r>
              <w:rPr>
                <w:rFonts w:ascii="宋体" w:hAnsi="宋体" w:cs="宋体"/>
                <w:sz w:val="24"/>
                <w:szCs w:val="24"/>
              </w:rPr>
              <w:t xml:space="preserve"> 2</w:t>
            </w:r>
            <w:r>
              <w:rPr>
                <w:rFonts w:hint="eastAsia" w:ascii="宋体" w:hAnsi="宋体" w:cs="宋体"/>
                <w:sz w:val="24"/>
                <w:szCs w:val="24"/>
              </w:rPr>
              <w:t>、用人工修剪病虫枝，刮除树皮缝杈处的越冬害虫、病菌。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520" w:lineRule="exact"/>
              <w:jc w:val="center"/>
              <w:rPr>
                <w:rFonts w:ascii="宋体" w:cs="宋体"/>
                <w:sz w:val="24"/>
                <w:szCs w:val="24"/>
              </w:rPr>
            </w:pPr>
            <w:r>
              <w:rPr>
                <w:rFonts w:hint="eastAsia" w:ascii="宋体" w:hAnsi="宋体" w:cs="宋体"/>
                <w:sz w:val="24"/>
                <w:szCs w:val="24"/>
              </w:rPr>
              <w:t>三月</w:t>
            </w:r>
          </w:p>
        </w:tc>
        <w:tc>
          <w:tcPr>
            <w:tcW w:w="1440" w:type="dxa"/>
            <w:vAlign w:val="center"/>
          </w:tcPr>
          <w:p>
            <w:pPr>
              <w:spacing w:line="520" w:lineRule="exact"/>
              <w:jc w:val="center"/>
              <w:rPr>
                <w:rFonts w:ascii="宋体" w:cs="宋体"/>
                <w:sz w:val="24"/>
                <w:szCs w:val="24"/>
              </w:rPr>
            </w:pPr>
            <w:r>
              <w:rPr>
                <w:rFonts w:hint="eastAsia" w:ascii="宋体" w:hAnsi="宋体" w:cs="宋体"/>
                <w:sz w:val="24"/>
                <w:szCs w:val="24"/>
              </w:rPr>
              <w:t>乔木、花灌木、草坪</w:t>
            </w:r>
          </w:p>
        </w:tc>
        <w:tc>
          <w:tcPr>
            <w:tcW w:w="1980" w:type="dxa"/>
            <w:vAlign w:val="center"/>
          </w:tcPr>
          <w:p>
            <w:pPr>
              <w:jc w:val="center"/>
              <w:rPr>
                <w:rFonts w:ascii="宋体" w:cs="宋体"/>
                <w:sz w:val="24"/>
                <w:szCs w:val="24"/>
              </w:rPr>
            </w:pPr>
            <w:r>
              <w:rPr>
                <w:rFonts w:hint="eastAsia" w:ascii="宋体" w:hAnsi="宋体" w:cs="宋体"/>
                <w:sz w:val="24"/>
                <w:szCs w:val="24"/>
              </w:rPr>
              <w:t>白粉病、锈病、尺蠖、蚧壳虫、蚜虫、螨类等</w:t>
            </w:r>
          </w:p>
          <w:p>
            <w:pPr>
              <w:spacing w:line="520" w:lineRule="exact"/>
              <w:jc w:val="center"/>
              <w:rPr>
                <w:rFonts w:ascii="宋体" w:cs="宋体"/>
                <w:sz w:val="24"/>
                <w:szCs w:val="24"/>
              </w:rPr>
            </w:pPr>
          </w:p>
        </w:tc>
        <w:tc>
          <w:tcPr>
            <w:tcW w:w="3914" w:type="dxa"/>
            <w:vAlign w:val="center"/>
          </w:tcPr>
          <w:p>
            <w:pPr>
              <w:jc w:val="center"/>
              <w:rPr>
                <w:rFonts w:ascii="宋体" w:cs="宋体"/>
                <w:sz w:val="24"/>
                <w:szCs w:val="24"/>
              </w:rPr>
            </w:pPr>
            <w:r>
              <w:rPr>
                <w:rFonts w:ascii="宋体" w:hAnsi="宋体" w:cs="宋体"/>
                <w:sz w:val="24"/>
                <w:szCs w:val="24"/>
              </w:rPr>
              <w:t>1</w:t>
            </w:r>
            <w:r>
              <w:rPr>
                <w:rFonts w:hint="eastAsia" w:ascii="宋体" w:hAnsi="宋体" w:cs="宋体"/>
                <w:sz w:val="24"/>
                <w:szCs w:val="24"/>
              </w:rPr>
              <w:t>、常青树下埋呋喃丹、复合肥。</w:t>
            </w:r>
            <w:r>
              <w:rPr>
                <w:rFonts w:ascii="宋体" w:hAnsi="宋体" w:cs="宋体"/>
                <w:sz w:val="24"/>
                <w:szCs w:val="24"/>
              </w:rPr>
              <w:t xml:space="preserve"> 2</w:t>
            </w:r>
            <w:r>
              <w:rPr>
                <w:rFonts w:hint="eastAsia" w:ascii="宋体" w:hAnsi="宋体" w:cs="宋体"/>
                <w:sz w:val="24"/>
                <w:szCs w:val="24"/>
              </w:rPr>
              <w:t>、采用钻孔注射式：用氧化乐果。</w:t>
            </w:r>
            <w:r>
              <w:rPr>
                <w:rFonts w:ascii="宋体" w:hAnsi="宋体" w:cs="宋体"/>
                <w:sz w:val="24"/>
                <w:szCs w:val="24"/>
              </w:rPr>
              <w:t>3</w:t>
            </w:r>
            <w:r>
              <w:rPr>
                <w:rFonts w:hint="eastAsia" w:ascii="宋体" w:hAnsi="宋体" w:cs="宋体"/>
                <w:sz w:val="24"/>
                <w:szCs w:val="24"/>
              </w:rPr>
              <w:t>、用氧化乐果</w:t>
            </w:r>
            <w:r>
              <w:rPr>
                <w:rFonts w:ascii="宋体" w:hAnsi="宋体" w:cs="宋体"/>
                <w:sz w:val="24"/>
                <w:szCs w:val="24"/>
              </w:rPr>
              <w:t>1000-1500</w:t>
            </w:r>
            <w:r>
              <w:rPr>
                <w:rFonts w:hint="eastAsia" w:ascii="宋体" w:hAnsi="宋体" w:cs="宋体"/>
                <w:sz w:val="24"/>
                <w:szCs w:val="24"/>
              </w:rPr>
              <w:t>倍液。</w:t>
            </w:r>
            <w:r>
              <w:rPr>
                <w:rFonts w:ascii="宋体" w:hAnsi="宋体" w:cs="宋体"/>
                <w:sz w:val="24"/>
                <w:szCs w:val="24"/>
              </w:rPr>
              <w:t>4</w:t>
            </w:r>
            <w:r>
              <w:rPr>
                <w:rFonts w:hint="eastAsia" w:ascii="宋体" w:hAnsi="宋体" w:cs="宋体"/>
                <w:sz w:val="24"/>
                <w:szCs w:val="24"/>
              </w:rPr>
              <w:t>、速蚧杀</w:t>
            </w:r>
            <w:r>
              <w:rPr>
                <w:rFonts w:ascii="宋体" w:hAnsi="宋体" w:cs="宋体"/>
                <w:sz w:val="24"/>
                <w:szCs w:val="24"/>
              </w:rPr>
              <w:t>1000</w:t>
            </w:r>
            <w:r>
              <w:rPr>
                <w:rFonts w:hint="eastAsia" w:ascii="宋体" w:hAnsi="宋体" w:cs="宋体"/>
                <w:sz w:val="24"/>
                <w:szCs w:val="24"/>
              </w:rPr>
              <w:t>倍液喷洒</w:t>
            </w:r>
            <w:r>
              <w:rPr>
                <w:rFonts w:ascii="宋体" w:cs="宋体"/>
                <w:sz w:val="24"/>
                <w:szCs w:val="24"/>
              </w:rPr>
              <w:t>.</w:t>
            </w:r>
            <w:r>
              <w:rPr>
                <w:rFonts w:hint="eastAsia" w:ascii="宋体" w:hAnsi="宋体" w:cs="宋体"/>
                <w:sz w:val="24"/>
                <w:szCs w:val="24"/>
              </w:rPr>
              <w:t>三氯杀螨醇</w:t>
            </w:r>
            <w:r>
              <w:rPr>
                <w:rFonts w:ascii="宋体" w:hAnsi="宋体" w:cs="宋体"/>
                <w:sz w:val="24"/>
                <w:szCs w:val="24"/>
              </w:rPr>
              <w:t>800</w:t>
            </w:r>
            <w:r>
              <w:rPr>
                <w:rFonts w:hint="eastAsia" w:ascii="宋体" w:hAnsi="宋体" w:cs="宋体"/>
                <w:sz w:val="24"/>
                <w:szCs w:val="24"/>
              </w:rPr>
              <w:t>液喷洒。。</w:t>
            </w:r>
            <w:r>
              <w:rPr>
                <w:rFonts w:ascii="宋体" w:hAnsi="宋体" w:cs="宋体"/>
                <w:sz w:val="24"/>
                <w:szCs w:val="24"/>
              </w:rPr>
              <w:t>5</w:t>
            </w:r>
            <w:r>
              <w:rPr>
                <w:rFonts w:hint="eastAsia" w:ascii="宋体" w:hAnsi="宋体" w:cs="宋体"/>
                <w:sz w:val="24"/>
                <w:szCs w:val="24"/>
              </w:rPr>
              <w:t>、乐斯本</w:t>
            </w:r>
            <w:r>
              <w:rPr>
                <w:rFonts w:ascii="宋体" w:hAnsi="宋体" w:cs="宋体"/>
                <w:sz w:val="24"/>
                <w:szCs w:val="24"/>
              </w:rPr>
              <w:t>1500</w:t>
            </w:r>
            <w:r>
              <w:rPr>
                <w:rFonts w:hint="eastAsia" w:ascii="宋体" w:hAnsi="宋体" w:cs="宋体"/>
                <w:sz w:val="24"/>
                <w:szCs w:val="24"/>
              </w:rPr>
              <w:t>倍液。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188" w:type="dxa"/>
            <w:vMerge w:val="restart"/>
            <w:vAlign w:val="center"/>
          </w:tcPr>
          <w:p>
            <w:pPr>
              <w:spacing w:line="520" w:lineRule="exact"/>
              <w:jc w:val="center"/>
              <w:rPr>
                <w:rFonts w:ascii="宋体" w:cs="宋体"/>
                <w:sz w:val="24"/>
                <w:szCs w:val="24"/>
              </w:rPr>
            </w:pPr>
            <w:r>
              <w:rPr>
                <w:rFonts w:hint="eastAsia" w:ascii="宋体" w:hAnsi="宋体" w:cs="宋体"/>
                <w:sz w:val="24"/>
                <w:szCs w:val="24"/>
              </w:rPr>
              <w:t>四月</w:t>
            </w:r>
          </w:p>
        </w:tc>
        <w:tc>
          <w:tcPr>
            <w:tcW w:w="1440" w:type="dxa"/>
            <w:vAlign w:val="center"/>
          </w:tcPr>
          <w:p>
            <w:pPr>
              <w:spacing w:line="520" w:lineRule="exact"/>
              <w:jc w:val="center"/>
              <w:rPr>
                <w:rFonts w:ascii="宋体" w:cs="宋体"/>
                <w:sz w:val="24"/>
                <w:szCs w:val="24"/>
              </w:rPr>
            </w:pPr>
            <w:r>
              <w:rPr>
                <w:rFonts w:hint="eastAsia" w:ascii="宋体" w:hAnsi="宋体" w:cs="宋体"/>
                <w:sz w:val="24"/>
                <w:szCs w:val="24"/>
              </w:rPr>
              <w:t>乔木、花灌木</w:t>
            </w:r>
          </w:p>
        </w:tc>
        <w:tc>
          <w:tcPr>
            <w:tcW w:w="1980" w:type="dxa"/>
            <w:vAlign w:val="center"/>
          </w:tcPr>
          <w:p>
            <w:pPr>
              <w:jc w:val="center"/>
              <w:rPr>
                <w:rFonts w:ascii="宋体" w:cs="宋体"/>
                <w:sz w:val="24"/>
                <w:szCs w:val="24"/>
              </w:rPr>
            </w:pPr>
            <w:r>
              <w:rPr>
                <w:rFonts w:hint="eastAsia" w:ascii="宋体" w:hAnsi="宋体" w:cs="宋体"/>
                <w:sz w:val="24"/>
                <w:szCs w:val="24"/>
              </w:rPr>
              <w:t>天牛、蚧壳虫、尺蠖、白粉病、螨类等</w:t>
            </w:r>
          </w:p>
        </w:tc>
        <w:tc>
          <w:tcPr>
            <w:tcW w:w="3914" w:type="dxa"/>
            <w:vAlign w:val="center"/>
          </w:tcPr>
          <w:p>
            <w:pPr>
              <w:jc w:val="center"/>
              <w:rPr>
                <w:rFonts w:ascii="宋体" w:cs="宋体"/>
                <w:sz w:val="24"/>
                <w:szCs w:val="24"/>
              </w:rPr>
            </w:pPr>
            <w:r>
              <w:rPr>
                <w:rFonts w:ascii="宋体" w:hAnsi="宋体" w:cs="宋体"/>
                <w:sz w:val="24"/>
                <w:szCs w:val="24"/>
              </w:rPr>
              <w:t>1</w:t>
            </w:r>
            <w:r>
              <w:rPr>
                <w:rFonts w:hint="eastAsia" w:ascii="宋体" w:hAnsi="宋体" w:cs="宋体"/>
                <w:sz w:val="24"/>
                <w:szCs w:val="24"/>
              </w:rPr>
              <w:t>、用氧化乐果</w:t>
            </w:r>
            <w:r>
              <w:rPr>
                <w:rFonts w:ascii="宋体" w:hAnsi="宋体" w:cs="宋体"/>
                <w:sz w:val="24"/>
                <w:szCs w:val="24"/>
              </w:rPr>
              <w:t>1000-1500</w:t>
            </w:r>
            <w:r>
              <w:rPr>
                <w:rFonts w:hint="eastAsia" w:ascii="宋体" w:hAnsi="宋体" w:cs="宋体"/>
                <w:sz w:val="24"/>
                <w:szCs w:val="24"/>
              </w:rPr>
              <w:t>倍液。</w:t>
            </w:r>
            <w:r>
              <w:rPr>
                <w:rFonts w:ascii="宋体" w:hAnsi="宋体" w:cs="宋体"/>
                <w:sz w:val="24"/>
                <w:szCs w:val="24"/>
              </w:rPr>
              <w:t>2</w:t>
            </w:r>
            <w:r>
              <w:rPr>
                <w:rFonts w:hint="eastAsia" w:ascii="宋体" w:hAnsi="宋体" w:cs="宋体"/>
                <w:sz w:val="24"/>
                <w:szCs w:val="24"/>
              </w:rPr>
              <w:t>、速蚧杀</w:t>
            </w:r>
            <w:r>
              <w:rPr>
                <w:rFonts w:ascii="宋体" w:hAnsi="宋体" w:cs="宋体"/>
                <w:sz w:val="24"/>
                <w:szCs w:val="24"/>
              </w:rPr>
              <w:t>1000</w:t>
            </w:r>
            <w:r>
              <w:rPr>
                <w:rFonts w:hint="eastAsia" w:ascii="宋体" w:hAnsi="宋体" w:cs="宋体"/>
                <w:sz w:val="24"/>
                <w:szCs w:val="24"/>
              </w:rPr>
              <w:t>倍液喷洒。</w:t>
            </w:r>
            <w:r>
              <w:rPr>
                <w:rFonts w:ascii="宋体" w:hAnsi="宋体" w:cs="宋体"/>
                <w:sz w:val="24"/>
                <w:szCs w:val="24"/>
              </w:rPr>
              <w:t>3</w:t>
            </w:r>
            <w:r>
              <w:rPr>
                <w:rFonts w:hint="eastAsia" w:ascii="宋体" w:hAnsi="宋体" w:cs="宋体"/>
                <w:sz w:val="24"/>
                <w:szCs w:val="24"/>
              </w:rPr>
              <w:t>、乐斯本</w:t>
            </w:r>
            <w:r>
              <w:rPr>
                <w:rFonts w:ascii="宋体" w:hAnsi="宋体" w:cs="宋体"/>
                <w:sz w:val="24"/>
                <w:szCs w:val="24"/>
              </w:rPr>
              <w:t>1500</w:t>
            </w:r>
            <w:r>
              <w:rPr>
                <w:rFonts w:hint="eastAsia" w:ascii="宋体" w:hAnsi="宋体" w:cs="宋体"/>
                <w:sz w:val="24"/>
                <w:szCs w:val="24"/>
              </w:rPr>
              <w:t>倍液。</w:t>
            </w:r>
            <w:r>
              <w:rPr>
                <w:rFonts w:ascii="宋体" w:hAnsi="宋体" w:cs="宋体"/>
                <w:sz w:val="24"/>
                <w:szCs w:val="24"/>
              </w:rPr>
              <w:t>4.</w:t>
            </w:r>
            <w:r>
              <w:rPr>
                <w:rFonts w:hint="eastAsia" w:ascii="宋体" w:hAnsi="宋体" w:cs="宋体"/>
                <w:sz w:val="24"/>
                <w:szCs w:val="24"/>
              </w:rPr>
              <w:t>三氯杀螨醇</w:t>
            </w:r>
            <w:r>
              <w:rPr>
                <w:rFonts w:ascii="宋体" w:hAnsi="宋体" w:cs="宋体"/>
                <w:sz w:val="24"/>
                <w:szCs w:val="24"/>
              </w:rPr>
              <w:t>800</w:t>
            </w:r>
            <w:r>
              <w:rPr>
                <w:rFonts w:hint="eastAsia" w:ascii="宋体" w:hAnsi="宋体" w:cs="宋体"/>
                <w:sz w:val="24"/>
                <w:szCs w:val="24"/>
              </w:rPr>
              <w:t>液喷洒。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spacing w:line="520" w:lineRule="exact"/>
              <w:jc w:val="center"/>
              <w:rPr>
                <w:rFonts w:ascii="宋体" w:cs="宋体"/>
                <w:sz w:val="24"/>
                <w:szCs w:val="24"/>
              </w:rPr>
            </w:pPr>
          </w:p>
        </w:tc>
        <w:tc>
          <w:tcPr>
            <w:tcW w:w="1440" w:type="dxa"/>
            <w:vAlign w:val="center"/>
          </w:tcPr>
          <w:p>
            <w:pPr>
              <w:spacing w:line="520" w:lineRule="exact"/>
              <w:jc w:val="center"/>
              <w:rPr>
                <w:rFonts w:ascii="宋体" w:cs="宋体"/>
                <w:sz w:val="24"/>
                <w:szCs w:val="24"/>
              </w:rPr>
            </w:pPr>
            <w:r>
              <w:rPr>
                <w:rFonts w:hint="eastAsia" w:ascii="宋体" w:hAnsi="宋体" w:cs="宋体"/>
                <w:sz w:val="24"/>
                <w:szCs w:val="24"/>
              </w:rPr>
              <w:t>草坪</w:t>
            </w:r>
          </w:p>
        </w:tc>
        <w:tc>
          <w:tcPr>
            <w:tcW w:w="1980" w:type="dxa"/>
            <w:vAlign w:val="center"/>
          </w:tcPr>
          <w:p>
            <w:pPr>
              <w:jc w:val="center"/>
              <w:rPr>
                <w:rFonts w:ascii="宋体" w:cs="宋体"/>
                <w:sz w:val="24"/>
                <w:szCs w:val="24"/>
              </w:rPr>
            </w:pPr>
            <w:r>
              <w:rPr>
                <w:rFonts w:hint="eastAsia" w:ascii="宋体" w:hAnsi="宋体" w:cs="宋体"/>
                <w:sz w:val="24"/>
                <w:szCs w:val="24"/>
              </w:rPr>
              <w:t>草坪锈病、蛴螬</w:t>
            </w:r>
          </w:p>
          <w:p>
            <w:pPr>
              <w:spacing w:line="520" w:lineRule="exact"/>
              <w:jc w:val="center"/>
              <w:rPr>
                <w:rFonts w:ascii="宋体" w:cs="宋体"/>
                <w:sz w:val="24"/>
                <w:szCs w:val="24"/>
              </w:rPr>
            </w:pPr>
          </w:p>
        </w:tc>
        <w:tc>
          <w:tcPr>
            <w:tcW w:w="3914" w:type="dxa"/>
            <w:vAlign w:val="center"/>
          </w:tcPr>
          <w:p>
            <w:pPr>
              <w:jc w:val="center"/>
              <w:rPr>
                <w:rFonts w:ascii="宋体" w:cs="宋体"/>
                <w:sz w:val="24"/>
                <w:szCs w:val="24"/>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70%</w:t>
            </w:r>
            <w:r>
              <w:rPr>
                <w:rFonts w:hint="eastAsia" w:ascii="宋体" w:hAnsi="宋体" w:cs="宋体"/>
                <w:sz w:val="24"/>
                <w:szCs w:val="24"/>
              </w:rPr>
              <w:t>甲基托布津</w:t>
            </w:r>
            <w:r>
              <w:rPr>
                <w:rFonts w:ascii="宋体" w:hAnsi="宋体" w:cs="宋体"/>
                <w:sz w:val="24"/>
                <w:szCs w:val="24"/>
              </w:rPr>
              <w:t>800</w:t>
            </w:r>
            <w:r>
              <w:rPr>
                <w:rFonts w:hint="eastAsia" w:ascii="宋体" w:hAnsi="宋体" w:cs="宋体"/>
                <w:sz w:val="24"/>
                <w:szCs w:val="24"/>
              </w:rPr>
              <w:t>倍液。</w:t>
            </w:r>
            <w:r>
              <w:rPr>
                <w:rFonts w:ascii="宋体" w:hAnsi="宋体" w:cs="宋体"/>
                <w:sz w:val="24"/>
                <w:szCs w:val="24"/>
              </w:rPr>
              <w:t>2</w:t>
            </w:r>
            <w:r>
              <w:rPr>
                <w:rFonts w:hint="eastAsia" w:ascii="宋体" w:hAnsi="宋体" w:cs="宋体"/>
                <w:sz w:val="24"/>
                <w:szCs w:val="24"/>
              </w:rPr>
              <w:t>、</w:t>
            </w:r>
            <w:r>
              <w:rPr>
                <w:rFonts w:ascii="宋体" w:hAnsi="宋体" w:cs="宋体"/>
                <w:sz w:val="24"/>
                <w:szCs w:val="24"/>
              </w:rPr>
              <w:t>40%</w:t>
            </w:r>
            <w:r>
              <w:rPr>
                <w:rFonts w:hint="eastAsia" w:ascii="宋体" w:hAnsi="宋体" w:cs="宋体"/>
                <w:sz w:val="24"/>
                <w:szCs w:val="24"/>
              </w:rPr>
              <w:t>辛硫磷</w:t>
            </w:r>
            <w:r>
              <w:rPr>
                <w:rFonts w:ascii="宋体" w:hAnsi="宋体" w:cs="宋体"/>
                <w:sz w:val="24"/>
                <w:szCs w:val="24"/>
              </w:rPr>
              <w:t>1000-1500</w:t>
            </w:r>
            <w:r>
              <w:rPr>
                <w:rFonts w:hint="eastAsia" w:ascii="宋体" w:hAnsi="宋体" w:cs="宋体"/>
                <w:sz w:val="24"/>
                <w:szCs w:val="24"/>
              </w:rPr>
              <w:t>倍液。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520" w:lineRule="exact"/>
              <w:jc w:val="center"/>
              <w:rPr>
                <w:rFonts w:ascii="宋体" w:cs="宋体"/>
                <w:sz w:val="24"/>
                <w:szCs w:val="24"/>
              </w:rPr>
            </w:pPr>
            <w:r>
              <w:rPr>
                <w:rFonts w:hint="eastAsia" w:ascii="宋体" w:hAnsi="宋体" w:cs="宋体"/>
                <w:sz w:val="24"/>
                <w:szCs w:val="24"/>
              </w:rPr>
              <w:t>五月</w:t>
            </w:r>
          </w:p>
        </w:tc>
        <w:tc>
          <w:tcPr>
            <w:tcW w:w="1440" w:type="dxa"/>
            <w:vAlign w:val="center"/>
          </w:tcPr>
          <w:p>
            <w:pPr>
              <w:spacing w:line="520" w:lineRule="exact"/>
              <w:jc w:val="center"/>
              <w:rPr>
                <w:rFonts w:ascii="宋体" w:cs="宋体"/>
                <w:sz w:val="24"/>
                <w:szCs w:val="24"/>
              </w:rPr>
            </w:pPr>
            <w:r>
              <w:rPr>
                <w:rFonts w:hint="eastAsia" w:ascii="宋体" w:hAnsi="宋体" w:cs="宋体"/>
                <w:sz w:val="24"/>
                <w:szCs w:val="24"/>
              </w:rPr>
              <w:t>乔木、花灌木</w:t>
            </w:r>
          </w:p>
        </w:tc>
        <w:tc>
          <w:tcPr>
            <w:tcW w:w="1980" w:type="dxa"/>
            <w:vAlign w:val="center"/>
          </w:tcPr>
          <w:p>
            <w:pPr>
              <w:jc w:val="center"/>
              <w:rPr>
                <w:rFonts w:ascii="宋体" w:cs="宋体"/>
                <w:sz w:val="24"/>
                <w:szCs w:val="24"/>
              </w:rPr>
            </w:pPr>
            <w:r>
              <w:rPr>
                <w:rFonts w:hint="eastAsia" w:ascii="宋体" w:hAnsi="宋体" w:cs="宋体"/>
                <w:sz w:val="24"/>
                <w:szCs w:val="24"/>
              </w:rPr>
              <w:t>白粉病、锈病、尺蠖、蚧壳虫、蚜虫、螨类等</w:t>
            </w:r>
          </w:p>
        </w:tc>
        <w:tc>
          <w:tcPr>
            <w:tcW w:w="3914" w:type="dxa"/>
            <w:vAlign w:val="center"/>
          </w:tcPr>
          <w:p>
            <w:pPr>
              <w:jc w:val="center"/>
              <w:rPr>
                <w:rFonts w:ascii="宋体" w:hAnsi="宋体" w:cs="宋体"/>
                <w:sz w:val="24"/>
                <w:szCs w:val="24"/>
              </w:rPr>
            </w:pPr>
            <w:r>
              <w:rPr>
                <w:rFonts w:ascii="宋体" w:hAnsi="宋体" w:cs="宋体"/>
                <w:sz w:val="24"/>
                <w:szCs w:val="24"/>
              </w:rPr>
              <w:t>1.</w:t>
            </w:r>
            <w:r>
              <w:rPr>
                <w:rFonts w:hint="eastAsia" w:ascii="宋体" w:hAnsi="宋体" w:cs="宋体"/>
                <w:sz w:val="24"/>
                <w:szCs w:val="24"/>
              </w:rPr>
              <w:t>三唑酮</w:t>
            </w:r>
            <w:r>
              <w:rPr>
                <w:rFonts w:ascii="宋体" w:hAnsi="宋体" w:cs="宋体"/>
                <w:sz w:val="24"/>
                <w:szCs w:val="24"/>
              </w:rPr>
              <w:t>800</w:t>
            </w:r>
            <w:r>
              <w:rPr>
                <w:rFonts w:hint="eastAsia" w:ascii="宋体" w:hAnsi="宋体" w:cs="宋体"/>
                <w:sz w:val="24"/>
                <w:szCs w:val="24"/>
              </w:rPr>
              <w:t>倍液</w:t>
            </w:r>
            <w:r>
              <w:rPr>
                <w:rFonts w:ascii="宋体" w:hAnsi="宋体" w:cs="宋体"/>
                <w:sz w:val="24"/>
                <w:szCs w:val="24"/>
              </w:rPr>
              <w:t xml:space="preserve"> </w:t>
            </w:r>
            <w:r>
              <w:rPr>
                <w:rFonts w:hint="eastAsia" w:ascii="宋体" w:hAnsi="宋体" w:cs="宋体"/>
                <w:sz w:val="24"/>
                <w:szCs w:val="24"/>
              </w:rPr>
              <w:t>甲基托布津</w:t>
            </w:r>
            <w:r>
              <w:rPr>
                <w:rFonts w:ascii="宋体" w:hAnsi="宋体" w:cs="宋体"/>
                <w:sz w:val="24"/>
                <w:szCs w:val="24"/>
              </w:rPr>
              <w:t>800</w:t>
            </w:r>
            <w:r>
              <w:rPr>
                <w:rFonts w:hint="eastAsia" w:ascii="宋体" w:hAnsi="宋体" w:cs="宋体"/>
                <w:sz w:val="24"/>
                <w:szCs w:val="24"/>
              </w:rPr>
              <w:t>倍液喷洒防治</w:t>
            </w:r>
            <w:r>
              <w:rPr>
                <w:rFonts w:ascii="宋体" w:hAnsi="宋体" w:cs="宋体"/>
                <w:sz w:val="24"/>
                <w:szCs w:val="24"/>
              </w:rPr>
              <w:t xml:space="preserve">  2.</w:t>
            </w:r>
            <w:r>
              <w:rPr>
                <w:rFonts w:hint="eastAsia" w:ascii="宋体" w:hAnsi="宋体" w:cs="宋体"/>
                <w:sz w:val="24"/>
                <w:szCs w:val="24"/>
              </w:rPr>
              <w:t>氧化乐果</w:t>
            </w:r>
            <w:r>
              <w:rPr>
                <w:rFonts w:ascii="宋体" w:hAnsi="宋体" w:cs="宋体"/>
                <w:sz w:val="24"/>
                <w:szCs w:val="24"/>
              </w:rPr>
              <w:t>800</w:t>
            </w:r>
            <w:r>
              <w:rPr>
                <w:rFonts w:hint="eastAsia" w:ascii="宋体" w:hAnsi="宋体" w:cs="宋体"/>
                <w:sz w:val="24"/>
                <w:szCs w:val="24"/>
              </w:rPr>
              <w:t>倍液喷洒</w:t>
            </w:r>
            <w:r>
              <w:rPr>
                <w:rFonts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88" w:type="dxa"/>
            <w:vMerge w:val="continue"/>
            <w:vAlign w:val="center"/>
          </w:tcPr>
          <w:p>
            <w:pPr>
              <w:spacing w:line="520" w:lineRule="exact"/>
              <w:jc w:val="center"/>
              <w:rPr>
                <w:rFonts w:ascii="宋体" w:cs="宋体"/>
                <w:sz w:val="24"/>
                <w:szCs w:val="24"/>
              </w:rPr>
            </w:pPr>
          </w:p>
        </w:tc>
        <w:tc>
          <w:tcPr>
            <w:tcW w:w="1440" w:type="dxa"/>
            <w:vAlign w:val="center"/>
          </w:tcPr>
          <w:p>
            <w:pPr>
              <w:spacing w:line="520" w:lineRule="exact"/>
              <w:jc w:val="center"/>
              <w:rPr>
                <w:rFonts w:ascii="宋体" w:cs="宋体"/>
                <w:sz w:val="24"/>
                <w:szCs w:val="24"/>
              </w:rPr>
            </w:pPr>
            <w:r>
              <w:rPr>
                <w:rFonts w:hint="eastAsia" w:ascii="宋体" w:hAnsi="宋体" w:cs="宋体"/>
                <w:sz w:val="24"/>
                <w:szCs w:val="24"/>
              </w:rPr>
              <w:t>草坪</w:t>
            </w:r>
          </w:p>
        </w:tc>
        <w:tc>
          <w:tcPr>
            <w:tcW w:w="1980" w:type="dxa"/>
            <w:vAlign w:val="center"/>
          </w:tcPr>
          <w:p>
            <w:pPr>
              <w:jc w:val="center"/>
              <w:rPr>
                <w:rFonts w:ascii="宋体" w:cs="宋体"/>
                <w:sz w:val="24"/>
                <w:szCs w:val="24"/>
              </w:rPr>
            </w:pPr>
            <w:r>
              <w:rPr>
                <w:rFonts w:hint="eastAsia" w:ascii="宋体" w:hAnsi="宋体" w:cs="宋体"/>
                <w:sz w:val="24"/>
                <w:szCs w:val="24"/>
              </w:rPr>
              <w:t>锈病、蛴螬</w:t>
            </w:r>
          </w:p>
          <w:p>
            <w:pPr>
              <w:spacing w:line="520" w:lineRule="exact"/>
              <w:jc w:val="center"/>
              <w:rPr>
                <w:rFonts w:ascii="宋体" w:cs="宋体"/>
                <w:sz w:val="24"/>
                <w:szCs w:val="24"/>
              </w:rPr>
            </w:pPr>
          </w:p>
        </w:tc>
        <w:tc>
          <w:tcPr>
            <w:tcW w:w="3914" w:type="dxa"/>
            <w:vAlign w:val="center"/>
          </w:tcPr>
          <w:p>
            <w:pPr>
              <w:jc w:val="center"/>
              <w:rPr>
                <w:rFonts w:ascii="宋体" w:cs="宋体"/>
                <w:sz w:val="24"/>
                <w:szCs w:val="24"/>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70%</w:t>
            </w:r>
            <w:r>
              <w:rPr>
                <w:rFonts w:hint="eastAsia" w:ascii="宋体" w:hAnsi="宋体" w:cs="宋体"/>
                <w:sz w:val="24"/>
                <w:szCs w:val="24"/>
              </w:rPr>
              <w:t>甲基托布津</w:t>
            </w:r>
            <w:r>
              <w:rPr>
                <w:rFonts w:ascii="宋体" w:hAnsi="宋体" w:cs="宋体"/>
                <w:sz w:val="24"/>
                <w:szCs w:val="24"/>
              </w:rPr>
              <w:t>800</w:t>
            </w:r>
            <w:r>
              <w:rPr>
                <w:rFonts w:hint="eastAsia" w:ascii="宋体" w:hAnsi="宋体" w:cs="宋体"/>
                <w:sz w:val="24"/>
                <w:szCs w:val="24"/>
              </w:rPr>
              <w:t>倍液。</w:t>
            </w:r>
            <w:r>
              <w:rPr>
                <w:rFonts w:ascii="宋体" w:hAnsi="宋体" w:cs="宋体"/>
                <w:sz w:val="24"/>
                <w:szCs w:val="24"/>
              </w:rPr>
              <w:t>2</w:t>
            </w:r>
            <w:r>
              <w:rPr>
                <w:rFonts w:hint="eastAsia" w:ascii="宋体" w:hAnsi="宋体" w:cs="宋体"/>
                <w:sz w:val="24"/>
                <w:szCs w:val="24"/>
              </w:rPr>
              <w:t>、</w:t>
            </w:r>
            <w:r>
              <w:rPr>
                <w:rFonts w:ascii="宋体" w:hAnsi="宋体" w:cs="宋体"/>
                <w:sz w:val="24"/>
                <w:szCs w:val="24"/>
              </w:rPr>
              <w:t>40%</w:t>
            </w:r>
            <w:r>
              <w:rPr>
                <w:rFonts w:hint="eastAsia" w:ascii="宋体" w:hAnsi="宋体" w:cs="宋体"/>
                <w:sz w:val="24"/>
                <w:szCs w:val="24"/>
              </w:rPr>
              <w:t>辛硫磷</w:t>
            </w:r>
            <w:r>
              <w:rPr>
                <w:rFonts w:ascii="宋体" w:hAnsi="宋体" w:cs="宋体"/>
                <w:sz w:val="24"/>
                <w:szCs w:val="24"/>
              </w:rPr>
              <w:t>1000-1500</w:t>
            </w:r>
            <w:r>
              <w:rPr>
                <w:rFonts w:hint="eastAsia" w:ascii="宋体" w:hAnsi="宋体" w:cs="宋体"/>
                <w:sz w:val="24"/>
                <w:szCs w:val="24"/>
              </w:rPr>
              <w:t>倍液。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1188" w:type="dxa"/>
            <w:vAlign w:val="center"/>
          </w:tcPr>
          <w:p>
            <w:pPr>
              <w:spacing w:line="520" w:lineRule="exact"/>
              <w:jc w:val="center"/>
              <w:rPr>
                <w:rFonts w:ascii="宋体" w:cs="宋体"/>
                <w:sz w:val="24"/>
                <w:szCs w:val="24"/>
              </w:rPr>
            </w:pPr>
            <w:r>
              <w:rPr>
                <w:rFonts w:hint="eastAsia" w:ascii="宋体" w:hAnsi="宋体" w:cs="宋体"/>
                <w:sz w:val="24"/>
                <w:szCs w:val="24"/>
              </w:rPr>
              <w:t>六月</w:t>
            </w:r>
          </w:p>
        </w:tc>
        <w:tc>
          <w:tcPr>
            <w:tcW w:w="1440" w:type="dxa"/>
            <w:vAlign w:val="center"/>
          </w:tcPr>
          <w:p>
            <w:pPr>
              <w:spacing w:line="520" w:lineRule="exact"/>
              <w:jc w:val="center"/>
              <w:rPr>
                <w:rFonts w:ascii="宋体" w:cs="宋体"/>
                <w:sz w:val="24"/>
                <w:szCs w:val="24"/>
              </w:rPr>
            </w:pPr>
            <w:r>
              <w:rPr>
                <w:rFonts w:hint="eastAsia" w:ascii="宋体" w:hAnsi="宋体" w:cs="宋体"/>
                <w:sz w:val="24"/>
                <w:szCs w:val="24"/>
              </w:rPr>
              <w:t>乔木、花灌木</w:t>
            </w:r>
          </w:p>
        </w:tc>
        <w:tc>
          <w:tcPr>
            <w:tcW w:w="1980" w:type="dxa"/>
            <w:vAlign w:val="center"/>
          </w:tcPr>
          <w:p>
            <w:pPr>
              <w:jc w:val="center"/>
              <w:rPr>
                <w:rFonts w:ascii="宋体" w:cs="宋体"/>
                <w:sz w:val="24"/>
                <w:szCs w:val="24"/>
              </w:rPr>
            </w:pPr>
            <w:r>
              <w:rPr>
                <w:rFonts w:hint="eastAsia" w:ascii="宋体" w:hAnsi="宋体" w:cs="宋体"/>
                <w:sz w:val="24"/>
                <w:szCs w:val="24"/>
              </w:rPr>
              <w:t>叶斑病、天牛、蚜虫、螨类、</w:t>
            </w:r>
          </w:p>
          <w:p>
            <w:pPr>
              <w:spacing w:line="520" w:lineRule="exact"/>
              <w:jc w:val="center"/>
              <w:rPr>
                <w:rFonts w:ascii="宋体" w:cs="宋体"/>
                <w:sz w:val="24"/>
                <w:szCs w:val="24"/>
              </w:rPr>
            </w:pPr>
          </w:p>
        </w:tc>
        <w:tc>
          <w:tcPr>
            <w:tcW w:w="3914" w:type="dxa"/>
            <w:vAlign w:val="center"/>
          </w:tcPr>
          <w:p>
            <w:pPr>
              <w:jc w:val="center"/>
              <w:rPr>
                <w:rFonts w:ascii="宋体" w:cs="宋体"/>
                <w:sz w:val="24"/>
                <w:szCs w:val="24"/>
              </w:rPr>
            </w:pPr>
            <w:r>
              <w:rPr>
                <w:rFonts w:ascii="宋体" w:hAnsi="宋体" w:cs="宋体"/>
                <w:sz w:val="24"/>
                <w:szCs w:val="24"/>
              </w:rPr>
              <w:t>1</w:t>
            </w:r>
            <w:r>
              <w:rPr>
                <w:rFonts w:hint="eastAsia" w:ascii="宋体" w:hAnsi="宋体" w:cs="宋体"/>
                <w:sz w:val="24"/>
                <w:szCs w:val="24"/>
              </w:rPr>
              <w:t>、黑光灯诱杀天牛。</w:t>
            </w:r>
            <w:r>
              <w:rPr>
                <w:rFonts w:ascii="宋体" w:hAnsi="宋体" w:cs="宋体"/>
                <w:sz w:val="24"/>
                <w:szCs w:val="24"/>
              </w:rPr>
              <w:t>2</w:t>
            </w:r>
            <w:r>
              <w:rPr>
                <w:rFonts w:hint="eastAsia" w:ascii="宋体" w:hAnsi="宋体" w:cs="宋体"/>
                <w:sz w:val="24"/>
                <w:szCs w:val="24"/>
              </w:rPr>
              <w:t>、采用钻孔注射式：用氧化乐果原液、用氧化乐果</w:t>
            </w:r>
            <w:r>
              <w:rPr>
                <w:rFonts w:ascii="宋体" w:hAnsi="宋体" w:cs="宋体"/>
                <w:sz w:val="24"/>
                <w:szCs w:val="24"/>
              </w:rPr>
              <w:t>1000-1500</w:t>
            </w:r>
            <w:r>
              <w:rPr>
                <w:rFonts w:hint="eastAsia" w:ascii="宋体" w:hAnsi="宋体" w:cs="宋体"/>
                <w:sz w:val="24"/>
                <w:szCs w:val="24"/>
              </w:rPr>
              <w:t>倍液喷洒。</w:t>
            </w:r>
            <w:r>
              <w:rPr>
                <w:rFonts w:ascii="宋体" w:hAnsi="宋体" w:cs="宋体"/>
                <w:sz w:val="24"/>
                <w:szCs w:val="24"/>
              </w:rPr>
              <w:t>3</w:t>
            </w:r>
            <w:r>
              <w:rPr>
                <w:rFonts w:hint="eastAsia" w:ascii="宋体" w:hAnsi="宋体" w:cs="宋体"/>
                <w:sz w:val="24"/>
                <w:szCs w:val="24"/>
              </w:rPr>
              <w:t>、多菌灵或甲基托布津</w:t>
            </w:r>
            <w:r>
              <w:rPr>
                <w:rFonts w:ascii="宋体" w:hAnsi="宋体" w:cs="宋体"/>
                <w:sz w:val="24"/>
                <w:szCs w:val="24"/>
              </w:rPr>
              <w:t>1000</w:t>
            </w:r>
            <w:r>
              <w:rPr>
                <w:rFonts w:hint="eastAsia" w:ascii="宋体" w:hAnsi="宋体" w:cs="宋体"/>
                <w:sz w:val="24"/>
                <w:szCs w:val="24"/>
              </w:rPr>
              <w:t>倍液喷洒。</w:t>
            </w:r>
            <w:r>
              <w:rPr>
                <w:rFonts w:ascii="宋体" w:hAnsi="宋体" w:cs="宋体"/>
                <w:sz w:val="24"/>
                <w:szCs w:val="24"/>
              </w:rPr>
              <w:t>4</w:t>
            </w:r>
            <w:r>
              <w:rPr>
                <w:rFonts w:hint="eastAsia" w:ascii="宋体" w:hAnsi="宋体" w:cs="宋体"/>
                <w:sz w:val="24"/>
                <w:szCs w:val="24"/>
              </w:rPr>
              <w:t>、人工捕捉成虫、抹杀树干虫卵。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520" w:lineRule="exact"/>
              <w:jc w:val="center"/>
              <w:rPr>
                <w:rFonts w:ascii="宋体" w:cs="宋体"/>
                <w:sz w:val="24"/>
                <w:szCs w:val="24"/>
              </w:rPr>
            </w:pPr>
            <w:r>
              <w:rPr>
                <w:rFonts w:hint="eastAsia" w:ascii="宋体" w:hAnsi="宋体" w:cs="宋体"/>
                <w:sz w:val="24"/>
                <w:szCs w:val="24"/>
              </w:rPr>
              <w:t>七月</w:t>
            </w:r>
          </w:p>
        </w:tc>
        <w:tc>
          <w:tcPr>
            <w:tcW w:w="1440" w:type="dxa"/>
            <w:vAlign w:val="center"/>
          </w:tcPr>
          <w:p>
            <w:pPr>
              <w:spacing w:line="520" w:lineRule="exact"/>
              <w:jc w:val="center"/>
              <w:rPr>
                <w:rFonts w:ascii="宋体" w:cs="宋体"/>
                <w:sz w:val="24"/>
                <w:szCs w:val="24"/>
              </w:rPr>
            </w:pPr>
            <w:r>
              <w:rPr>
                <w:rFonts w:hint="eastAsia" w:ascii="宋体" w:hAnsi="宋体" w:cs="宋体"/>
                <w:sz w:val="24"/>
                <w:szCs w:val="24"/>
              </w:rPr>
              <w:t>乔木、花灌木</w:t>
            </w:r>
          </w:p>
        </w:tc>
        <w:tc>
          <w:tcPr>
            <w:tcW w:w="1980" w:type="dxa"/>
            <w:vAlign w:val="center"/>
          </w:tcPr>
          <w:p>
            <w:pPr>
              <w:spacing w:line="520" w:lineRule="exact"/>
              <w:jc w:val="center"/>
              <w:rPr>
                <w:rFonts w:ascii="宋体" w:cs="宋体"/>
                <w:sz w:val="24"/>
                <w:szCs w:val="24"/>
              </w:rPr>
            </w:pPr>
            <w:r>
              <w:rPr>
                <w:rFonts w:hint="eastAsia" w:ascii="宋体" w:hAnsi="宋体" w:cs="宋体"/>
                <w:sz w:val="24"/>
                <w:szCs w:val="24"/>
              </w:rPr>
              <w:t>白粉病、锈病、尺蠖、蚧壳虫、蚜虫、螨类等</w:t>
            </w:r>
          </w:p>
        </w:tc>
        <w:tc>
          <w:tcPr>
            <w:tcW w:w="3914" w:type="dxa"/>
            <w:vAlign w:val="center"/>
          </w:tcPr>
          <w:p>
            <w:pPr>
              <w:rPr>
                <w:rFonts w:ascii="宋体" w:cs="宋体"/>
                <w:sz w:val="24"/>
                <w:szCs w:val="24"/>
              </w:rPr>
            </w:pPr>
            <w:r>
              <w:rPr>
                <w:rFonts w:ascii="宋体" w:hAnsi="宋体" w:cs="宋体"/>
                <w:sz w:val="24"/>
                <w:szCs w:val="24"/>
              </w:rPr>
              <w:t>1</w:t>
            </w:r>
            <w:r>
              <w:rPr>
                <w:rFonts w:hint="eastAsia" w:ascii="宋体" w:hAnsi="宋体" w:cs="宋体"/>
                <w:sz w:val="24"/>
                <w:szCs w:val="24"/>
              </w:rPr>
              <w:t>、采用钻孔注射式：用氧化乐果原液注射、氧化乐果</w:t>
            </w:r>
            <w:r>
              <w:rPr>
                <w:rFonts w:ascii="宋体" w:hAnsi="宋体" w:cs="宋体"/>
                <w:sz w:val="24"/>
                <w:szCs w:val="24"/>
              </w:rPr>
              <w:t>1000-1500</w:t>
            </w:r>
            <w:r>
              <w:rPr>
                <w:rFonts w:hint="eastAsia" w:ascii="宋体" w:hAnsi="宋体" w:cs="宋体"/>
                <w:sz w:val="24"/>
                <w:szCs w:val="24"/>
              </w:rPr>
              <w:t>倍液喷洒。</w:t>
            </w:r>
            <w:r>
              <w:rPr>
                <w:rFonts w:ascii="宋体" w:hAnsi="宋体" w:cs="宋体"/>
                <w:sz w:val="24"/>
                <w:szCs w:val="24"/>
              </w:rPr>
              <w:t>2</w:t>
            </w:r>
            <w:r>
              <w:rPr>
                <w:rFonts w:hint="eastAsia" w:ascii="宋体" w:hAnsi="宋体" w:cs="宋体"/>
                <w:sz w:val="24"/>
                <w:szCs w:val="24"/>
              </w:rPr>
              <w:t>、人工捕捉成虫、抹杀树干虫卵。</w:t>
            </w:r>
            <w:r>
              <w:rPr>
                <w:rFonts w:ascii="宋体" w:hAnsi="宋体" w:cs="宋体"/>
                <w:sz w:val="24"/>
                <w:szCs w:val="24"/>
              </w:rPr>
              <w:t>3</w:t>
            </w:r>
            <w:r>
              <w:rPr>
                <w:rFonts w:hint="eastAsia" w:ascii="宋体" w:hAnsi="宋体" w:cs="宋体"/>
                <w:sz w:val="24"/>
                <w:szCs w:val="24"/>
              </w:rPr>
              <w:t>、物理防治方法：黑光灯诱杀。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spacing w:line="520" w:lineRule="exact"/>
              <w:jc w:val="center"/>
              <w:rPr>
                <w:rFonts w:ascii="宋体" w:cs="宋体"/>
                <w:sz w:val="24"/>
                <w:szCs w:val="24"/>
              </w:rPr>
            </w:pPr>
          </w:p>
        </w:tc>
        <w:tc>
          <w:tcPr>
            <w:tcW w:w="1440" w:type="dxa"/>
            <w:vAlign w:val="center"/>
          </w:tcPr>
          <w:p>
            <w:pPr>
              <w:spacing w:line="520" w:lineRule="exact"/>
              <w:jc w:val="center"/>
              <w:rPr>
                <w:rFonts w:ascii="宋体" w:cs="宋体"/>
                <w:sz w:val="24"/>
                <w:szCs w:val="24"/>
              </w:rPr>
            </w:pPr>
            <w:r>
              <w:rPr>
                <w:rFonts w:hint="eastAsia" w:ascii="宋体" w:hAnsi="宋体" w:cs="宋体"/>
                <w:sz w:val="24"/>
                <w:szCs w:val="24"/>
              </w:rPr>
              <w:t>草坪</w:t>
            </w:r>
          </w:p>
        </w:tc>
        <w:tc>
          <w:tcPr>
            <w:tcW w:w="1980" w:type="dxa"/>
            <w:vAlign w:val="center"/>
          </w:tcPr>
          <w:p>
            <w:pPr>
              <w:spacing w:line="520" w:lineRule="exact"/>
              <w:jc w:val="center"/>
              <w:rPr>
                <w:rFonts w:ascii="宋体" w:cs="宋体"/>
                <w:sz w:val="24"/>
                <w:szCs w:val="24"/>
              </w:rPr>
            </w:pPr>
            <w:r>
              <w:rPr>
                <w:rFonts w:hint="eastAsia" w:ascii="宋体" w:hAnsi="宋体" w:cs="宋体"/>
                <w:sz w:val="24"/>
                <w:szCs w:val="24"/>
              </w:rPr>
              <w:t>蛴螬、锈病</w:t>
            </w:r>
          </w:p>
        </w:tc>
        <w:tc>
          <w:tcPr>
            <w:tcW w:w="3914" w:type="dxa"/>
            <w:vAlign w:val="center"/>
          </w:tcPr>
          <w:p>
            <w:pPr>
              <w:rPr>
                <w:rFonts w:ascii="宋体" w:cs="宋体"/>
                <w:sz w:val="24"/>
                <w:szCs w:val="24"/>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25%</w:t>
            </w:r>
            <w:r>
              <w:rPr>
                <w:rFonts w:hint="eastAsia" w:ascii="宋体" w:hAnsi="宋体" w:cs="宋体"/>
                <w:sz w:val="24"/>
                <w:szCs w:val="24"/>
              </w:rPr>
              <w:t>粉锈宁可湿性粉剂</w:t>
            </w:r>
            <w:r>
              <w:rPr>
                <w:rFonts w:ascii="宋体" w:hAnsi="宋体" w:cs="宋体"/>
                <w:sz w:val="24"/>
                <w:szCs w:val="24"/>
              </w:rPr>
              <w:t>2000</w:t>
            </w:r>
            <w:r>
              <w:rPr>
                <w:rFonts w:hint="eastAsia" w:ascii="宋体" w:hAnsi="宋体" w:cs="宋体"/>
                <w:sz w:val="24"/>
                <w:szCs w:val="24"/>
              </w:rPr>
              <w:t>－</w:t>
            </w:r>
            <w:r>
              <w:rPr>
                <w:rFonts w:ascii="宋体" w:hAnsi="宋体" w:cs="宋体"/>
                <w:sz w:val="24"/>
                <w:szCs w:val="24"/>
              </w:rPr>
              <w:t>2500</w:t>
            </w:r>
            <w:r>
              <w:rPr>
                <w:rFonts w:hint="eastAsia" w:ascii="宋体" w:hAnsi="宋体" w:cs="宋体"/>
                <w:sz w:val="24"/>
                <w:szCs w:val="24"/>
              </w:rPr>
              <w:t>倍液。</w:t>
            </w:r>
            <w:r>
              <w:rPr>
                <w:rFonts w:ascii="宋体" w:hAnsi="宋体" w:cs="宋体"/>
                <w:sz w:val="24"/>
                <w:szCs w:val="24"/>
              </w:rPr>
              <w:t>2</w:t>
            </w:r>
            <w:r>
              <w:rPr>
                <w:rFonts w:hint="eastAsia" w:ascii="宋体" w:hAnsi="宋体" w:cs="宋体"/>
                <w:sz w:val="24"/>
                <w:szCs w:val="24"/>
              </w:rPr>
              <w:t>、</w:t>
            </w:r>
            <w:r>
              <w:rPr>
                <w:rFonts w:ascii="宋体" w:hAnsi="宋体" w:cs="宋体"/>
                <w:sz w:val="24"/>
                <w:szCs w:val="24"/>
              </w:rPr>
              <w:t>70%</w:t>
            </w:r>
            <w:r>
              <w:rPr>
                <w:rFonts w:hint="eastAsia" w:ascii="宋体" w:hAnsi="宋体" w:cs="宋体"/>
                <w:sz w:val="24"/>
                <w:szCs w:val="24"/>
              </w:rPr>
              <w:t>甲基托布津</w:t>
            </w:r>
            <w:r>
              <w:rPr>
                <w:rFonts w:ascii="宋体" w:hAnsi="宋体" w:cs="宋体"/>
                <w:sz w:val="24"/>
                <w:szCs w:val="24"/>
              </w:rPr>
              <w:t>800</w:t>
            </w:r>
            <w:r>
              <w:rPr>
                <w:rFonts w:hint="eastAsia" w:ascii="宋体" w:hAnsi="宋体" w:cs="宋体"/>
                <w:sz w:val="24"/>
                <w:szCs w:val="24"/>
              </w:rPr>
              <w:t>倍液。</w:t>
            </w:r>
            <w:r>
              <w:rPr>
                <w:rFonts w:ascii="宋体" w:hAnsi="宋体" w:cs="宋体"/>
                <w:sz w:val="24"/>
                <w:szCs w:val="24"/>
              </w:rPr>
              <w:t>3</w:t>
            </w:r>
            <w:r>
              <w:rPr>
                <w:rFonts w:hint="eastAsia" w:ascii="宋体" w:hAnsi="宋体" w:cs="宋体"/>
                <w:sz w:val="24"/>
                <w:szCs w:val="24"/>
              </w:rPr>
              <w:t>、用</w:t>
            </w:r>
            <w:r>
              <w:rPr>
                <w:rFonts w:ascii="宋体" w:hAnsi="宋体" w:cs="宋体"/>
                <w:sz w:val="24"/>
                <w:szCs w:val="24"/>
              </w:rPr>
              <w:t>40%</w:t>
            </w:r>
            <w:r>
              <w:rPr>
                <w:rFonts w:hint="eastAsia" w:ascii="宋体" w:hAnsi="宋体" w:cs="宋体"/>
                <w:sz w:val="24"/>
                <w:szCs w:val="24"/>
              </w:rPr>
              <w:t>氧化乐果</w:t>
            </w:r>
            <w:r>
              <w:rPr>
                <w:rFonts w:ascii="宋体" w:hAnsi="宋体" w:cs="宋体"/>
                <w:sz w:val="24"/>
                <w:szCs w:val="24"/>
              </w:rPr>
              <w:t>1000-1500</w:t>
            </w:r>
            <w:r>
              <w:rPr>
                <w:rFonts w:hint="eastAsia" w:ascii="宋体" w:hAnsi="宋体" w:cs="宋体"/>
                <w:sz w:val="24"/>
                <w:szCs w:val="24"/>
              </w:rPr>
              <w:t>倍液。</w:t>
            </w:r>
            <w:r>
              <w:rPr>
                <w:rFonts w:ascii="宋体" w:hAnsi="宋体" w:cs="宋体"/>
                <w:sz w:val="24"/>
                <w:szCs w:val="24"/>
              </w:rPr>
              <w:t>4</w:t>
            </w:r>
            <w:r>
              <w:rPr>
                <w:rFonts w:hint="eastAsia" w:ascii="宋体" w:hAnsi="宋体" w:cs="宋体"/>
                <w:sz w:val="24"/>
                <w:szCs w:val="24"/>
              </w:rPr>
              <w:t>、</w:t>
            </w:r>
            <w:r>
              <w:rPr>
                <w:rFonts w:ascii="宋体" w:hAnsi="宋体" w:cs="宋体"/>
                <w:sz w:val="24"/>
                <w:szCs w:val="24"/>
              </w:rPr>
              <w:t>40%</w:t>
            </w:r>
            <w:r>
              <w:rPr>
                <w:rFonts w:hint="eastAsia" w:ascii="宋体" w:hAnsi="宋体" w:cs="宋体"/>
                <w:sz w:val="24"/>
                <w:szCs w:val="24"/>
              </w:rPr>
              <w:t>辛硫磷</w:t>
            </w:r>
            <w:r>
              <w:rPr>
                <w:rFonts w:ascii="宋体" w:hAnsi="宋体" w:cs="宋体"/>
                <w:sz w:val="24"/>
                <w:szCs w:val="24"/>
              </w:rPr>
              <w:t>1000-1500</w:t>
            </w:r>
            <w:r>
              <w:rPr>
                <w:rFonts w:hint="eastAsia" w:ascii="宋体" w:hAnsi="宋体" w:cs="宋体"/>
                <w:sz w:val="24"/>
                <w:szCs w:val="24"/>
              </w:rPr>
              <w:t>倍液。</w:t>
            </w:r>
            <w:r>
              <w:rPr>
                <w:rFonts w:ascii="宋体" w:hAnsi="宋体" w:cs="宋体"/>
                <w:sz w:val="24"/>
                <w:szCs w:val="24"/>
              </w:rPr>
              <w:t>5</w:t>
            </w:r>
            <w:r>
              <w:rPr>
                <w:rFonts w:hint="eastAsia" w:ascii="宋体" w:hAnsi="宋体" w:cs="宋体"/>
                <w:sz w:val="24"/>
                <w:szCs w:val="24"/>
              </w:rPr>
              <w:t>、速蚧杀、杀螨净</w:t>
            </w:r>
            <w:r>
              <w:rPr>
                <w:rFonts w:ascii="宋体" w:hAnsi="宋体" w:cs="宋体"/>
                <w:sz w:val="24"/>
                <w:szCs w:val="24"/>
              </w:rPr>
              <w:t>1000-1500</w:t>
            </w:r>
            <w:r>
              <w:rPr>
                <w:rFonts w:hint="eastAsia" w:ascii="宋体" w:hAnsi="宋体" w:cs="宋体"/>
                <w:sz w:val="24"/>
                <w:szCs w:val="24"/>
              </w:rPr>
              <w:t>倍液。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520" w:lineRule="exact"/>
              <w:jc w:val="center"/>
              <w:rPr>
                <w:rFonts w:ascii="宋体" w:cs="宋体"/>
                <w:sz w:val="24"/>
                <w:szCs w:val="24"/>
              </w:rPr>
            </w:pPr>
            <w:r>
              <w:rPr>
                <w:rFonts w:hint="eastAsia" w:ascii="宋体" w:hAnsi="宋体" w:cs="宋体"/>
                <w:sz w:val="24"/>
                <w:szCs w:val="24"/>
              </w:rPr>
              <w:t>八月</w:t>
            </w:r>
          </w:p>
        </w:tc>
        <w:tc>
          <w:tcPr>
            <w:tcW w:w="1440" w:type="dxa"/>
            <w:vAlign w:val="center"/>
          </w:tcPr>
          <w:p>
            <w:pPr>
              <w:spacing w:line="520" w:lineRule="exact"/>
              <w:jc w:val="center"/>
              <w:rPr>
                <w:rFonts w:ascii="宋体" w:cs="宋体"/>
                <w:sz w:val="24"/>
                <w:szCs w:val="24"/>
              </w:rPr>
            </w:pPr>
            <w:r>
              <w:rPr>
                <w:rFonts w:hint="eastAsia" w:ascii="宋体" w:hAnsi="宋体" w:cs="宋体"/>
                <w:sz w:val="24"/>
                <w:szCs w:val="24"/>
              </w:rPr>
              <w:t>乔木、花灌木</w:t>
            </w:r>
          </w:p>
        </w:tc>
        <w:tc>
          <w:tcPr>
            <w:tcW w:w="1980" w:type="dxa"/>
            <w:vAlign w:val="center"/>
          </w:tcPr>
          <w:p>
            <w:pPr>
              <w:spacing w:line="520" w:lineRule="exact"/>
              <w:jc w:val="center"/>
              <w:rPr>
                <w:rFonts w:ascii="宋体" w:cs="宋体"/>
                <w:sz w:val="24"/>
                <w:szCs w:val="24"/>
              </w:rPr>
            </w:pPr>
            <w:r>
              <w:rPr>
                <w:rFonts w:hint="eastAsia" w:ascii="宋体" w:hAnsi="宋体" w:cs="宋体"/>
                <w:sz w:val="24"/>
                <w:szCs w:val="24"/>
              </w:rPr>
              <w:t>天牛、吉丁虫、蚜虫、螨类、潜叶蛾、锈病</w:t>
            </w:r>
          </w:p>
        </w:tc>
        <w:tc>
          <w:tcPr>
            <w:tcW w:w="3914" w:type="dxa"/>
            <w:vAlign w:val="center"/>
          </w:tcPr>
          <w:p>
            <w:pPr>
              <w:rPr>
                <w:rFonts w:ascii="宋体" w:cs="宋体"/>
                <w:sz w:val="24"/>
                <w:szCs w:val="24"/>
              </w:rPr>
            </w:pPr>
            <w:r>
              <w:rPr>
                <w:rFonts w:ascii="宋体" w:hAnsi="宋体" w:cs="宋体"/>
                <w:sz w:val="24"/>
                <w:szCs w:val="24"/>
              </w:rPr>
              <w:t>1</w:t>
            </w:r>
            <w:r>
              <w:rPr>
                <w:rFonts w:hint="eastAsia" w:ascii="宋体" w:hAnsi="宋体" w:cs="宋体"/>
                <w:sz w:val="24"/>
                <w:szCs w:val="24"/>
              </w:rPr>
              <w:t>、用氧化乐果</w:t>
            </w:r>
            <w:r>
              <w:rPr>
                <w:rFonts w:ascii="宋体" w:hAnsi="宋体" w:cs="宋体"/>
                <w:sz w:val="24"/>
                <w:szCs w:val="24"/>
              </w:rPr>
              <w:t>1000-1500</w:t>
            </w:r>
            <w:r>
              <w:rPr>
                <w:rFonts w:hint="eastAsia" w:ascii="宋体" w:hAnsi="宋体" w:cs="宋体"/>
                <w:sz w:val="24"/>
                <w:szCs w:val="24"/>
              </w:rPr>
              <w:t>倍液。</w:t>
            </w:r>
            <w:r>
              <w:rPr>
                <w:rFonts w:ascii="宋体" w:hAnsi="宋体" w:cs="宋体"/>
                <w:sz w:val="24"/>
                <w:szCs w:val="24"/>
              </w:rPr>
              <w:t>2</w:t>
            </w:r>
            <w:r>
              <w:rPr>
                <w:rFonts w:hint="eastAsia" w:ascii="宋体" w:hAnsi="宋体" w:cs="宋体"/>
                <w:sz w:val="24"/>
                <w:szCs w:val="24"/>
              </w:rPr>
              <w:t>、速蚧杀、杀螨净、乐斯本</w:t>
            </w:r>
            <w:r>
              <w:rPr>
                <w:rFonts w:ascii="宋体" w:hAnsi="宋体" w:cs="宋体"/>
                <w:sz w:val="24"/>
                <w:szCs w:val="24"/>
              </w:rPr>
              <w:t>1500</w:t>
            </w:r>
            <w:r>
              <w:rPr>
                <w:rFonts w:hint="eastAsia" w:ascii="宋体" w:hAnsi="宋体" w:cs="宋体"/>
                <w:sz w:val="24"/>
                <w:szCs w:val="24"/>
              </w:rPr>
              <w:t>倍液。</w:t>
            </w:r>
            <w:r>
              <w:rPr>
                <w:rFonts w:ascii="宋体" w:hAnsi="宋体" w:cs="宋体"/>
                <w:sz w:val="24"/>
                <w:szCs w:val="24"/>
              </w:rPr>
              <w:t>3</w:t>
            </w:r>
            <w:r>
              <w:rPr>
                <w:rFonts w:hint="eastAsia" w:ascii="宋体" w:hAnsi="宋体" w:cs="宋体"/>
                <w:sz w:val="24"/>
                <w:szCs w:val="24"/>
              </w:rPr>
              <w:t>、人工捕捉成虫、抹杀树干虫卵。</w:t>
            </w:r>
            <w:r>
              <w:rPr>
                <w:rFonts w:ascii="宋体" w:hAnsi="宋体" w:cs="宋体"/>
                <w:sz w:val="24"/>
                <w:szCs w:val="24"/>
              </w:rPr>
              <w:t>4</w:t>
            </w:r>
            <w:r>
              <w:rPr>
                <w:rFonts w:hint="eastAsia" w:ascii="宋体" w:hAnsi="宋体" w:cs="宋体"/>
                <w:sz w:val="24"/>
                <w:szCs w:val="24"/>
              </w:rPr>
              <w:t>、物理防治方法：黑光灯诱杀。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spacing w:line="520" w:lineRule="exact"/>
              <w:jc w:val="center"/>
              <w:rPr>
                <w:rFonts w:ascii="宋体" w:cs="宋体"/>
                <w:sz w:val="24"/>
                <w:szCs w:val="24"/>
              </w:rPr>
            </w:pPr>
          </w:p>
        </w:tc>
        <w:tc>
          <w:tcPr>
            <w:tcW w:w="1440" w:type="dxa"/>
            <w:vAlign w:val="center"/>
          </w:tcPr>
          <w:p>
            <w:pPr>
              <w:spacing w:line="520" w:lineRule="exact"/>
              <w:jc w:val="center"/>
              <w:rPr>
                <w:rFonts w:ascii="宋体" w:cs="宋体"/>
                <w:sz w:val="24"/>
                <w:szCs w:val="24"/>
              </w:rPr>
            </w:pPr>
            <w:r>
              <w:rPr>
                <w:rFonts w:hint="eastAsia" w:ascii="宋体" w:hAnsi="宋体" w:cs="宋体"/>
                <w:sz w:val="24"/>
                <w:szCs w:val="24"/>
              </w:rPr>
              <w:t>草坪</w:t>
            </w:r>
          </w:p>
        </w:tc>
        <w:tc>
          <w:tcPr>
            <w:tcW w:w="1980" w:type="dxa"/>
            <w:vAlign w:val="center"/>
          </w:tcPr>
          <w:p>
            <w:pPr>
              <w:spacing w:line="520" w:lineRule="exact"/>
              <w:jc w:val="center"/>
              <w:rPr>
                <w:rFonts w:ascii="宋体" w:cs="宋体"/>
                <w:sz w:val="24"/>
                <w:szCs w:val="24"/>
              </w:rPr>
            </w:pPr>
            <w:r>
              <w:rPr>
                <w:rFonts w:hint="eastAsia" w:ascii="宋体" w:hAnsi="宋体" w:cs="宋体"/>
                <w:sz w:val="24"/>
                <w:szCs w:val="24"/>
              </w:rPr>
              <w:t>蛴螬、锈病</w:t>
            </w:r>
          </w:p>
        </w:tc>
        <w:tc>
          <w:tcPr>
            <w:tcW w:w="3914" w:type="dxa"/>
            <w:vAlign w:val="center"/>
          </w:tcPr>
          <w:p>
            <w:pPr>
              <w:rPr>
                <w:rFonts w:ascii="宋体" w:cs="宋体"/>
                <w:sz w:val="24"/>
                <w:szCs w:val="24"/>
              </w:rPr>
            </w:pPr>
            <w:r>
              <w:rPr>
                <w:rFonts w:ascii="宋体" w:hAnsi="宋体" w:cs="宋体"/>
                <w:sz w:val="24"/>
                <w:szCs w:val="24"/>
              </w:rPr>
              <w:t>1</w:t>
            </w:r>
            <w:r>
              <w:rPr>
                <w:rFonts w:hint="eastAsia" w:ascii="宋体" w:hAnsi="宋体" w:cs="宋体"/>
                <w:sz w:val="24"/>
                <w:szCs w:val="24"/>
              </w:rPr>
              <w:t>、甲基托布津</w:t>
            </w:r>
            <w:r>
              <w:rPr>
                <w:rFonts w:ascii="宋体" w:hAnsi="宋体" w:cs="宋体"/>
                <w:sz w:val="24"/>
                <w:szCs w:val="24"/>
              </w:rPr>
              <w:t>1000</w:t>
            </w:r>
            <w:r>
              <w:rPr>
                <w:rFonts w:hint="eastAsia" w:ascii="宋体" w:hAnsi="宋体" w:cs="宋体"/>
                <w:sz w:val="24"/>
                <w:szCs w:val="24"/>
              </w:rPr>
              <w:t>倍液。</w:t>
            </w:r>
            <w:r>
              <w:rPr>
                <w:rFonts w:ascii="宋体" w:hAnsi="宋体" w:cs="宋体"/>
                <w:sz w:val="24"/>
                <w:szCs w:val="24"/>
              </w:rPr>
              <w:t>2</w:t>
            </w:r>
            <w:r>
              <w:rPr>
                <w:rFonts w:hint="eastAsia" w:ascii="宋体" w:hAnsi="宋体" w:cs="宋体"/>
                <w:sz w:val="24"/>
                <w:szCs w:val="24"/>
              </w:rPr>
              <w:t>、用</w:t>
            </w:r>
            <w:r>
              <w:rPr>
                <w:rFonts w:ascii="宋体" w:hAnsi="宋体" w:cs="宋体"/>
                <w:sz w:val="24"/>
                <w:szCs w:val="24"/>
              </w:rPr>
              <w:t>40%</w:t>
            </w:r>
            <w:r>
              <w:rPr>
                <w:rFonts w:hint="eastAsia" w:ascii="宋体" w:hAnsi="宋体" w:cs="宋体"/>
                <w:sz w:val="24"/>
                <w:szCs w:val="24"/>
              </w:rPr>
              <w:t>氧化乐果</w:t>
            </w:r>
            <w:r>
              <w:rPr>
                <w:rFonts w:ascii="宋体" w:hAnsi="宋体" w:cs="宋体"/>
                <w:sz w:val="24"/>
                <w:szCs w:val="24"/>
              </w:rPr>
              <w:t>1000-1500</w:t>
            </w:r>
            <w:r>
              <w:rPr>
                <w:rFonts w:hint="eastAsia" w:ascii="宋体" w:hAnsi="宋体" w:cs="宋体"/>
                <w:sz w:val="24"/>
                <w:szCs w:val="24"/>
              </w:rPr>
              <w:t>倍液。</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40%</w:t>
            </w:r>
            <w:r>
              <w:rPr>
                <w:rFonts w:hint="eastAsia" w:ascii="宋体" w:hAnsi="宋体" w:cs="宋体"/>
                <w:sz w:val="24"/>
                <w:szCs w:val="24"/>
              </w:rPr>
              <w:t>辛硫磷</w:t>
            </w:r>
            <w:r>
              <w:rPr>
                <w:rFonts w:ascii="宋体" w:hAnsi="宋体" w:cs="宋体"/>
                <w:sz w:val="24"/>
                <w:szCs w:val="24"/>
              </w:rPr>
              <w:t>1000-1500</w:t>
            </w:r>
            <w:r>
              <w:rPr>
                <w:rFonts w:hint="eastAsia" w:ascii="宋体" w:hAnsi="宋体" w:cs="宋体"/>
                <w:sz w:val="24"/>
                <w:szCs w:val="24"/>
              </w:rPr>
              <w:t>倍液。</w:t>
            </w:r>
            <w:r>
              <w:rPr>
                <w:rFonts w:ascii="宋体" w:hAnsi="宋体" w:cs="宋体"/>
                <w:sz w:val="24"/>
                <w:szCs w:val="24"/>
              </w:rPr>
              <w:t>4</w:t>
            </w:r>
            <w:r>
              <w:rPr>
                <w:rFonts w:hint="eastAsia" w:ascii="宋体" w:hAnsi="宋体" w:cs="宋体"/>
                <w:sz w:val="24"/>
                <w:szCs w:val="24"/>
              </w:rPr>
              <w:t>、速蚧杀</w:t>
            </w:r>
            <w:r>
              <w:rPr>
                <w:rFonts w:ascii="宋体" w:hAnsi="宋体" w:cs="宋体"/>
                <w:sz w:val="24"/>
                <w:szCs w:val="24"/>
              </w:rPr>
              <w:t>1000</w:t>
            </w:r>
            <w:r>
              <w:rPr>
                <w:rFonts w:hint="eastAsia" w:ascii="宋体" w:hAnsi="宋体" w:cs="宋体"/>
                <w:sz w:val="24"/>
                <w:szCs w:val="24"/>
              </w:rPr>
              <w:t>倍液喷洒。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1188" w:type="dxa"/>
            <w:vMerge w:val="restart"/>
            <w:vAlign w:val="center"/>
          </w:tcPr>
          <w:p>
            <w:pPr>
              <w:spacing w:line="520" w:lineRule="exact"/>
              <w:jc w:val="center"/>
              <w:rPr>
                <w:rFonts w:ascii="宋体" w:cs="宋体"/>
                <w:sz w:val="24"/>
                <w:szCs w:val="24"/>
              </w:rPr>
            </w:pPr>
            <w:r>
              <w:rPr>
                <w:rFonts w:hint="eastAsia" w:ascii="宋体" w:hAnsi="宋体" w:cs="宋体"/>
                <w:sz w:val="24"/>
                <w:szCs w:val="24"/>
              </w:rPr>
              <w:t>九月</w:t>
            </w:r>
          </w:p>
        </w:tc>
        <w:tc>
          <w:tcPr>
            <w:tcW w:w="1440" w:type="dxa"/>
            <w:vAlign w:val="center"/>
          </w:tcPr>
          <w:p>
            <w:pPr>
              <w:spacing w:line="520" w:lineRule="exact"/>
              <w:jc w:val="center"/>
              <w:rPr>
                <w:rFonts w:ascii="宋体" w:cs="宋体"/>
                <w:sz w:val="24"/>
                <w:szCs w:val="24"/>
              </w:rPr>
            </w:pPr>
            <w:r>
              <w:rPr>
                <w:rFonts w:hint="eastAsia" w:ascii="宋体" w:hAnsi="宋体" w:cs="宋体"/>
                <w:sz w:val="24"/>
                <w:szCs w:val="24"/>
              </w:rPr>
              <w:t>乔木、花灌木</w:t>
            </w:r>
          </w:p>
        </w:tc>
        <w:tc>
          <w:tcPr>
            <w:tcW w:w="1980" w:type="dxa"/>
            <w:vAlign w:val="center"/>
          </w:tcPr>
          <w:p>
            <w:pPr>
              <w:spacing w:line="520" w:lineRule="exact"/>
              <w:jc w:val="center"/>
              <w:rPr>
                <w:rFonts w:ascii="宋体" w:cs="宋体"/>
                <w:sz w:val="24"/>
                <w:szCs w:val="24"/>
              </w:rPr>
            </w:pPr>
            <w:r>
              <w:rPr>
                <w:rFonts w:hint="eastAsia" w:ascii="宋体" w:hAnsi="宋体" w:cs="宋体"/>
                <w:sz w:val="24"/>
                <w:szCs w:val="24"/>
              </w:rPr>
              <w:t>白粉病、天牛、吉丁虫、蚜虫、螨类</w:t>
            </w:r>
          </w:p>
        </w:tc>
        <w:tc>
          <w:tcPr>
            <w:tcW w:w="3914" w:type="dxa"/>
            <w:vAlign w:val="center"/>
          </w:tcPr>
          <w:p>
            <w:pPr>
              <w:jc w:val="center"/>
              <w:rPr>
                <w:rFonts w:ascii="宋体" w:cs="宋体"/>
                <w:sz w:val="24"/>
                <w:szCs w:val="24"/>
              </w:rPr>
            </w:pPr>
            <w:r>
              <w:rPr>
                <w:rFonts w:ascii="宋体" w:hAnsi="宋体" w:cs="宋体"/>
                <w:sz w:val="24"/>
                <w:szCs w:val="24"/>
              </w:rPr>
              <w:t>1</w:t>
            </w:r>
            <w:r>
              <w:rPr>
                <w:rFonts w:hint="eastAsia" w:ascii="宋体" w:hAnsi="宋体" w:cs="宋体"/>
                <w:sz w:val="24"/>
                <w:szCs w:val="24"/>
              </w:rPr>
              <w:t>、用氧化乐果</w:t>
            </w:r>
            <w:r>
              <w:rPr>
                <w:rFonts w:ascii="宋体" w:hAnsi="宋体" w:cs="宋体"/>
                <w:sz w:val="24"/>
                <w:szCs w:val="24"/>
              </w:rPr>
              <w:t>1000-1500</w:t>
            </w:r>
            <w:r>
              <w:rPr>
                <w:rFonts w:hint="eastAsia" w:ascii="宋体" w:hAnsi="宋体" w:cs="宋体"/>
                <w:sz w:val="24"/>
                <w:szCs w:val="24"/>
              </w:rPr>
              <w:t>倍液。</w:t>
            </w:r>
            <w:r>
              <w:rPr>
                <w:rFonts w:ascii="宋体" w:hAnsi="宋体" w:cs="宋体"/>
                <w:sz w:val="24"/>
                <w:szCs w:val="24"/>
              </w:rPr>
              <w:t>2</w:t>
            </w:r>
            <w:r>
              <w:rPr>
                <w:rFonts w:hint="eastAsia" w:ascii="宋体" w:hAnsi="宋体" w:cs="宋体"/>
                <w:sz w:val="24"/>
                <w:szCs w:val="24"/>
              </w:rPr>
              <w:t>、速蚧杀、杀螨剂、乐斯本</w:t>
            </w:r>
            <w:r>
              <w:rPr>
                <w:rFonts w:ascii="宋体" w:hAnsi="宋体" w:cs="宋体"/>
                <w:sz w:val="24"/>
                <w:szCs w:val="24"/>
              </w:rPr>
              <w:t>1500</w:t>
            </w:r>
            <w:r>
              <w:rPr>
                <w:rFonts w:hint="eastAsia" w:ascii="宋体" w:hAnsi="宋体" w:cs="宋体"/>
                <w:sz w:val="24"/>
                <w:szCs w:val="24"/>
              </w:rPr>
              <w:t>倍液。</w:t>
            </w:r>
            <w:r>
              <w:rPr>
                <w:rFonts w:ascii="宋体" w:hAnsi="宋体" w:cs="宋体"/>
                <w:sz w:val="24"/>
                <w:szCs w:val="24"/>
              </w:rPr>
              <w:t>3</w:t>
            </w:r>
            <w:r>
              <w:rPr>
                <w:rFonts w:hint="eastAsia" w:ascii="宋体" w:hAnsi="宋体" w:cs="宋体"/>
                <w:sz w:val="24"/>
                <w:szCs w:val="24"/>
              </w:rPr>
              <w:t>、人工捕捉成虫、抹杀树干虫卵。</w:t>
            </w:r>
            <w:r>
              <w:rPr>
                <w:rFonts w:ascii="宋体" w:hAnsi="宋体" w:cs="宋体"/>
                <w:sz w:val="24"/>
                <w:szCs w:val="24"/>
              </w:rPr>
              <w:t>4</w:t>
            </w:r>
            <w:r>
              <w:rPr>
                <w:rFonts w:hint="eastAsia" w:ascii="宋体" w:hAnsi="宋体" w:cs="宋体"/>
                <w:sz w:val="24"/>
                <w:szCs w:val="24"/>
              </w:rPr>
              <w:t>、物理防治方法：黑光灯诱杀。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188" w:type="dxa"/>
            <w:vMerge w:val="continue"/>
            <w:vAlign w:val="center"/>
          </w:tcPr>
          <w:p>
            <w:pPr>
              <w:spacing w:line="520" w:lineRule="exact"/>
              <w:jc w:val="center"/>
              <w:rPr>
                <w:rFonts w:ascii="宋体" w:cs="宋体"/>
                <w:sz w:val="24"/>
                <w:szCs w:val="24"/>
              </w:rPr>
            </w:pPr>
          </w:p>
        </w:tc>
        <w:tc>
          <w:tcPr>
            <w:tcW w:w="1440" w:type="dxa"/>
            <w:vAlign w:val="center"/>
          </w:tcPr>
          <w:p>
            <w:pPr>
              <w:spacing w:line="520" w:lineRule="exact"/>
              <w:jc w:val="center"/>
              <w:rPr>
                <w:rFonts w:ascii="宋体" w:cs="宋体"/>
                <w:sz w:val="24"/>
                <w:szCs w:val="24"/>
              </w:rPr>
            </w:pPr>
            <w:r>
              <w:rPr>
                <w:rFonts w:hint="eastAsia" w:ascii="宋体" w:hAnsi="宋体" w:cs="宋体"/>
                <w:sz w:val="24"/>
                <w:szCs w:val="24"/>
              </w:rPr>
              <w:t>草坪</w:t>
            </w:r>
          </w:p>
        </w:tc>
        <w:tc>
          <w:tcPr>
            <w:tcW w:w="1980" w:type="dxa"/>
            <w:vAlign w:val="center"/>
          </w:tcPr>
          <w:p>
            <w:pPr>
              <w:spacing w:line="520" w:lineRule="exact"/>
              <w:jc w:val="center"/>
              <w:rPr>
                <w:rFonts w:ascii="宋体" w:cs="宋体"/>
                <w:sz w:val="24"/>
                <w:szCs w:val="24"/>
              </w:rPr>
            </w:pPr>
            <w:r>
              <w:rPr>
                <w:rFonts w:hint="eastAsia" w:ascii="宋体" w:hAnsi="宋体" w:cs="宋体"/>
                <w:sz w:val="24"/>
                <w:szCs w:val="24"/>
              </w:rPr>
              <w:t>蛴螬、锈病</w:t>
            </w:r>
          </w:p>
        </w:tc>
        <w:tc>
          <w:tcPr>
            <w:tcW w:w="3914" w:type="dxa"/>
            <w:vAlign w:val="center"/>
          </w:tcPr>
          <w:p>
            <w:pPr>
              <w:rPr>
                <w:rFonts w:ascii="宋体" w:cs="宋体"/>
                <w:sz w:val="24"/>
                <w:szCs w:val="24"/>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25%</w:t>
            </w:r>
            <w:r>
              <w:rPr>
                <w:rFonts w:hint="eastAsia" w:ascii="宋体" w:hAnsi="宋体" w:cs="宋体"/>
                <w:sz w:val="24"/>
                <w:szCs w:val="24"/>
              </w:rPr>
              <w:t>粉锈宁可湿性粉剂</w:t>
            </w:r>
            <w:r>
              <w:rPr>
                <w:rFonts w:ascii="宋体" w:hAnsi="宋体" w:cs="宋体"/>
                <w:sz w:val="24"/>
                <w:szCs w:val="24"/>
              </w:rPr>
              <w:t>2000</w:t>
            </w:r>
            <w:r>
              <w:rPr>
                <w:rFonts w:hint="eastAsia" w:ascii="宋体" w:hAnsi="宋体" w:cs="宋体"/>
                <w:sz w:val="24"/>
                <w:szCs w:val="24"/>
              </w:rPr>
              <w:t>－</w:t>
            </w:r>
            <w:r>
              <w:rPr>
                <w:rFonts w:ascii="宋体" w:hAnsi="宋体" w:cs="宋体"/>
                <w:sz w:val="24"/>
                <w:szCs w:val="24"/>
              </w:rPr>
              <w:t>2500</w:t>
            </w:r>
            <w:r>
              <w:rPr>
                <w:rFonts w:hint="eastAsia" w:ascii="宋体" w:hAnsi="宋体" w:cs="宋体"/>
                <w:sz w:val="24"/>
                <w:szCs w:val="24"/>
              </w:rPr>
              <w:t>倍液。</w:t>
            </w:r>
            <w:r>
              <w:rPr>
                <w:rFonts w:ascii="宋体" w:hAnsi="宋体" w:cs="宋体"/>
                <w:sz w:val="24"/>
                <w:szCs w:val="24"/>
              </w:rPr>
              <w:t>2</w:t>
            </w:r>
            <w:r>
              <w:rPr>
                <w:rFonts w:hint="eastAsia" w:ascii="宋体" w:hAnsi="宋体" w:cs="宋体"/>
                <w:sz w:val="24"/>
                <w:szCs w:val="24"/>
              </w:rPr>
              <w:t>、</w:t>
            </w:r>
            <w:r>
              <w:rPr>
                <w:rFonts w:ascii="宋体" w:hAnsi="宋体" w:cs="宋体"/>
                <w:sz w:val="24"/>
                <w:szCs w:val="24"/>
              </w:rPr>
              <w:t>70%</w:t>
            </w:r>
            <w:r>
              <w:rPr>
                <w:rFonts w:hint="eastAsia" w:ascii="宋体" w:hAnsi="宋体" w:cs="宋体"/>
                <w:sz w:val="24"/>
                <w:szCs w:val="24"/>
              </w:rPr>
              <w:t>甲基托布津</w:t>
            </w:r>
            <w:r>
              <w:rPr>
                <w:rFonts w:ascii="宋体" w:hAnsi="宋体" w:cs="宋体"/>
                <w:sz w:val="24"/>
                <w:szCs w:val="24"/>
              </w:rPr>
              <w:t>800</w:t>
            </w:r>
            <w:r>
              <w:rPr>
                <w:rFonts w:hint="eastAsia" w:ascii="宋体" w:hAnsi="宋体" w:cs="宋体"/>
                <w:sz w:val="24"/>
                <w:szCs w:val="24"/>
              </w:rPr>
              <w:t>倍液。</w:t>
            </w:r>
            <w:r>
              <w:rPr>
                <w:rFonts w:ascii="宋体" w:hAnsi="宋体" w:cs="宋体"/>
                <w:sz w:val="24"/>
                <w:szCs w:val="24"/>
              </w:rPr>
              <w:t>3</w:t>
            </w:r>
            <w:r>
              <w:rPr>
                <w:rFonts w:hint="eastAsia" w:ascii="宋体" w:hAnsi="宋体" w:cs="宋体"/>
                <w:sz w:val="24"/>
                <w:szCs w:val="24"/>
              </w:rPr>
              <w:t>、用</w:t>
            </w:r>
            <w:r>
              <w:rPr>
                <w:rFonts w:ascii="宋体" w:hAnsi="宋体" w:cs="宋体"/>
                <w:sz w:val="24"/>
                <w:szCs w:val="24"/>
              </w:rPr>
              <w:t>40%</w:t>
            </w:r>
            <w:r>
              <w:rPr>
                <w:rFonts w:hint="eastAsia" w:ascii="宋体" w:hAnsi="宋体" w:cs="宋体"/>
                <w:sz w:val="24"/>
                <w:szCs w:val="24"/>
              </w:rPr>
              <w:t>氧化乐果</w:t>
            </w:r>
            <w:r>
              <w:rPr>
                <w:rFonts w:ascii="宋体" w:hAnsi="宋体" w:cs="宋体"/>
                <w:sz w:val="24"/>
                <w:szCs w:val="24"/>
              </w:rPr>
              <w:t>1000-1500</w:t>
            </w:r>
            <w:r>
              <w:rPr>
                <w:rFonts w:hint="eastAsia" w:ascii="宋体" w:hAnsi="宋体" w:cs="宋体"/>
                <w:sz w:val="24"/>
                <w:szCs w:val="24"/>
              </w:rPr>
              <w:t>倍液。</w:t>
            </w:r>
            <w:r>
              <w:rPr>
                <w:rFonts w:ascii="宋体" w:hAnsi="宋体" w:cs="宋体"/>
                <w:sz w:val="24"/>
                <w:szCs w:val="24"/>
              </w:rPr>
              <w:t>4</w:t>
            </w:r>
            <w:r>
              <w:rPr>
                <w:rFonts w:hint="eastAsia" w:ascii="宋体" w:hAnsi="宋体" w:cs="宋体"/>
                <w:sz w:val="24"/>
                <w:szCs w:val="24"/>
              </w:rPr>
              <w:t>、速蚧杀</w:t>
            </w:r>
            <w:r>
              <w:rPr>
                <w:rFonts w:ascii="宋体" w:hAnsi="宋体" w:cs="宋体"/>
                <w:sz w:val="24"/>
                <w:szCs w:val="24"/>
              </w:rPr>
              <w:t>1000</w:t>
            </w:r>
            <w:r>
              <w:rPr>
                <w:rFonts w:hint="eastAsia" w:ascii="宋体" w:hAnsi="宋体" w:cs="宋体"/>
                <w:sz w:val="24"/>
                <w:szCs w:val="24"/>
              </w:rPr>
              <w:t>倍液喷洒。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1188" w:type="dxa"/>
            <w:vMerge w:val="restart"/>
            <w:vAlign w:val="center"/>
          </w:tcPr>
          <w:p>
            <w:pPr>
              <w:spacing w:line="520" w:lineRule="exact"/>
              <w:jc w:val="center"/>
              <w:rPr>
                <w:rFonts w:ascii="宋体" w:cs="宋体"/>
                <w:sz w:val="24"/>
                <w:szCs w:val="24"/>
              </w:rPr>
            </w:pPr>
            <w:r>
              <w:rPr>
                <w:rFonts w:hint="eastAsia" w:ascii="宋体" w:hAnsi="宋体" w:cs="宋体"/>
                <w:sz w:val="24"/>
                <w:szCs w:val="24"/>
              </w:rPr>
              <w:t>十月</w:t>
            </w:r>
          </w:p>
        </w:tc>
        <w:tc>
          <w:tcPr>
            <w:tcW w:w="1440" w:type="dxa"/>
            <w:vAlign w:val="center"/>
          </w:tcPr>
          <w:p>
            <w:pPr>
              <w:spacing w:line="520" w:lineRule="exact"/>
              <w:jc w:val="center"/>
              <w:rPr>
                <w:rFonts w:ascii="宋体" w:cs="宋体"/>
                <w:sz w:val="24"/>
                <w:szCs w:val="24"/>
              </w:rPr>
            </w:pPr>
            <w:r>
              <w:rPr>
                <w:rFonts w:hint="eastAsia" w:ascii="宋体" w:hAnsi="宋体" w:cs="宋体"/>
                <w:sz w:val="24"/>
                <w:szCs w:val="24"/>
              </w:rPr>
              <w:t>乔木、花灌木</w:t>
            </w:r>
          </w:p>
        </w:tc>
        <w:tc>
          <w:tcPr>
            <w:tcW w:w="1980" w:type="dxa"/>
            <w:vAlign w:val="center"/>
          </w:tcPr>
          <w:p>
            <w:pPr>
              <w:spacing w:line="520" w:lineRule="exact"/>
              <w:jc w:val="center"/>
              <w:rPr>
                <w:rFonts w:ascii="宋体" w:cs="宋体"/>
                <w:sz w:val="24"/>
                <w:szCs w:val="24"/>
              </w:rPr>
            </w:pPr>
            <w:r>
              <w:rPr>
                <w:rFonts w:hint="eastAsia" w:ascii="宋体" w:hAnsi="宋体" w:cs="宋体"/>
                <w:sz w:val="24"/>
                <w:szCs w:val="24"/>
              </w:rPr>
              <w:t>天牛、蚜虫、螨类</w:t>
            </w:r>
          </w:p>
        </w:tc>
        <w:tc>
          <w:tcPr>
            <w:tcW w:w="3914" w:type="dxa"/>
            <w:vAlign w:val="center"/>
          </w:tcPr>
          <w:p>
            <w:pPr>
              <w:jc w:val="center"/>
              <w:rPr>
                <w:rFonts w:ascii="宋体" w:cs="宋体"/>
                <w:sz w:val="24"/>
                <w:szCs w:val="24"/>
              </w:rPr>
            </w:pPr>
            <w:r>
              <w:rPr>
                <w:rFonts w:ascii="宋体" w:hAnsi="宋体" w:cs="宋体"/>
                <w:sz w:val="24"/>
                <w:szCs w:val="24"/>
              </w:rPr>
              <w:t>1</w:t>
            </w:r>
            <w:r>
              <w:rPr>
                <w:rFonts w:hint="eastAsia" w:ascii="宋体" w:hAnsi="宋体" w:cs="宋体"/>
                <w:sz w:val="24"/>
                <w:szCs w:val="24"/>
              </w:rPr>
              <w:t>、用氧化乐果</w:t>
            </w:r>
            <w:r>
              <w:rPr>
                <w:rFonts w:ascii="宋体" w:hAnsi="宋体" w:cs="宋体"/>
                <w:sz w:val="24"/>
                <w:szCs w:val="24"/>
              </w:rPr>
              <w:t>1000-1500</w:t>
            </w:r>
            <w:r>
              <w:rPr>
                <w:rFonts w:hint="eastAsia" w:ascii="宋体" w:hAnsi="宋体" w:cs="宋体"/>
                <w:sz w:val="24"/>
                <w:szCs w:val="24"/>
              </w:rPr>
              <w:t>倍液。</w:t>
            </w:r>
            <w:r>
              <w:rPr>
                <w:rFonts w:ascii="宋体" w:hAnsi="宋体" w:cs="宋体"/>
                <w:sz w:val="24"/>
                <w:szCs w:val="24"/>
              </w:rPr>
              <w:t>2</w:t>
            </w:r>
            <w:r>
              <w:rPr>
                <w:rFonts w:hint="eastAsia" w:ascii="宋体" w:hAnsi="宋体" w:cs="宋体"/>
                <w:sz w:val="24"/>
                <w:szCs w:val="24"/>
              </w:rPr>
              <w:t>、速蚧杀</w:t>
            </w:r>
            <w:r>
              <w:rPr>
                <w:rFonts w:ascii="宋体" w:hAnsi="宋体" w:cs="宋体"/>
                <w:sz w:val="24"/>
                <w:szCs w:val="24"/>
              </w:rPr>
              <w:t>1000</w:t>
            </w:r>
            <w:r>
              <w:rPr>
                <w:rFonts w:hint="eastAsia" w:ascii="宋体" w:hAnsi="宋体" w:cs="宋体"/>
                <w:sz w:val="24"/>
                <w:szCs w:val="24"/>
              </w:rPr>
              <w:t>倍液喷洒。</w:t>
            </w:r>
            <w:r>
              <w:rPr>
                <w:rFonts w:ascii="宋体" w:hAnsi="宋体" w:cs="宋体"/>
                <w:sz w:val="24"/>
                <w:szCs w:val="24"/>
              </w:rPr>
              <w:t>4</w:t>
            </w:r>
            <w:r>
              <w:rPr>
                <w:rFonts w:hint="eastAsia" w:ascii="宋体" w:hAnsi="宋体" w:cs="宋体"/>
                <w:sz w:val="24"/>
                <w:szCs w:val="24"/>
              </w:rPr>
              <w:t>、人工捕捉成虫、抹杀树干虫卵。</w:t>
            </w:r>
            <w:r>
              <w:rPr>
                <w:rFonts w:ascii="宋体" w:hAnsi="宋体" w:cs="宋体"/>
                <w:sz w:val="24"/>
                <w:szCs w:val="24"/>
              </w:rPr>
              <w:t>6</w:t>
            </w:r>
            <w:r>
              <w:rPr>
                <w:rFonts w:hint="eastAsia" w:ascii="宋体" w:hAnsi="宋体" w:cs="宋体"/>
                <w:sz w:val="24"/>
                <w:szCs w:val="24"/>
              </w:rPr>
              <w:t>、物理防治方法：黑光灯诱杀。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1188" w:type="dxa"/>
            <w:vMerge w:val="continue"/>
            <w:vAlign w:val="center"/>
          </w:tcPr>
          <w:p>
            <w:pPr>
              <w:spacing w:line="520" w:lineRule="exact"/>
              <w:jc w:val="center"/>
              <w:rPr>
                <w:rFonts w:ascii="宋体" w:cs="宋体"/>
                <w:sz w:val="24"/>
                <w:szCs w:val="24"/>
              </w:rPr>
            </w:pPr>
          </w:p>
        </w:tc>
        <w:tc>
          <w:tcPr>
            <w:tcW w:w="1440" w:type="dxa"/>
            <w:vAlign w:val="center"/>
          </w:tcPr>
          <w:p>
            <w:pPr>
              <w:spacing w:line="520" w:lineRule="exact"/>
              <w:jc w:val="center"/>
              <w:rPr>
                <w:rFonts w:ascii="宋体" w:cs="宋体"/>
                <w:sz w:val="24"/>
                <w:szCs w:val="24"/>
              </w:rPr>
            </w:pPr>
            <w:r>
              <w:rPr>
                <w:rFonts w:hint="eastAsia" w:ascii="宋体" w:hAnsi="宋体" w:cs="宋体"/>
                <w:sz w:val="24"/>
                <w:szCs w:val="24"/>
              </w:rPr>
              <w:t>草坪</w:t>
            </w:r>
          </w:p>
        </w:tc>
        <w:tc>
          <w:tcPr>
            <w:tcW w:w="1980" w:type="dxa"/>
            <w:vAlign w:val="center"/>
          </w:tcPr>
          <w:p>
            <w:pPr>
              <w:spacing w:line="520" w:lineRule="exact"/>
              <w:jc w:val="center"/>
              <w:rPr>
                <w:rFonts w:ascii="宋体" w:cs="宋体"/>
                <w:sz w:val="24"/>
                <w:szCs w:val="24"/>
              </w:rPr>
            </w:pPr>
            <w:r>
              <w:rPr>
                <w:rFonts w:hint="eastAsia" w:ascii="宋体" w:hAnsi="宋体" w:cs="宋体"/>
                <w:sz w:val="24"/>
                <w:szCs w:val="24"/>
              </w:rPr>
              <w:t>螨类、蛴螬</w:t>
            </w:r>
          </w:p>
        </w:tc>
        <w:tc>
          <w:tcPr>
            <w:tcW w:w="3914" w:type="dxa"/>
            <w:vAlign w:val="center"/>
          </w:tcPr>
          <w:p>
            <w:pPr>
              <w:rPr>
                <w:rFonts w:ascii="宋体" w:cs="宋体"/>
                <w:sz w:val="24"/>
                <w:szCs w:val="24"/>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25%</w:t>
            </w:r>
            <w:r>
              <w:rPr>
                <w:rFonts w:hint="eastAsia" w:ascii="宋体" w:hAnsi="宋体" w:cs="宋体"/>
                <w:sz w:val="24"/>
                <w:szCs w:val="24"/>
              </w:rPr>
              <w:t>粉锈宁可湿性粉剂</w:t>
            </w:r>
            <w:r>
              <w:rPr>
                <w:rFonts w:ascii="宋体" w:hAnsi="宋体" w:cs="宋体"/>
                <w:sz w:val="24"/>
                <w:szCs w:val="24"/>
              </w:rPr>
              <w:t>2000</w:t>
            </w:r>
            <w:r>
              <w:rPr>
                <w:rFonts w:hint="eastAsia" w:ascii="宋体" w:hAnsi="宋体" w:cs="宋体"/>
                <w:sz w:val="24"/>
                <w:szCs w:val="24"/>
              </w:rPr>
              <w:t>－</w:t>
            </w:r>
            <w:r>
              <w:rPr>
                <w:rFonts w:ascii="宋体" w:hAnsi="宋体" w:cs="宋体"/>
                <w:sz w:val="24"/>
                <w:szCs w:val="24"/>
              </w:rPr>
              <w:t>2500</w:t>
            </w:r>
            <w:r>
              <w:rPr>
                <w:rFonts w:hint="eastAsia" w:ascii="宋体" w:hAnsi="宋体" w:cs="宋体"/>
                <w:sz w:val="24"/>
                <w:szCs w:val="24"/>
              </w:rPr>
              <w:t>倍液。</w:t>
            </w:r>
            <w:r>
              <w:rPr>
                <w:rFonts w:ascii="宋体" w:hAnsi="宋体" w:cs="宋体"/>
                <w:sz w:val="24"/>
                <w:szCs w:val="24"/>
              </w:rPr>
              <w:t>2</w:t>
            </w:r>
            <w:r>
              <w:rPr>
                <w:rFonts w:hint="eastAsia" w:ascii="宋体" w:hAnsi="宋体" w:cs="宋体"/>
                <w:sz w:val="24"/>
                <w:szCs w:val="24"/>
              </w:rPr>
              <w:t>、</w:t>
            </w:r>
            <w:r>
              <w:rPr>
                <w:rFonts w:ascii="宋体" w:hAnsi="宋体" w:cs="宋体"/>
                <w:sz w:val="24"/>
                <w:szCs w:val="24"/>
              </w:rPr>
              <w:t>70%</w:t>
            </w:r>
            <w:r>
              <w:rPr>
                <w:rFonts w:hint="eastAsia" w:ascii="宋体" w:hAnsi="宋体" w:cs="宋体"/>
                <w:sz w:val="24"/>
                <w:szCs w:val="24"/>
              </w:rPr>
              <w:t>甲基托布津</w:t>
            </w:r>
            <w:r>
              <w:rPr>
                <w:rFonts w:ascii="宋体" w:hAnsi="宋体" w:cs="宋体"/>
                <w:sz w:val="24"/>
                <w:szCs w:val="24"/>
              </w:rPr>
              <w:t>800</w:t>
            </w:r>
            <w:r>
              <w:rPr>
                <w:rFonts w:hint="eastAsia" w:ascii="宋体" w:hAnsi="宋体" w:cs="宋体"/>
                <w:sz w:val="24"/>
                <w:szCs w:val="24"/>
              </w:rPr>
              <w:t>倍液。</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40%</w:t>
            </w:r>
            <w:r>
              <w:rPr>
                <w:rFonts w:hint="eastAsia" w:ascii="宋体" w:hAnsi="宋体" w:cs="宋体"/>
                <w:sz w:val="24"/>
                <w:szCs w:val="24"/>
              </w:rPr>
              <w:t>辛硫磷</w:t>
            </w:r>
            <w:r>
              <w:rPr>
                <w:rFonts w:ascii="宋体" w:hAnsi="宋体" w:cs="宋体"/>
                <w:sz w:val="24"/>
                <w:szCs w:val="24"/>
              </w:rPr>
              <w:t>1000-1500</w:t>
            </w:r>
            <w:r>
              <w:rPr>
                <w:rFonts w:hint="eastAsia" w:ascii="宋体" w:hAnsi="宋体" w:cs="宋体"/>
                <w:sz w:val="24"/>
                <w:szCs w:val="24"/>
              </w:rPr>
              <w:t>倍液。</w:t>
            </w:r>
            <w:r>
              <w:rPr>
                <w:rFonts w:ascii="宋体" w:hAnsi="宋体" w:cs="宋体"/>
                <w:sz w:val="24"/>
                <w:szCs w:val="24"/>
              </w:rPr>
              <w:t>4</w:t>
            </w:r>
            <w:r>
              <w:rPr>
                <w:rFonts w:hint="eastAsia" w:ascii="宋体" w:hAnsi="宋体" w:cs="宋体"/>
                <w:sz w:val="24"/>
                <w:szCs w:val="24"/>
              </w:rPr>
              <w:t>、速蚧杀</w:t>
            </w:r>
            <w:r>
              <w:rPr>
                <w:rFonts w:ascii="宋体" w:hAnsi="宋体" w:cs="宋体"/>
                <w:sz w:val="24"/>
                <w:szCs w:val="24"/>
              </w:rPr>
              <w:t>1000</w:t>
            </w:r>
            <w:r>
              <w:rPr>
                <w:rFonts w:hint="eastAsia" w:ascii="宋体" w:hAnsi="宋体" w:cs="宋体"/>
                <w:sz w:val="24"/>
                <w:szCs w:val="24"/>
              </w:rPr>
              <w:t>倍液喷洒。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520" w:lineRule="exact"/>
              <w:jc w:val="center"/>
              <w:rPr>
                <w:rFonts w:ascii="宋体" w:cs="宋体"/>
                <w:sz w:val="24"/>
                <w:szCs w:val="24"/>
              </w:rPr>
            </w:pPr>
            <w:r>
              <w:rPr>
                <w:rFonts w:hint="eastAsia" w:ascii="宋体" w:hAnsi="宋体" w:cs="宋体"/>
                <w:sz w:val="24"/>
                <w:szCs w:val="24"/>
              </w:rPr>
              <w:t>十一月</w:t>
            </w:r>
          </w:p>
        </w:tc>
        <w:tc>
          <w:tcPr>
            <w:tcW w:w="1440" w:type="dxa"/>
            <w:vAlign w:val="center"/>
          </w:tcPr>
          <w:p>
            <w:pPr>
              <w:jc w:val="center"/>
              <w:rPr>
                <w:rFonts w:ascii="宋体" w:cs="宋体"/>
                <w:sz w:val="24"/>
                <w:szCs w:val="24"/>
              </w:rPr>
            </w:pPr>
            <w:r>
              <w:rPr>
                <w:rFonts w:hint="eastAsia" w:ascii="宋体" w:hAnsi="宋体" w:cs="宋体"/>
                <w:sz w:val="24"/>
                <w:szCs w:val="24"/>
              </w:rPr>
              <w:t>乔木、花灌木、草坪</w:t>
            </w:r>
          </w:p>
          <w:p>
            <w:pPr>
              <w:spacing w:line="520" w:lineRule="exact"/>
              <w:jc w:val="center"/>
              <w:rPr>
                <w:rFonts w:ascii="宋体" w:cs="宋体"/>
                <w:sz w:val="24"/>
                <w:szCs w:val="24"/>
              </w:rPr>
            </w:pPr>
          </w:p>
        </w:tc>
        <w:tc>
          <w:tcPr>
            <w:tcW w:w="1980" w:type="dxa"/>
            <w:vAlign w:val="center"/>
          </w:tcPr>
          <w:p>
            <w:pPr>
              <w:spacing w:line="520" w:lineRule="exact"/>
              <w:jc w:val="center"/>
              <w:rPr>
                <w:rFonts w:ascii="宋体" w:hAnsi="宋体" w:cs="宋体"/>
                <w:sz w:val="24"/>
                <w:szCs w:val="24"/>
              </w:rPr>
            </w:pPr>
            <w:r>
              <w:rPr>
                <w:rFonts w:hint="eastAsia" w:ascii="宋体" w:hAnsi="宋体" w:cs="宋体"/>
                <w:sz w:val="24"/>
                <w:szCs w:val="24"/>
              </w:rPr>
              <w:t>虫卵、病菌</w:t>
            </w:r>
            <w:r>
              <w:rPr>
                <w:rFonts w:ascii="宋体" w:hAnsi="宋体" w:cs="宋体"/>
                <w:sz w:val="24"/>
                <w:szCs w:val="24"/>
              </w:rPr>
              <w:t>(</w:t>
            </w:r>
            <w:r>
              <w:rPr>
                <w:rFonts w:hint="eastAsia" w:ascii="宋体" w:hAnsi="宋体" w:cs="宋体"/>
                <w:sz w:val="24"/>
                <w:szCs w:val="24"/>
              </w:rPr>
              <w:t>越冬病虫</w:t>
            </w:r>
            <w:r>
              <w:rPr>
                <w:rFonts w:ascii="宋体" w:hAnsi="宋体" w:cs="宋体"/>
                <w:sz w:val="24"/>
                <w:szCs w:val="24"/>
              </w:rPr>
              <w:t>)</w:t>
            </w:r>
          </w:p>
        </w:tc>
        <w:tc>
          <w:tcPr>
            <w:tcW w:w="3914" w:type="dxa"/>
            <w:vAlign w:val="center"/>
          </w:tcPr>
          <w:p>
            <w:pPr>
              <w:rPr>
                <w:rFonts w:ascii="宋体" w:cs="宋体"/>
                <w:sz w:val="24"/>
                <w:szCs w:val="24"/>
              </w:rPr>
            </w:pPr>
            <w:r>
              <w:rPr>
                <w:rFonts w:ascii="宋体" w:hAnsi="宋体" w:cs="宋体"/>
                <w:sz w:val="24"/>
                <w:szCs w:val="24"/>
              </w:rPr>
              <w:t>1</w:t>
            </w:r>
            <w:r>
              <w:rPr>
                <w:rFonts w:hint="eastAsia" w:ascii="宋体" w:hAnsi="宋体" w:cs="宋体"/>
                <w:sz w:val="24"/>
                <w:szCs w:val="24"/>
              </w:rPr>
              <w:t>、石硫合剂→</w:t>
            </w:r>
            <w:r>
              <w:rPr>
                <w:rFonts w:ascii="宋体" w:hAnsi="宋体" w:cs="宋体"/>
                <w:sz w:val="24"/>
                <w:szCs w:val="24"/>
              </w:rPr>
              <w:t>200</w:t>
            </w:r>
            <w:r>
              <w:rPr>
                <w:rFonts w:hint="eastAsia" w:ascii="宋体" w:hAnsi="宋体" w:cs="宋体"/>
                <w:sz w:val="24"/>
                <w:szCs w:val="24"/>
              </w:rPr>
              <w:t>倍液喷洒全园植物</w:t>
            </w:r>
            <w:r>
              <w:rPr>
                <w:rFonts w:ascii="宋体" w:hAnsi="宋体" w:cs="宋体"/>
                <w:sz w:val="24"/>
                <w:szCs w:val="24"/>
              </w:rPr>
              <w:t xml:space="preserve">  20</w:t>
            </w:r>
            <w:r>
              <w:rPr>
                <w:rFonts w:hint="eastAsia" w:ascii="宋体" w:hAnsi="宋体" w:cs="宋体"/>
                <w:sz w:val="24"/>
                <w:szCs w:val="24"/>
              </w:rPr>
              <w:t>倍液→涂抹百日红</w:t>
            </w:r>
            <w:r>
              <w:rPr>
                <w:rFonts w:ascii="宋体" w:hAnsi="宋体" w:cs="宋体"/>
                <w:sz w:val="24"/>
                <w:szCs w:val="24"/>
              </w:rPr>
              <w:t xml:space="preserve"> 2</w:t>
            </w:r>
            <w:r>
              <w:rPr>
                <w:rFonts w:hint="eastAsia" w:ascii="宋体" w:hAnsi="宋体" w:cs="宋体"/>
                <w:sz w:val="24"/>
                <w:szCs w:val="24"/>
              </w:rPr>
              <w:t>、用人工修剪病虫枝，刮除树皮缝杈处的越冬害虫、病菌。</w:t>
            </w:r>
            <w:r>
              <w:rPr>
                <w:rFonts w:ascii="宋体" w:hAnsi="宋体" w:cs="宋体"/>
                <w:sz w:val="24"/>
                <w:szCs w:val="24"/>
              </w:rPr>
              <w:t>3</w:t>
            </w:r>
            <w:r>
              <w:rPr>
                <w:rFonts w:hint="eastAsia" w:ascii="宋体" w:hAnsi="宋体" w:cs="宋体"/>
                <w:sz w:val="24"/>
                <w:szCs w:val="24"/>
              </w:rPr>
              <w:t>、对有病虫害的植物结合冬季修剪并烧毁病虫枝，消灭越冬害虫。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520" w:lineRule="exact"/>
              <w:jc w:val="center"/>
              <w:rPr>
                <w:rFonts w:ascii="宋体" w:cs="宋体"/>
                <w:sz w:val="24"/>
                <w:szCs w:val="24"/>
              </w:rPr>
            </w:pPr>
            <w:r>
              <w:rPr>
                <w:rFonts w:hint="eastAsia" w:ascii="宋体" w:hAnsi="宋体" w:cs="宋体"/>
                <w:sz w:val="24"/>
                <w:szCs w:val="24"/>
              </w:rPr>
              <w:t>十二月</w:t>
            </w:r>
          </w:p>
        </w:tc>
        <w:tc>
          <w:tcPr>
            <w:tcW w:w="1440" w:type="dxa"/>
            <w:vAlign w:val="center"/>
          </w:tcPr>
          <w:p>
            <w:pPr>
              <w:jc w:val="center"/>
              <w:rPr>
                <w:rFonts w:ascii="宋体" w:cs="宋体"/>
                <w:sz w:val="24"/>
                <w:szCs w:val="24"/>
              </w:rPr>
            </w:pPr>
            <w:r>
              <w:rPr>
                <w:rFonts w:hint="eastAsia" w:ascii="宋体" w:hAnsi="宋体" w:cs="宋体"/>
                <w:sz w:val="24"/>
                <w:szCs w:val="24"/>
              </w:rPr>
              <w:t>乔木、花灌木、草坪</w:t>
            </w:r>
          </w:p>
          <w:p>
            <w:pPr>
              <w:spacing w:line="520" w:lineRule="exact"/>
              <w:jc w:val="center"/>
              <w:rPr>
                <w:rFonts w:ascii="宋体" w:cs="宋体"/>
                <w:sz w:val="24"/>
                <w:szCs w:val="24"/>
              </w:rPr>
            </w:pPr>
          </w:p>
        </w:tc>
        <w:tc>
          <w:tcPr>
            <w:tcW w:w="1980" w:type="dxa"/>
            <w:vAlign w:val="center"/>
          </w:tcPr>
          <w:p>
            <w:pPr>
              <w:jc w:val="center"/>
              <w:rPr>
                <w:rFonts w:ascii="宋体" w:cs="宋体"/>
                <w:sz w:val="24"/>
                <w:szCs w:val="24"/>
                <w:u w:val="single"/>
              </w:rPr>
            </w:pPr>
            <w:r>
              <w:rPr>
                <w:rFonts w:hint="eastAsia" w:ascii="宋体" w:hAnsi="宋体" w:cs="宋体"/>
                <w:sz w:val="24"/>
                <w:szCs w:val="24"/>
              </w:rPr>
              <w:t>虫卵、病菌</w:t>
            </w:r>
            <w:r>
              <w:rPr>
                <w:rFonts w:ascii="宋体" w:hAnsi="宋体" w:cs="宋体"/>
                <w:sz w:val="24"/>
                <w:szCs w:val="24"/>
              </w:rPr>
              <w:t>(</w:t>
            </w:r>
            <w:r>
              <w:rPr>
                <w:rFonts w:hint="eastAsia" w:ascii="宋体" w:hAnsi="宋体" w:cs="宋体"/>
                <w:sz w:val="24"/>
                <w:szCs w:val="24"/>
              </w:rPr>
              <w:t>越冬病虫</w:t>
            </w:r>
            <w:r>
              <w:rPr>
                <w:rFonts w:ascii="宋体" w:hAnsi="宋体" w:cs="宋体"/>
                <w:sz w:val="24"/>
                <w:szCs w:val="24"/>
              </w:rPr>
              <w:t>)</w:t>
            </w:r>
          </w:p>
          <w:p>
            <w:pPr>
              <w:spacing w:line="520" w:lineRule="exact"/>
              <w:jc w:val="center"/>
              <w:rPr>
                <w:rFonts w:ascii="宋体" w:cs="宋体"/>
                <w:sz w:val="24"/>
                <w:szCs w:val="24"/>
              </w:rPr>
            </w:pPr>
          </w:p>
        </w:tc>
        <w:tc>
          <w:tcPr>
            <w:tcW w:w="3914" w:type="dxa"/>
            <w:vAlign w:val="center"/>
          </w:tcPr>
          <w:p>
            <w:pPr>
              <w:rPr>
                <w:rFonts w:ascii="宋体" w:cs="宋体"/>
                <w:sz w:val="24"/>
                <w:szCs w:val="24"/>
              </w:rPr>
            </w:pPr>
            <w:r>
              <w:rPr>
                <w:rFonts w:ascii="宋体" w:hAnsi="宋体" w:cs="宋体"/>
                <w:sz w:val="24"/>
                <w:szCs w:val="24"/>
              </w:rPr>
              <w:t>1</w:t>
            </w:r>
            <w:r>
              <w:rPr>
                <w:rFonts w:hint="eastAsia" w:ascii="宋体" w:hAnsi="宋体" w:cs="宋体"/>
                <w:sz w:val="24"/>
                <w:szCs w:val="24"/>
              </w:rPr>
              <w:t>、石硫合剂→</w:t>
            </w:r>
            <w:r>
              <w:rPr>
                <w:rFonts w:ascii="宋体" w:hAnsi="宋体" w:cs="宋体"/>
                <w:sz w:val="24"/>
                <w:szCs w:val="24"/>
              </w:rPr>
              <w:t>200</w:t>
            </w:r>
            <w:r>
              <w:rPr>
                <w:rFonts w:hint="eastAsia" w:ascii="宋体" w:hAnsi="宋体" w:cs="宋体"/>
                <w:sz w:val="24"/>
                <w:szCs w:val="24"/>
              </w:rPr>
              <w:t>倍液喷洒全园植物</w:t>
            </w:r>
            <w:r>
              <w:rPr>
                <w:rFonts w:ascii="宋体" w:hAnsi="宋体" w:cs="宋体"/>
                <w:sz w:val="24"/>
                <w:szCs w:val="24"/>
              </w:rPr>
              <w:t xml:space="preserve">  20</w:t>
            </w:r>
            <w:r>
              <w:rPr>
                <w:rFonts w:hint="eastAsia" w:ascii="宋体" w:hAnsi="宋体" w:cs="宋体"/>
                <w:sz w:val="24"/>
                <w:szCs w:val="24"/>
              </w:rPr>
              <w:t>倍液→涂抹百日红</w:t>
            </w:r>
            <w:r>
              <w:rPr>
                <w:rFonts w:ascii="宋体" w:hAnsi="宋体" w:cs="宋体"/>
                <w:sz w:val="24"/>
                <w:szCs w:val="24"/>
              </w:rPr>
              <w:t xml:space="preserve"> 2</w:t>
            </w:r>
            <w:r>
              <w:rPr>
                <w:rFonts w:hint="eastAsia" w:ascii="宋体" w:hAnsi="宋体" w:cs="宋体"/>
                <w:sz w:val="24"/>
                <w:szCs w:val="24"/>
              </w:rPr>
              <w:t>、用人工修剪病虫枝，刮除树皮缝杈处的越冬害虫、病菌。</w:t>
            </w:r>
            <w:r>
              <w:rPr>
                <w:rFonts w:ascii="宋体" w:hAnsi="宋体" w:cs="宋体"/>
                <w:sz w:val="24"/>
                <w:szCs w:val="24"/>
              </w:rPr>
              <w:t>3</w:t>
            </w:r>
            <w:r>
              <w:rPr>
                <w:rFonts w:hint="eastAsia" w:ascii="宋体" w:hAnsi="宋体" w:cs="宋体"/>
                <w:sz w:val="24"/>
                <w:szCs w:val="24"/>
              </w:rPr>
              <w:t>、对有病虫害的植物结合冬季修剪并烧毁病虫枝，消灭越冬害虫。</w:t>
            </w:r>
          </w:p>
        </w:tc>
      </w:tr>
    </w:tbl>
    <w:p>
      <w:pPr>
        <w:widowControl w:val="0"/>
        <w:snapToGrid w:val="0"/>
        <w:spacing w:line="360" w:lineRule="auto"/>
        <w:jc w:val="left"/>
        <w:rPr>
          <w:b/>
          <w:color w:val="auto"/>
          <w:sz w:val="24"/>
          <w:szCs w:val="24"/>
        </w:rPr>
      </w:pPr>
      <w:r>
        <w:rPr>
          <w:rFonts w:hint="eastAsia"/>
          <w:b/>
          <w:color w:val="auto"/>
          <w:sz w:val="24"/>
          <w:szCs w:val="24"/>
        </w:rPr>
        <w:t>注：</w:t>
      </w:r>
      <w:r>
        <w:rPr>
          <w:color w:val="auto"/>
          <w:sz w:val="24"/>
          <w:szCs w:val="24"/>
        </w:rPr>
        <w:t>1</w:t>
      </w:r>
      <w:r>
        <w:rPr>
          <w:rFonts w:hint="eastAsia"/>
          <w:color w:val="auto"/>
          <w:sz w:val="24"/>
          <w:szCs w:val="24"/>
        </w:rPr>
        <w:t>、招标文件中如有非实质性要求会明确标明，如未标明为非实质性要求，均为实质性要求。</w:t>
      </w:r>
    </w:p>
    <w:p>
      <w:pPr>
        <w:widowControl w:val="0"/>
        <w:snapToGrid w:val="0"/>
        <w:spacing w:line="360" w:lineRule="auto"/>
        <w:ind w:firstLine="480" w:firstLineChars="200"/>
        <w:jc w:val="left"/>
        <w:rPr>
          <w:color w:val="auto"/>
          <w:sz w:val="24"/>
          <w:szCs w:val="24"/>
        </w:rPr>
      </w:pPr>
      <w:r>
        <w:rPr>
          <w:color w:val="auto"/>
          <w:sz w:val="24"/>
          <w:szCs w:val="24"/>
        </w:rPr>
        <w:t>2</w:t>
      </w:r>
      <w:r>
        <w:rPr>
          <w:rFonts w:hint="eastAsia"/>
          <w:color w:val="auto"/>
          <w:sz w:val="24"/>
          <w:szCs w:val="24"/>
        </w:rPr>
        <w:t>、如项目基本技术、服务要求需提供证明材料，供应商应将相关材料附入符合性响应文件中，否则属于无效投标。</w:t>
      </w:r>
    </w:p>
    <w:p>
      <w:pPr>
        <w:widowControl w:val="0"/>
        <w:snapToGrid w:val="0"/>
        <w:spacing w:line="360" w:lineRule="auto"/>
        <w:ind w:firstLine="480" w:firstLineChars="200"/>
        <w:jc w:val="left"/>
        <w:rPr>
          <w:color w:val="auto"/>
          <w:sz w:val="24"/>
          <w:szCs w:val="24"/>
        </w:rPr>
      </w:pPr>
      <w:r>
        <w:rPr>
          <w:color w:val="auto"/>
          <w:sz w:val="24"/>
          <w:szCs w:val="24"/>
        </w:rPr>
        <w:t>3</w:t>
      </w:r>
      <w:r>
        <w:rPr>
          <w:rFonts w:hint="eastAsia"/>
          <w:color w:val="auto"/>
          <w:sz w:val="24"/>
          <w:szCs w:val="24"/>
        </w:rPr>
        <w:t>、本项目评标方法是综合评分法，供应商应将相关证明材料附入符合性响应文件中，否则将承担无法获得相应分值的后果。</w:t>
      </w:r>
    </w:p>
    <w:p>
      <w:pPr>
        <w:snapToGrid w:val="0"/>
        <w:spacing w:line="360" w:lineRule="auto"/>
        <w:ind w:firstLine="482" w:firstLineChars="200"/>
        <w:rPr>
          <w:rFonts w:ascii="宋体"/>
          <w:b/>
          <w:color w:val="auto"/>
          <w:sz w:val="24"/>
          <w:szCs w:val="24"/>
        </w:rPr>
      </w:pPr>
      <w:r>
        <w:rPr>
          <w:rFonts w:ascii="宋体" w:hAnsi="宋体"/>
          <w:b/>
          <w:color w:val="auto"/>
          <w:sz w:val="24"/>
          <w:szCs w:val="24"/>
        </w:rPr>
        <w:t>2.5</w:t>
      </w:r>
      <w:r>
        <w:rPr>
          <w:rFonts w:hint="eastAsia" w:ascii="宋体" w:hAnsi="宋体"/>
          <w:b/>
          <w:color w:val="auto"/>
          <w:sz w:val="24"/>
          <w:szCs w:val="24"/>
        </w:rPr>
        <w:t>安全</w:t>
      </w:r>
    </w:p>
    <w:p>
      <w:pPr>
        <w:widowControl w:val="0"/>
        <w:snapToGrid w:val="0"/>
        <w:spacing w:line="360" w:lineRule="auto"/>
        <w:ind w:firstLine="480" w:firstLineChars="200"/>
        <w:jc w:val="left"/>
        <w:rPr>
          <w:color w:val="auto"/>
          <w:sz w:val="24"/>
          <w:szCs w:val="24"/>
        </w:rPr>
      </w:pPr>
      <w:r>
        <w:rPr>
          <w:rFonts w:hint="eastAsia"/>
          <w:color w:val="auto"/>
          <w:sz w:val="24"/>
          <w:szCs w:val="24"/>
        </w:rPr>
        <w:t>投标服务应符合国家、行业的各项安全标准，投标人对投标服务的安全性承担全部责任。提供不符合保障人身、财产安全的国家标准、行业标准的服务，将依法承担民事及相应刑事责任。合同履行中的安全责任由中标人承担全部责任。</w:t>
      </w:r>
    </w:p>
    <w:p>
      <w:pPr>
        <w:snapToGrid w:val="0"/>
        <w:spacing w:line="360" w:lineRule="auto"/>
        <w:ind w:firstLine="482" w:firstLineChars="200"/>
        <w:rPr>
          <w:rFonts w:ascii="宋体"/>
          <w:b/>
          <w:color w:val="auto"/>
          <w:sz w:val="24"/>
          <w:szCs w:val="24"/>
        </w:rPr>
      </w:pPr>
      <w:r>
        <w:rPr>
          <w:rFonts w:ascii="宋体" w:hAnsi="宋体"/>
          <w:b/>
          <w:color w:val="auto"/>
          <w:sz w:val="24"/>
          <w:szCs w:val="24"/>
        </w:rPr>
        <w:t>2.6</w:t>
      </w:r>
      <w:r>
        <w:rPr>
          <w:rFonts w:hint="eastAsia" w:ascii="宋体" w:hAnsi="宋体"/>
          <w:b/>
          <w:color w:val="auto"/>
          <w:sz w:val="24"/>
          <w:szCs w:val="24"/>
        </w:rPr>
        <w:t>技术偏离</w:t>
      </w:r>
    </w:p>
    <w:p>
      <w:pPr>
        <w:widowControl w:val="0"/>
        <w:snapToGrid w:val="0"/>
        <w:spacing w:line="360" w:lineRule="auto"/>
        <w:ind w:firstLine="200"/>
        <w:rPr>
          <w:color w:val="auto"/>
          <w:sz w:val="24"/>
          <w:szCs w:val="24"/>
        </w:rPr>
      </w:pPr>
      <w:r>
        <w:rPr>
          <w:rFonts w:hint="eastAsia"/>
          <w:color w:val="auto"/>
          <w:sz w:val="24"/>
          <w:szCs w:val="24"/>
        </w:rPr>
        <w:t>投标文件对技术偏差的描述要求：见第三章投标人须知</w:t>
      </w:r>
      <w:r>
        <w:rPr>
          <w:color w:val="auto"/>
          <w:sz w:val="24"/>
          <w:szCs w:val="24"/>
        </w:rPr>
        <w:t>3.7.3</w:t>
      </w:r>
      <w:r>
        <w:rPr>
          <w:rFonts w:hint="eastAsia"/>
          <w:color w:val="auto"/>
          <w:sz w:val="24"/>
          <w:szCs w:val="24"/>
        </w:rPr>
        <w:t>项。</w:t>
      </w:r>
    </w:p>
    <w:p>
      <w:pPr>
        <w:snapToGrid w:val="0"/>
        <w:spacing w:line="360" w:lineRule="auto"/>
        <w:ind w:firstLine="482" w:firstLineChars="200"/>
        <w:rPr>
          <w:rFonts w:ascii="宋体"/>
          <w:b/>
          <w:color w:val="auto"/>
          <w:sz w:val="24"/>
          <w:szCs w:val="24"/>
        </w:rPr>
      </w:pPr>
      <w:r>
        <w:rPr>
          <w:rFonts w:ascii="宋体" w:hAnsi="宋体"/>
          <w:b/>
          <w:color w:val="auto"/>
          <w:sz w:val="24"/>
          <w:szCs w:val="24"/>
        </w:rPr>
        <w:t>2.7</w:t>
      </w:r>
      <w:r>
        <w:rPr>
          <w:rFonts w:hint="eastAsia" w:ascii="宋体" w:hAnsi="宋体"/>
          <w:b/>
          <w:color w:val="auto"/>
          <w:sz w:val="24"/>
          <w:szCs w:val="24"/>
        </w:rPr>
        <w:t>采购标的需满足的服务标准、期限、效率等要求</w:t>
      </w:r>
    </w:p>
    <w:p>
      <w:pPr>
        <w:widowControl w:val="0"/>
        <w:snapToGrid w:val="0"/>
        <w:spacing w:line="360" w:lineRule="auto"/>
        <w:ind w:firstLine="200"/>
      </w:pPr>
      <w:r>
        <w:rPr>
          <w:rFonts w:hint="eastAsia"/>
          <w:color w:val="auto"/>
          <w:sz w:val="24"/>
          <w:szCs w:val="24"/>
        </w:rPr>
        <w:t>满足采购人需求。</w:t>
      </w:r>
    </w:p>
    <w:p>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2.8</w:t>
      </w:r>
      <w:r>
        <w:rPr>
          <w:rFonts w:hint="eastAsia" w:ascii="黑体" w:hAnsi="黑体" w:eastAsia="黑体"/>
          <w:b/>
          <w:color w:val="auto"/>
          <w:sz w:val="24"/>
          <w:szCs w:val="24"/>
        </w:rPr>
        <w:t>采购标的的</w:t>
      </w:r>
      <w:r>
        <w:rPr>
          <w:rFonts w:hint="eastAsia" w:ascii="黑体" w:hAnsi="黑体" w:eastAsia="黑体"/>
          <w:b/>
          <w:color w:val="auto"/>
          <w:sz w:val="24"/>
          <w:szCs w:val="24"/>
          <w:lang w:eastAsia="zh-CN"/>
        </w:rPr>
        <w:t>考核</w:t>
      </w:r>
      <w:r>
        <w:rPr>
          <w:rFonts w:hint="eastAsia" w:ascii="黑体" w:hAnsi="黑体" w:eastAsia="黑体"/>
          <w:b/>
          <w:color w:val="auto"/>
          <w:sz w:val="24"/>
          <w:szCs w:val="24"/>
        </w:rPr>
        <w:t>标准</w:t>
      </w:r>
    </w:p>
    <w:p>
      <w:pPr>
        <w:adjustRightInd w:val="0"/>
        <w:snapToGrid w:val="0"/>
        <w:spacing w:line="300" w:lineRule="auto"/>
        <w:ind w:firstLine="564" w:firstLineChars="235"/>
        <w:jc w:val="left"/>
        <w:rPr>
          <w:rFonts w:ascii="黑体" w:hAnsi="黑体" w:eastAsia="黑体"/>
          <w:b/>
          <w:color w:val="auto"/>
          <w:sz w:val="24"/>
          <w:szCs w:val="24"/>
        </w:rPr>
      </w:pPr>
      <w:r>
        <w:rPr>
          <w:rFonts w:hint="eastAsia" w:ascii="宋体" w:hAnsi="宋体" w:cs="楷体_GB2312"/>
          <w:color w:val="auto"/>
          <w:sz w:val="24"/>
          <w:lang w:val="zh-CN"/>
        </w:rPr>
        <w:t>见“第三章投标人须知”第</w:t>
      </w:r>
      <w:r>
        <w:rPr>
          <w:rFonts w:hint="eastAsia" w:ascii="宋体" w:hAnsi="宋体" w:cs="楷体_GB2312"/>
          <w:color w:val="auto"/>
          <w:sz w:val="24"/>
          <w:lang w:val="en-US" w:eastAsia="zh-CN"/>
        </w:rPr>
        <w:t>9</w:t>
      </w:r>
      <w:r>
        <w:rPr>
          <w:rFonts w:hint="eastAsia" w:ascii="宋体" w:hAnsi="宋体" w:cs="楷体_GB2312"/>
          <w:color w:val="auto"/>
          <w:sz w:val="24"/>
          <w:lang w:val="zh-CN"/>
        </w:rPr>
        <w:t>条“考核”条款。</w:t>
      </w:r>
    </w:p>
    <w:p>
      <w:pPr>
        <w:adjustRightInd w:val="0"/>
        <w:snapToGrid w:val="0"/>
        <w:spacing w:beforeLines="50" w:line="300" w:lineRule="auto"/>
        <w:ind w:firstLine="566" w:firstLineChars="235"/>
        <w:rPr>
          <w:rFonts w:ascii="黑体" w:hAnsi="黑体" w:eastAsia="黑体"/>
          <w:b/>
          <w:color w:val="auto"/>
          <w:sz w:val="24"/>
          <w:szCs w:val="24"/>
        </w:rPr>
      </w:pPr>
      <w:r>
        <w:rPr>
          <w:rFonts w:ascii="黑体" w:hAnsi="黑体" w:eastAsia="黑体"/>
          <w:b/>
          <w:color w:val="auto"/>
          <w:sz w:val="24"/>
          <w:szCs w:val="24"/>
        </w:rPr>
        <w:t>2.9</w:t>
      </w:r>
      <w:r>
        <w:rPr>
          <w:rFonts w:hint="eastAsia" w:ascii="黑体" w:hAnsi="黑体" w:eastAsia="黑体"/>
          <w:b/>
          <w:color w:val="auto"/>
          <w:sz w:val="24"/>
          <w:szCs w:val="24"/>
        </w:rPr>
        <w:t>采购标的的其他技术、服务等要求</w:t>
      </w:r>
      <w:bookmarkStart w:id="4" w:name="_Toc529805752"/>
      <w:r>
        <w:rPr>
          <w:rFonts w:ascii="黑体" w:hAnsi="黑体" w:eastAsia="黑体"/>
          <w:b/>
          <w:color w:val="auto"/>
          <w:sz w:val="24"/>
          <w:szCs w:val="24"/>
        </w:rPr>
        <w:t xml:space="preserve">    </w:t>
      </w:r>
    </w:p>
    <w:p>
      <w:pPr>
        <w:adjustRightInd w:val="0"/>
        <w:snapToGrid w:val="0"/>
        <w:spacing w:beforeLines="50" w:line="300" w:lineRule="auto"/>
        <w:ind w:firstLine="566" w:firstLineChars="235"/>
        <w:rPr>
          <w:rFonts w:ascii="黑体" w:hAnsi="黑体" w:eastAsia="黑体"/>
          <w:b/>
          <w:color w:val="auto"/>
          <w:sz w:val="24"/>
          <w:szCs w:val="24"/>
        </w:rPr>
      </w:pPr>
      <w:r>
        <w:rPr>
          <w:rFonts w:hint="eastAsia" w:ascii="黑体" w:hAnsi="黑体" w:eastAsia="黑体"/>
          <w:b/>
          <w:color w:val="auto"/>
          <w:sz w:val="24"/>
          <w:szCs w:val="24"/>
        </w:rPr>
        <w:t>无</w:t>
      </w:r>
    </w:p>
    <w:p>
      <w:pPr>
        <w:adjustRightInd w:val="0"/>
        <w:snapToGrid w:val="0"/>
        <w:spacing w:beforeLines="50" w:line="300" w:lineRule="auto"/>
        <w:ind w:firstLine="562" w:firstLineChars="200"/>
        <w:outlineLvl w:val="1"/>
        <w:rPr>
          <w:rFonts w:ascii="黑体" w:hAnsi="黑体" w:eastAsia="黑体"/>
          <w:b/>
          <w:color w:val="auto"/>
          <w:sz w:val="28"/>
        </w:rPr>
      </w:pPr>
      <w:r>
        <w:rPr>
          <w:rFonts w:ascii="黑体" w:hAnsi="黑体" w:eastAsia="黑体"/>
          <w:b/>
          <w:color w:val="auto"/>
          <w:sz w:val="28"/>
        </w:rPr>
        <w:t xml:space="preserve">3. </w:t>
      </w:r>
      <w:r>
        <w:rPr>
          <w:rFonts w:hint="eastAsia" w:ascii="黑体" w:hAnsi="黑体" w:eastAsia="黑体"/>
          <w:b/>
          <w:color w:val="auto"/>
          <w:sz w:val="28"/>
        </w:rPr>
        <w:t>项目其他要求</w:t>
      </w:r>
      <w:bookmarkEnd w:id="4"/>
    </w:p>
    <w:p>
      <w:pPr>
        <w:adjustRightInd w:val="0"/>
        <w:snapToGrid w:val="0"/>
        <w:spacing w:beforeLines="50" w:line="300" w:lineRule="auto"/>
        <w:ind w:firstLine="482" w:firstLineChars="200"/>
        <w:rPr>
          <w:rFonts w:ascii="黑体" w:hAnsi="黑体" w:eastAsia="黑体"/>
          <w:b/>
          <w:color w:val="auto"/>
          <w:sz w:val="24"/>
          <w:szCs w:val="24"/>
        </w:rPr>
      </w:pPr>
      <w:r>
        <w:rPr>
          <w:rFonts w:hint="eastAsia" w:ascii="黑体" w:hAnsi="黑体" w:eastAsia="黑体"/>
          <w:b/>
          <w:color w:val="auto"/>
          <w:sz w:val="24"/>
          <w:szCs w:val="24"/>
        </w:rPr>
        <w:t>无</w:t>
      </w:r>
    </w:p>
    <w:p>
      <w:pPr>
        <w:spacing w:line="360" w:lineRule="auto"/>
        <w:ind w:right="238"/>
        <w:jc w:val="center"/>
        <w:outlineLvl w:val="0"/>
        <w:rPr>
          <w:rFonts w:ascii="黑体" w:hAnsi="黑体" w:eastAsia="黑体"/>
          <w:b/>
          <w:color w:val="auto"/>
          <w:sz w:val="24"/>
          <w:szCs w:val="24"/>
        </w:rPr>
      </w:pPr>
      <w:r>
        <w:rPr>
          <w:rFonts w:ascii="黑体" w:hAnsi="黑体" w:eastAsia="黑体"/>
          <w:b/>
          <w:color w:val="auto"/>
          <w:sz w:val="24"/>
          <w:szCs w:val="24"/>
        </w:rPr>
        <w:br w:type="page"/>
      </w:r>
    </w:p>
    <w:p>
      <w:pPr>
        <w:spacing w:line="360" w:lineRule="auto"/>
        <w:ind w:right="238"/>
        <w:jc w:val="center"/>
        <w:outlineLvl w:val="0"/>
        <w:rPr>
          <w:rFonts w:eastAsia="黑体"/>
          <w:b/>
          <w:color w:val="auto"/>
          <w:spacing w:val="36"/>
          <w:sz w:val="36"/>
          <w:szCs w:val="36"/>
        </w:rPr>
      </w:pPr>
      <w:bookmarkStart w:id="5" w:name="_Toc529805753"/>
      <w:r>
        <w:rPr>
          <w:rFonts w:hint="eastAsia" w:eastAsia="黑体"/>
          <w:b/>
          <w:color w:val="auto"/>
          <w:sz w:val="36"/>
          <w:szCs w:val="36"/>
        </w:rPr>
        <w:t>第三章投标人须知</w:t>
      </w:r>
      <w:bookmarkEnd w:id="5"/>
    </w:p>
    <w:p>
      <w:pPr>
        <w:spacing w:line="360" w:lineRule="auto"/>
        <w:ind w:right="238"/>
        <w:jc w:val="center"/>
        <w:outlineLvl w:val="1"/>
        <w:rPr>
          <w:rFonts w:eastAsia="黑体"/>
          <w:b/>
          <w:color w:val="auto"/>
          <w:sz w:val="28"/>
          <w:szCs w:val="28"/>
        </w:rPr>
      </w:pPr>
      <w:bookmarkStart w:id="6" w:name="_Toc529805754"/>
      <w:r>
        <w:rPr>
          <w:rFonts w:hint="eastAsia" w:eastAsia="黑体"/>
          <w:b/>
          <w:color w:val="auto"/>
          <w:sz w:val="28"/>
          <w:szCs w:val="28"/>
        </w:rPr>
        <w:t>投标人须知前附表</w:t>
      </w:r>
      <w:bookmarkEnd w:id="6"/>
    </w:p>
    <w:tbl>
      <w:tblPr>
        <w:tblStyle w:val="23"/>
        <w:tblW w:w="9753" w:type="dxa"/>
        <w:jc w:val="center"/>
        <w:tblLayout w:type="fixed"/>
        <w:tblCellMar>
          <w:top w:w="0" w:type="dxa"/>
          <w:left w:w="108" w:type="dxa"/>
          <w:bottom w:w="0" w:type="dxa"/>
          <w:right w:w="108" w:type="dxa"/>
        </w:tblCellMar>
      </w:tblPr>
      <w:tblGrid>
        <w:gridCol w:w="503"/>
        <w:gridCol w:w="699"/>
        <w:gridCol w:w="1894"/>
        <w:gridCol w:w="6657"/>
      </w:tblGrid>
      <w:tr>
        <w:tblPrEx>
          <w:tblCellMar>
            <w:top w:w="0" w:type="dxa"/>
            <w:left w:w="108" w:type="dxa"/>
            <w:bottom w:w="0" w:type="dxa"/>
            <w:right w:w="108" w:type="dxa"/>
          </w:tblCellMar>
        </w:tblPrEx>
        <w:trPr>
          <w:trHeight w:val="571" w:hRule="atLeast"/>
          <w:jc w:val="center"/>
        </w:trPr>
        <w:tc>
          <w:tcPr>
            <w:tcW w:w="503" w:type="dxa"/>
            <w:tcBorders>
              <w:top w:val="single" w:color="auto" w:sz="12" w:space="0"/>
              <w:left w:val="single" w:color="auto" w:sz="12" w:space="0"/>
              <w:bottom w:val="single" w:color="auto" w:sz="6" w:space="0"/>
              <w:right w:val="single" w:color="auto" w:sz="6" w:space="0"/>
            </w:tcBorders>
          </w:tcPr>
          <w:p>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章节</w:t>
            </w:r>
          </w:p>
        </w:tc>
        <w:tc>
          <w:tcPr>
            <w:tcW w:w="699"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条款号</w:t>
            </w:r>
          </w:p>
        </w:tc>
        <w:tc>
          <w:tcPr>
            <w:tcW w:w="1894"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665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tblPrEx>
          <w:tblCellMar>
            <w:top w:w="0" w:type="dxa"/>
            <w:left w:w="108" w:type="dxa"/>
            <w:bottom w:w="0" w:type="dxa"/>
            <w:right w:w="108" w:type="dxa"/>
          </w:tblCellMar>
        </w:tblPrEx>
        <w:trPr>
          <w:trHeight w:val="422" w:hRule="atLeast"/>
          <w:jc w:val="center"/>
        </w:trPr>
        <w:tc>
          <w:tcPr>
            <w:tcW w:w="503"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第一章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1.1</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color w:val="auto"/>
                <w:sz w:val="24"/>
                <w:lang w:val="zh-CN"/>
              </w:rPr>
            </w:pPr>
            <w:r>
              <w:rPr>
                <w:rFonts w:hint="eastAsia" w:ascii="宋体" w:hAnsi="宋体" w:cs="楷体_GB2312"/>
                <w:b/>
                <w:bCs/>
                <w:color w:val="auto"/>
                <w:sz w:val="24"/>
              </w:rPr>
              <w:t>招标项目名称</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见“第一章招标公告”相应条款</w:t>
            </w:r>
          </w:p>
        </w:tc>
      </w:tr>
      <w:tr>
        <w:tblPrEx>
          <w:tblCellMar>
            <w:top w:w="0" w:type="dxa"/>
            <w:left w:w="108" w:type="dxa"/>
            <w:bottom w:w="0" w:type="dxa"/>
            <w:right w:w="108" w:type="dxa"/>
          </w:tblCellMar>
        </w:tblPrEx>
        <w:trPr>
          <w:trHeight w:val="422" w:hRule="atLeast"/>
          <w:jc w:val="center"/>
        </w:trPr>
        <w:tc>
          <w:tcPr>
            <w:tcW w:w="503"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1.2</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招标编号</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见“第一章招标公告”相应条款</w:t>
            </w:r>
          </w:p>
        </w:tc>
      </w:tr>
      <w:tr>
        <w:tblPrEx>
          <w:tblCellMar>
            <w:top w:w="0" w:type="dxa"/>
            <w:left w:w="108" w:type="dxa"/>
            <w:bottom w:w="0" w:type="dxa"/>
            <w:right w:w="108" w:type="dxa"/>
          </w:tblCellMar>
        </w:tblPrEx>
        <w:trPr>
          <w:trHeight w:val="422" w:hRule="atLeast"/>
          <w:jc w:val="center"/>
        </w:trPr>
        <w:tc>
          <w:tcPr>
            <w:tcW w:w="503"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1.3</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公开招标</w:t>
            </w:r>
          </w:p>
        </w:tc>
      </w:tr>
      <w:tr>
        <w:tblPrEx>
          <w:tblCellMar>
            <w:top w:w="0" w:type="dxa"/>
            <w:left w:w="108" w:type="dxa"/>
            <w:bottom w:w="0" w:type="dxa"/>
            <w:right w:w="108" w:type="dxa"/>
          </w:tblCellMar>
        </w:tblPrEx>
        <w:trPr>
          <w:trHeight w:val="370"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1.4</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采购预算、最高限价</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见“第一章招标公告”相应条款。</w:t>
            </w:r>
            <w:r>
              <w:rPr>
                <w:rFonts w:hint="eastAsia" w:ascii="宋体" w:hAnsi="宋体" w:cs="楷体_GB2312"/>
                <w:b/>
                <w:color w:val="auto"/>
                <w:sz w:val="24"/>
                <w:lang w:val="zh-CN"/>
              </w:rPr>
              <w:t>注：投标人的投标报价未超过最高限价的不足三家时，该标段废标。</w:t>
            </w:r>
          </w:p>
        </w:tc>
      </w:tr>
      <w:tr>
        <w:tblPrEx>
          <w:tblCellMar>
            <w:top w:w="0" w:type="dxa"/>
            <w:left w:w="108" w:type="dxa"/>
            <w:bottom w:w="0" w:type="dxa"/>
            <w:right w:w="108" w:type="dxa"/>
          </w:tblCellMar>
        </w:tblPrEx>
        <w:trPr>
          <w:trHeight w:val="90"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投标人资格要求及相关证明材料要求</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见“第一章招标公告”相应条款</w:t>
            </w:r>
          </w:p>
        </w:tc>
      </w:tr>
      <w:tr>
        <w:tblPrEx>
          <w:tblCellMar>
            <w:top w:w="0" w:type="dxa"/>
            <w:left w:w="108" w:type="dxa"/>
            <w:bottom w:w="0" w:type="dxa"/>
            <w:right w:w="108" w:type="dxa"/>
          </w:tblCellMar>
        </w:tblPrEx>
        <w:trPr>
          <w:trHeight w:val="90"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9</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采购人</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见“第一章招标公告”相应条款</w:t>
            </w:r>
          </w:p>
        </w:tc>
      </w:tr>
      <w:tr>
        <w:tblPrEx>
          <w:tblCellMar>
            <w:top w:w="0" w:type="dxa"/>
            <w:left w:w="108" w:type="dxa"/>
            <w:bottom w:w="0" w:type="dxa"/>
            <w:right w:w="108" w:type="dxa"/>
          </w:tblCellMar>
        </w:tblPrEx>
        <w:trPr>
          <w:trHeight w:val="90" w:hRule="atLeast"/>
          <w:jc w:val="center"/>
        </w:trPr>
        <w:tc>
          <w:tcPr>
            <w:tcW w:w="503"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9</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采购代理机构</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见“第一章招标公告”相应条款</w:t>
            </w:r>
          </w:p>
        </w:tc>
      </w:tr>
      <w:tr>
        <w:tblPrEx>
          <w:tblCellMar>
            <w:top w:w="0" w:type="dxa"/>
            <w:left w:w="108" w:type="dxa"/>
            <w:bottom w:w="0" w:type="dxa"/>
            <w:right w:w="108" w:type="dxa"/>
          </w:tblCellMar>
        </w:tblPrEx>
        <w:trPr>
          <w:trHeight w:val="90" w:hRule="atLeast"/>
          <w:jc w:val="center"/>
        </w:trPr>
        <w:tc>
          <w:tcPr>
            <w:tcW w:w="503"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第二章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b/>
                <w:color w:val="auto"/>
                <w:sz w:val="24"/>
                <w:szCs w:val="24"/>
              </w:rPr>
              <w:t>标段划分</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见“第二章招标项目要求及采购需求”相应条款</w:t>
            </w:r>
          </w:p>
        </w:tc>
      </w:tr>
      <w:tr>
        <w:tblPrEx>
          <w:tblCellMar>
            <w:top w:w="0" w:type="dxa"/>
            <w:left w:w="108" w:type="dxa"/>
            <w:bottom w:w="0" w:type="dxa"/>
            <w:right w:w="108" w:type="dxa"/>
          </w:tblCellMar>
        </w:tblPrEx>
        <w:trPr>
          <w:trHeight w:val="90"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rPr>
              <w:t>交付（实施）期</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bCs/>
                <w:color w:val="auto"/>
                <w:sz w:val="24"/>
                <w:lang w:val="zh-CN"/>
              </w:rPr>
            </w:pPr>
            <w:r>
              <w:rPr>
                <w:rFonts w:hint="eastAsia" w:ascii="宋体" w:hAnsi="宋体"/>
                <w:color w:val="auto"/>
                <w:sz w:val="24"/>
              </w:rPr>
              <w:t>见“第二章招标项目要求及采购需求”</w:t>
            </w:r>
            <w:r>
              <w:rPr>
                <w:rFonts w:hint="eastAsia"/>
                <w:color w:val="auto"/>
                <w:sz w:val="24"/>
                <w:szCs w:val="24"/>
              </w:rPr>
              <w:t>相应条款</w:t>
            </w:r>
          </w:p>
        </w:tc>
      </w:tr>
      <w:tr>
        <w:tblPrEx>
          <w:tblCellMar>
            <w:top w:w="0" w:type="dxa"/>
            <w:left w:w="108" w:type="dxa"/>
            <w:bottom w:w="0" w:type="dxa"/>
            <w:right w:w="108" w:type="dxa"/>
          </w:tblCellMar>
        </w:tblPrEx>
        <w:trPr>
          <w:trHeight w:val="90"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rPr>
              <w:t>交付（实施）</w:t>
            </w:r>
            <w:r>
              <w:rPr>
                <w:rFonts w:hint="eastAsia" w:ascii="宋体" w:hAnsi="宋体" w:cs="楷体_GB2312"/>
                <w:b/>
                <w:bCs/>
                <w:color w:val="auto"/>
                <w:sz w:val="24"/>
                <w:lang w:val="zh-CN"/>
              </w:rPr>
              <w:t>地</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见“第二章招标项目要求及采购需求”</w:t>
            </w:r>
            <w:r>
              <w:rPr>
                <w:rFonts w:hint="eastAsia"/>
                <w:color w:val="auto"/>
                <w:sz w:val="24"/>
                <w:szCs w:val="24"/>
              </w:rPr>
              <w:t>相应条款</w:t>
            </w:r>
          </w:p>
        </w:tc>
      </w:tr>
      <w:tr>
        <w:tblPrEx>
          <w:tblCellMar>
            <w:top w:w="0" w:type="dxa"/>
            <w:left w:w="108" w:type="dxa"/>
            <w:bottom w:w="0" w:type="dxa"/>
            <w:right w:w="108" w:type="dxa"/>
          </w:tblCellMar>
        </w:tblPrEx>
        <w:trPr>
          <w:trHeight w:val="90"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1.3</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szCs w:val="24"/>
              </w:rPr>
            </w:pPr>
            <w:r>
              <w:rPr>
                <w:rFonts w:hint="eastAsia" w:ascii="宋体" w:hAnsi="宋体"/>
                <w:b/>
                <w:color w:val="auto"/>
                <w:sz w:val="24"/>
                <w:szCs w:val="24"/>
              </w:rPr>
              <w:t>投标报价</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见“第二章招标项目要求及采购需求”相应条款</w:t>
            </w:r>
          </w:p>
        </w:tc>
      </w:tr>
      <w:tr>
        <w:tblPrEx>
          <w:tblCellMar>
            <w:top w:w="0" w:type="dxa"/>
            <w:left w:w="108" w:type="dxa"/>
            <w:bottom w:w="0" w:type="dxa"/>
            <w:right w:w="108" w:type="dxa"/>
          </w:tblCellMar>
        </w:tblPrEx>
        <w:trPr>
          <w:trHeight w:val="321"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标段内容（范围）及要求</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见“第二章招标项目要求及采购需求”</w:t>
            </w:r>
            <w:r>
              <w:rPr>
                <w:rFonts w:hint="eastAsia"/>
                <w:color w:val="auto"/>
                <w:sz w:val="24"/>
                <w:szCs w:val="24"/>
              </w:rPr>
              <w:t>相应条款</w:t>
            </w:r>
          </w:p>
        </w:tc>
      </w:tr>
      <w:tr>
        <w:tblPrEx>
          <w:tblCellMar>
            <w:top w:w="0" w:type="dxa"/>
            <w:left w:w="108" w:type="dxa"/>
            <w:bottom w:w="0" w:type="dxa"/>
            <w:right w:w="108" w:type="dxa"/>
          </w:tblCellMar>
        </w:tblPrEx>
        <w:trPr>
          <w:trHeight w:val="321"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2.5</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技术偏离</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见“第二章招标项目要求及采购需求”</w:t>
            </w:r>
            <w:r>
              <w:rPr>
                <w:rFonts w:hint="eastAsia"/>
                <w:color w:val="auto"/>
                <w:sz w:val="24"/>
                <w:szCs w:val="24"/>
              </w:rPr>
              <w:t>相应条款</w:t>
            </w:r>
          </w:p>
        </w:tc>
      </w:tr>
      <w:tr>
        <w:tblPrEx>
          <w:tblCellMar>
            <w:top w:w="0" w:type="dxa"/>
            <w:left w:w="108" w:type="dxa"/>
            <w:bottom w:w="0" w:type="dxa"/>
            <w:right w:w="108" w:type="dxa"/>
          </w:tblCellMar>
        </w:tblPrEx>
        <w:trPr>
          <w:trHeight w:val="303" w:hRule="atLeast"/>
          <w:jc w:val="center"/>
        </w:trPr>
        <w:tc>
          <w:tcPr>
            <w:tcW w:w="503"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2.6</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售后服务</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见“第二章招标项目要求及采购需求”</w:t>
            </w:r>
            <w:r>
              <w:rPr>
                <w:rFonts w:hint="eastAsia"/>
                <w:color w:val="auto"/>
                <w:sz w:val="24"/>
                <w:szCs w:val="24"/>
              </w:rPr>
              <w:t>相应条款</w:t>
            </w:r>
          </w:p>
        </w:tc>
      </w:tr>
      <w:tr>
        <w:tblPrEx>
          <w:tblCellMar>
            <w:top w:w="0" w:type="dxa"/>
            <w:left w:w="108" w:type="dxa"/>
            <w:bottom w:w="0" w:type="dxa"/>
            <w:right w:w="108" w:type="dxa"/>
          </w:tblCellMar>
        </w:tblPrEx>
        <w:trPr>
          <w:trHeight w:val="366" w:hRule="atLeast"/>
          <w:jc w:val="center"/>
        </w:trPr>
        <w:tc>
          <w:tcPr>
            <w:tcW w:w="503"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1.4</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见“第一章招标公告”相应条款。</w:t>
            </w:r>
          </w:p>
        </w:tc>
      </w:tr>
      <w:tr>
        <w:tblPrEx>
          <w:tblCellMar>
            <w:top w:w="0" w:type="dxa"/>
            <w:left w:w="108" w:type="dxa"/>
            <w:bottom w:w="0" w:type="dxa"/>
            <w:right w:w="108" w:type="dxa"/>
          </w:tblCellMar>
        </w:tblPrEx>
        <w:trPr>
          <w:trHeight w:val="447"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1.10</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踏勘现场</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不组织</w:t>
            </w:r>
          </w:p>
        </w:tc>
      </w:tr>
      <w:tr>
        <w:tblPrEx>
          <w:tblCellMar>
            <w:top w:w="0" w:type="dxa"/>
            <w:left w:w="108" w:type="dxa"/>
            <w:bottom w:w="0" w:type="dxa"/>
            <w:right w:w="108" w:type="dxa"/>
          </w:tblCellMar>
        </w:tblPrEx>
        <w:trPr>
          <w:trHeight w:val="447"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1.11</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开标前答疑会</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不召开</w:t>
            </w:r>
          </w:p>
        </w:tc>
      </w:tr>
      <w:tr>
        <w:tblPrEx>
          <w:tblCellMar>
            <w:top w:w="0" w:type="dxa"/>
            <w:left w:w="108" w:type="dxa"/>
            <w:bottom w:w="0" w:type="dxa"/>
            <w:right w:w="108" w:type="dxa"/>
          </w:tblCellMar>
        </w:tblPrEx>
        <w:trPr>
          <w:trHeight w:val="447"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1.12</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分包</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不允许</w:t>
            </w:r>
          </w:p>
        </w:tc>
      </w:tr>
      <w:tr>
        <w:tblPrEx>
          <w:tblCellMar>
            <w:top w:w="0" w:type="dxa"/>
            <w:left w:w="108" w:type="dxa"/>
            <w:bottom w:w="0" w:type="dxa"/>
            <w:right w:w="108" w:type="dxa"/>
          </w:tblCellMar>
        </w:tblPrEx>
        <w:trPr>
          <w:trHeight w:val="447"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2.1</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构成招标文件的其他材料</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604"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2.2.1</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投标人提出问题的截止时间</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b/>
                <w:color w:val="auto"/>
                <w:sz w:val="24"/>
                <w:szCs w:val="24"/>
              </w:rPr>
            </w:pPr>
            <w:r>
              <w:rPr>
                <w:rFonts w:hint="eastAsia" w:ascii="宋体" w:hAnsi="宋体" w:cs="楷体_GB2312"/>
                <w:color w:val="auto"/>
                <w:sz w:val="24"/>
                <w:lang w:val="zh-CN"/>
              </w:rPr>
              <w:t>公告期结束或获取招标文件</w:t>
            </w:r>
            <w:r>
              <w:rPr>
                <w:rFonts w:ascii="宋体" w:hAnsi="宋体" w:cs="楷体_GB2312"/>
                <w:color w:val="auto"/>
                <w:sz w:val="24"/>
                <w:lang w:val="zh-CN"/>
              </w:rPr>
              <w:t>7</w:t>
            </w:r>
            <w:r>
              <w:rPr>
                <w:rFonts w:hint="eastAsia" w:ascii="宋体" w:hAnsi="宋体" w:cs="楷体_GB2312"/>
                <w:color w:val="auto"/>
                <w:sz w:val="24"/>
                <w:lang w:val="zh-CN"/>
              </w:rPr>
              <w:t>个工作日内。</w:t>
            </w:r>
          </w:p>
        </w:tc>
      </w:tr>
      <w:tr>
        <w:tblPrEx>
          <w:tblCellMar>
            <w:top w:w="0" w:type="dxa"/>
            <w:left w:w="108" w:type="dxa"/>
            <w:bottom w:w="0" w:type="dxa"/>
            <w:right w:w="108" w:type="dxa"/>
          </w:tblCellMar>
        </w:tblPrEx>
        <w:trPr>
          <w:trHeight w:val="604"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2.3</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left="-126" w:leftChars="-60" w:right="-36" w:rightChars="-17"/>
              <w:jc w:val="center"/>
              <w:rPr>
                <w:rFonts w:ascii="宋体" w:cs="楷体_GB2312"/>
                <w:b/>
                <w:bCs/>
                <w:color w:val="auto"/>
                <w:szCs w:val="21"/>
                <w:lang w:val="zh-CN"/>
              </w:rPr>
            </w:pPr>
            <w:r>
              <w:rPr>
                <w:rFonts w:hint="eastAsia" w:ascii="宋体" w:hAnsi="宋体" w:cs="楷体_GB2312"/>
                <w:b/>
                <w:bCs/>
                <w:color w:val="auto"/>
                <w:szCs w:val="21"/>
                <w:lang w:val="zh-CN"/>
              </w:rPr>
              <w:t>招标文件的澄清修改补充告知方式</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300"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2.4</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招标文件澄清修改补充时间</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rPr>
              <w:t>15</w:t>
            </w:r>
            <w:r>
              <w:rPr>
                <w:rFonts w:hint="eastAsia" w:ascii="宋体" w:hAnsi="宋体" w:cs="楷体_GB2312"/>
                <w:color w:val="auto"/>
                <w:sz w:val="24"/>
                <w:lang w:val="zh-CN"/>
              </w:rPr>
              <w:t>日前。</w:t>
            </w:r>
          </w:p>
        </w:tc>
      </w:tr>
      <w:tr>
        <w:tblPrEx>
          <w:tblCellMar>
            <w:top w:w="0" w:type="dxa"/>
            <w:left w:w="108" w:type="dxa"/>
            <w:bottom w:w="0" w:type="dxa"/>
            <w:right w:w="108" w:type="dxa"/>
          </w:tblCellMar>
        </w:tblPrEx>
        <w:trPr>
          <w:trHeight w:val="535" w:hRule="atLeast"/>
          <w:jc w:val="center"/>
        </w:trPr>
        <w:tc>
          <w:tcPr>
            <w:tcW w:w="503"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3.2</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构成投标文件的其他材料</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535" w:hRule="atLeast"/>
          <w:jc w:val="center"/>
        </w:trPr>
        <w:tc>
          <w:tcPr>
            <w:tcW w:w="503"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3.4.1</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投标有效期</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从开标之日起，投标有效期为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tblPrEx>
          <w:tblCellMar>
            <w:top w:w="0" w:type="dxa"/>
            <w:left w:w="108" w:type="dxa"/>
            <w:bottom w:w="0" w:type="dxa"/>
            <w:right w:w="108" w:type="dxa"/>
          </w:tblCellMar>
        </w:tblPrEx>
        <w:trPr>
          <w:trHeight w:val="694" w:hRule="atLeast"/>
          <w:jc w:val="center"/>
        </w:trPr>
        <w:tc>
          <w:tcPr>
            <w:tcW w:w="503" w:type="dxa"/>
            <w:vMerge w:val="continue"/>
            <w:tcBorders>
              <w:left w:val="single" w:color="auto" w:sz="12" w:space="0"/>
              <w:bottom w:val="single" w:color="auto" w:sz="4"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3.5.1</w:t>
            </w:r>
          </w:p>
        </w:tc>
        <w:tc>
          <w:tcPr>
            <w:tcW w:w="1894"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投标保证金的缴纳</w:t>
            </w:r>
          </w:p>
        </w:tc>
        <w:tc>
          <w:tcPr>
            <w:tcW w:w="6657" w:type="dxa"/>
            <w:tcBorders>
              <w:top w:val="single" w:color="auto" w:sz="6" w:space="0"/>
              <w:left w:val="single" w:color="auto" w:sz="6" w:space="0"/>
              <w:bottom w:val="single" w:color="auto" w:sz="4" w:space="0"/>
              <w:right w:val="single" w:color="auto" w:sz="12" w:space="0"/>
            </w:tcBorders>
            <w:vAlign w:val="center"/>
          </w:tcPr>
          <w:p>
            <w:pPr>
              <w:widowControl w:val="0"/>
              <w:snapToGrid w:val="0"/>
              <w:spacing w:line="360" w:lineRule="auto"/>
              <w:ind w:firstLine="540" w:firstLineChars="225"/>
              <w:jc w:val="left"/>
              <w:rPr>
                <w:b/>
                <w:color w:val="auto"/>
                <w:sz w:val="24"/>
                <w:szCs w:val="24"/>
                <w:u w:val="single"/>
              </w:rPr>
            </w:pPr>
            <w:r>
              <w:rPr>
                <w:rFonts w:hint="eastAsia"/>
                <w:bCs/>
                <w:color w:val="auto"/>
                <w:sz w:val="24"/>
                <w:szCs w:val="24"/>
                <w:u w:val="single"/>
              </w:rPr>
              <w:t>依据河南省财政厅《关于优化政府采购营商环境有关问题的通知》（豫财购〔</w:t>
            </w:r>
            <w:r>
              <w:rPr>
                <w:bCs/>
                <w:color w:val="auto"/>
                <w:sz w:val="24"/>
                <w:szCs w:val="24"/>
                <w:u w:val="single"/>
              </w:rPr>
              <w:t>2019</w:t>
            </w:r>
            <w:r>
              <w:rPr>
                <w:rFonts w:hint="eastAsia"/>
                <w:bCs/>
                <w:color w:val="auto"/>
                <w:sz w:val="24"/>
                <w:szCs w:val="24"/>
                <w:u w:val="single"/>
              </w:rPr>
              <w:t>〕</w:t>
            </w:r>
            <w:r>
              <w:rPr>
                <w:bCs/>
                <w:color w:val="auto"/>
                <w:sz w:val="24"/>
                <w:szCs w:val="24"/>
                <w:u w:val="single"/>
              </w:rPr>
              <w:t>4</w:t>
            </w:r>
            <w:r>
              <w:rPr>
                <w:rFonts w:hint="eastAsia"/>
                <w:bCs/>
                <w:color w:val="auto"/>
                <w:sz w:val="24"/>
                <w:szCs w:val="24"/>
                <w:u w:val="single"/>
              </w:rPr>
              <w:t>号）文件要求，本项目不收取保证金。</w:t>
            </w:r>
          </w:p>
        </w:tc>
      </w:tr>
      <w:tr>
        <w:tblPrEx>
          <w:tblCellMar>
            <w:top w:w="0" w:type="dxa"/>
            <w:left w:w="108" w:type="dxa"/>
            <w:bottom w:w="0" w:type="dxa"/>
            <w:right w:w="108" w:type="dxa"/>
          </w:tblCellMar>
        </w:tblPrEx>
        <w:trPr>
          <w:trHeight w:val="577"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3.7.3</w:t>
            </w:r>
          </w:p>
        </w:tc>
        <w:tc>
          <w:tcPr>
            <w:tcW w:w="1894"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偏差描述</w:t>
            </w:r>
          </w:p>
        </w:tc>
        <w:tc>
          <w:tcPr>
            <w:tcW w:w="6657" w:type="dxa"/>
            <w:tcBorders>
              <w:top w:val="single" w:color="auto" w:sz="4" w:space="0"/>
              <w:left w:val="single" w:color="auto" w:sz="6" w:space="0"/>
              <w:bottom w:val="single" w:color="auto" w:sz="6" w:space="0"/>
              <w:right w:val="single" w:color="auto" w:sz="12" w:space="0"/>
            </w:tcBorders>
            <w:vAlign w:val="center"/>
          </w:tcPr>
          <w:p>
            <w:pPr>
              <w:widowControl w:val="0"/>
              <w:snapToGrid w:val="0"/>
              <w:spacing w:beforeLines="50" w:line="240" w:lineRule="auto"/>
              <w:rPr>
                <w:b/>
                <w:color w:val="auto"/>
                <w:sz w:val="24"/>
                <w:szCs w:val="24"/>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65"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3.7.4</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343"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4.2.4</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是否退还投标文件</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否</w:t>
            </w:r>
          </w:p>
        </w:tc>
      </w:tr>
      <w:tr>
        <w:tblPrEx>
          <w:tblCellMar>
            <w:top w:w="0" w:type="dxa"/>
            <w:left w:w="108" w:type="dxa"/>
            <w:bottom w:w="0" w:type="dxa"/>
            <w:right w:w="108" w:type="dxa"/>
          </w:tblCellMar>
        </w:tblPrEx>
        <w:trPr>
          <w:trHeight w:val="507" w:hRule="atLeast"/>
          <w:jc w:val="center"/>
        </w:trPr>
        <w:tc>
          <w:tcPr>
            <w:tcW w:w="503"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7.1</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评标委员会的组建</w:t>
            </w:r>
          </w:p>
        </w:tc>
        <w:tc>
          <w:tcPr>
            <w:tcW w:w="66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543" w:hRule="atLeast"/>
          <w:jc w:val="center"/>
        </w:trPr>
        <w:tc>
          <w:tcPr>
            <w:tcW w:w="503"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第三章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8.1</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是否授权评标委员会确定中标人</w:t>
            </w:r>
          </w:p>
        </w:tc>
        <w:tc>
          <w:tcPr>
            <w:tcW w:w="6657"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40" w:lineRule="auto"/>
            </w:pPr>
            <w:r>
              <w:rPr>
                <w:rFonts w:hint="eastAsia" w:ascii="宋体" w:hAnsi="宋体"/>
                <w:color w:val="auto"/>
                <w:sz w:val="24"/>
                <w:szCs w:val="22"/>
              </w:rPr>
              <w:t>是。评标委员会按照最终报价由低到高的顺序提出</w:t>
            </w:r>
            <w:r>
              <w:rPr>
                <w:rFonts w:ascii="宋体" w:hAnsi="宋体"/>
                <w:color w:val="auto"/>
                <w:sz w:val="24"/>
                <w:szCs w:val="22"/>
              </w:rPr>
              <w:t>3</w:t>
            </w:r>
            <w:r>
              <w:rPr>
                <w:rFonts w:hint="eastAsia" w:ascii="宋体" w:hAnsi="宋体"/>
                <w:color w:val="auto"/>
                <w:sz w:val="24"/>
                <w:szCs w:val="22"/>
              </w:rPr>
              <w:t>名中标候选人，并确定排名第一的中标候选人为中标人。</w:t>
            </w:r>
          </w:p>
        </w:tc>
      </w:tr>
      <w:tr>
        <w:tblPrEx>
          <w:tblCellMar>
            <w:top w:w="0" w:type="dxa"/>
            <w:left w:w="108" w:type="dxa"/>
            <w:bottom w:w="0" w:type="dxa"/>
            <w:right w:w="108" w:type="dxa"/>
          </w:tblCellMar>
        </w:tblPrEx>
        <w:trPr>
          <w:trHeight w:val="453"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8.2</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中标结果公告</w:t>
            </w:r>
          </w:p>
        </w:tc>
        <w:tc>
          <w:tcPr>
            <w:tcW w:w="6657"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40" w:lineRule="auto"/>
              <w:rPr>
                <w:rFonts w:ascii="宋体"/>
                <w:color w:val="auto"/>
                <w:sz w:val="24"/>
              </w:rPr>
            </w:pPr>
            <w:r>
              <w:rPr>
                <w:rFonts w:hint="eastAsia" w:ascii="宋体" w:hAnsi="宋体"/>
                <w:color w:val="auto"/>
                <w:sz w:val="24"/>
              </w:rPr>
              <w:t>本次公开招标的中标结果将在中标人确定之日起２个工作日内，在招标公告所述媒介公告</w:t>
            </w:r>
            <w:r>
              <w:rPr>
                <w:rFonts w:ascii="宋体" w:hAnsi="宋体"/>
                <w:color w:val="auto"/>
                <w:sz w:val="24"/>
              </w:rPr>
              <w:t>1</w:t>
            </w:r>
            <w:r>
              <w:rPr>
                <w:rFonts w:hint="eastAsia" w:ascii="宋体" w:hAnsi="宋体"/>
                <w:color w:val="auto"/>
                <w:sz w:val="24"/>
              </w:rPr>
              <w:t>个工作日。</w:t>
            </w:r>
          </w:p>
        </w:tc>
      </w:tr>
      <w:tr>
        <w:tblPrEx>
          <w:tblCellMar>
            <w:top w:w="0" w:type="dxa"/>
            <w:left w:w="108" w:type="dxa"/>
            <w:bottom w:w="0" w:type="dxa"/>
            <w:right w:w="108" w:type="dxa"/>
          </w:tblCellMar>
        </w:tblPrEx>
        <w:trPr>
          <w:trHeight w:val="453"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8.3</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质疑、投诉</w:t>
            </w:r>
          </w:p>
        </w:tc>
        <w:tc>
          <w:tcPr>
            <w:tcW w:w="6657" w:type="dxa"/>
            <w:tcBorders>
              <w:top w:val="single" w:color="auto" w:sz="6" w:space="0"/>
              <w:left w:val="single" w:color="auto" w:sz="6" w:space="0"/>
              <w:bottom w:val="single" w:color="auto" w:sz="6" w:space="0"/>
              <w:right w:val="single" w:color="auto" w:sz="12" w:space="0"/>
            </w:tcBorders>
            <w:vAlign w:val="center"/>
          </w:tcPr>
          <w:p>
            <w:pPr>
              <w:rPr>
                <w:rFonts w:asci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书面质疑函，书面原件送达至招标文件列示的采购代理机构及采购单位联系人处；依据法规规定，质疑函应当有明确的请求和必要的证明材料，应当包括下列内容：</w:t>
            </w:r>
            <w:r>
              <w:rPr>
                <w:rFonts w:ascii="宋体" w:hAnsi="宋体"/>
                <w:color w:val="auto"/>
                <w:sz w:val="24"/>
              </w:rPr>
              <w:t>1</w:t>
            </w:r>
            <w:r>
              <w:rPr>
                <w:rFonts w:hint="eastAsia" w:ascii="宋体" w:hAnsi="宋体"/>
                <w:color w:val="auto"/>
                <w:sz w:val="24"/>
              </w:rPr>
              <w:t>、供应商的姓名或者名称、地址、邮编、联系人及联系电话；</w:t>
            </w:r>
            <w:r>
              <w:rPr>
                <w:rFonts w:ascii="宋体" w:hAnsi="宋体"/>
                <w:color w:val="auto"/>
                <w:sz w:val="24"/>
              </w:rPr>
              <w:t>2</w:t>
            </w:r>
            <w:r>
              <w:rPr>
                <w:rFonts w:hint="eastAsia" w:ascii="宋体" w:hAnsi="宋体"/>
                <w:color w:val="auto"/>
                <w:sz w:val="24"/>
              </w:rPr>
              <w:t>、质疑项目的名称、编号；</w:t>
            </w:r>
            <w:r>
              <w:rPr>
                <w:rFonts w:ascii="宋体" w:hAnsi="宋体"/>
                <w:color w:val="auto"/>
                <w:sz w:val="24"/>
              </w:rPr>
              <w:t>3</w:t>
            </w:r>
            <w:r>
              <w:rPr>
                <w:rFonts w:hint="eastAsia" w:ascii="宋体" w:hAnsi="宋体"/>
                <w:color w:val="auto"/>
                <w:sz w:val="24"/>
              </w:rPr>
              <w:t>、具体、明确的质疑事项和与质疑事项相关的请求；</w:t>
            </w:r>
            <w:r>
              <w:rPr>
                <w:rFonts w:ascii="宋体" w:hAnsi="宋体"/>
                <w:color w:val="auto"/>
                <w:sz w:val="24"/>
              </w:rPr>
              <w:t>4</w:t>
            </w:r>
            <w:r>
              <w:rPr>
                <w:rFonts w:hint="eastAsia" w:ascii="宋体" w:hAnsi="宋体"/>
                <w:color w:val="auto"/>
                <w:sz w:val="24"/>
              </w:rPr>
              <w:t>、事实依据；</w:t>
            </w:r>
            <w:r>
              <w:rPr>
                <w:rFonts w:ascii="宋体" w:hAnsi="宋体"/>
                <w:color w:val="auto"/>
                <w:sz w:val="24"/>
              </w:rPr>
              <w:t>5</w:t>
            </w:r>
            <w:r>
              <w:rPr>
                <w:rFonts w:hint="eastAsia" w:ascii="宋体" w:hAnsi="宋体"/>
                <w:color w:val="auto"/>
                <w:sz w:val="24"/>
              </w:rPr>
              <w:t>、必要的法律依据；</w:t>
            </w:r>
            <w:r>
              <w:rPr>
                <w:rFonts w:ascii="宋体" w:hAnsi="宋体"/>
                <w:color w:val="auto"/>
                <w:sz w:val="24"/>
              </w:rPr>
              <w:t>6</w:t>
            </w:r>
            <w:r>
              <w:rPr>
                <w:rFonts w:hint="eastAsia" w:ascii="宋体" w:hAnsi="宋体"/>
                <w:color w:val="auto"/>
                <w:sz w:val="24"/>
              </w:rPr>
              <w:t>、提出质</w:t>
            </w:r>
            <w:r>
              <w:rPr>
                <w:rFonts w:hint="eastAsia" w:ascii="宋体" w:hAnsi="宋体"/>
                <w:bCs/>
                <w:color w:val="auto"/>
                <w:sz w:val="24"/>
                <w:szCs w:val="24"/>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rPr>
              <w:t>如对采购代理机构的答复仍有异议的，可向同级财政局政府采购监督管理办公室提出书面投诉。（具体程序按照《政府采购质疑和投诉办法》执行）。</w:t>
            </w:r>
          </w:p>
        </w:tc>
      </w:tr>
      <w:tr>
        <w:tblPrEx>
          <w:tblCellMar>
            <w:top w:w="0" w:type="dxa"/>
            <w:left w:w="108" w:type="dxa"/>
            <w:bottom w:w="0" w:type="dxa"/>
            <w:right w:w="108" w:type="dxa"/>
          </w:tblCellMar>
        </w:tblPrEx>
        <w:trPr>
          <w:trHeight w:val="453"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8.4</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中标通知书</w:t>
            </w:r>
          </w:p>
        </w:tc>
        <w:tc>
          <w:tcPr>
            <w:tcW w:w="6657"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采购代理机构在中标人确定后</w:t>
            </w:r>
            <w:r>
              <w:rPr>
                <w:rFonts w:ascii="宋体" w:hAnsi="宋体" w:cs="楷体_GB2312"/>
                <w:color w:val="auto"/>
                <w:sz w:val="24"/>
                <w:lang w:val="zh-CN"/>
              </w:rPr>
              <w:t>2</w:t>
            </w:r>
            <w:r>
              <w:rPr>
                <w:rFonts w:hint="eastAsia" w:ascii="宋体" w:hAnsi="宋体" w:cs="楷体_GB2312"/>
                <w:color w:val="auto"/>
                <w:sz w:val="24"/>
                <w:lang w:val="zh-CN"/>
              </w:rPr>
              <w:t>个工作日内，向中标人发出中标通知书。</w:t>
            </w:r>
          </w:p>
        </w:tc>
      </w:tr>
      <w:tr>
        <w:tblPrEx>
          <w:tblCellMar>
            <w:top w:w="0" w:type="dxa"/>
            <w:left w:w="108" w:type="dxa"/>
            <w:bottom w:w="0" w:type="dxa"/>
            <w:right w:w="108" w:type="dxa"/>
          </w:tblCellMar>
        </w:tblPrEx>
        <w:trPr>
          <w:trHeight w:val="453" w:hRule="atLeast"/>
          <w:jc w:val="center"/>
        </w:trPr>
        <w:tc>
          <w:tcPr>
            <w:tcW w:w="503"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8.5</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履约保证金</w:t>
            </w:r>
          </w:p>
        </w:tc>
        <w:tc>
          <w:tcPr>
            <w:tcW w:w="6657" w:type="dxa"/>
            <w:tcBorders>
              <w:top w:val="single" w:color="auto" w:sz="6" w:space="0"/>
              <w:left w:val="single" w:color="auto" w:sz="6" w:space="0"/>
              <w:bottom w:val="single" w:color="auto" w:sz="6" w:space="0"/>
              <w:right w:val="single" w:color="auto" w:sz="12" w:space="0"/>
            </w:tcBorders>
            <w:vAlign w:val="center"/>
          </w:tcPr>
          <w:p>
            <w:pPr>
              <w:widowControl w:val="0"/>
              <w:snapToGrid w:val="0"/>
              <w:spacing w:beforeLines="50" w:line="240" w:lineRule="auto"/>
              <w:rPr>
                <w:b/>
                <w:bCs/>
                <w:color w:val="auto"/>
                <w:sz w:val="24"/>
                <w:szCs w:val="24"/>
              </w:rPr>
            </w:pPr>
            <w:r>
              <w:rPr>
                <w:rFonts w:hint="eastAsia"/>
                <w:b/>
                <w:bCs/>
                <w:color w:val="auto"/>
                <w:sz w:val="24"/>
                <w:szCs w:val="24"/>
              </w:rPr>
              <w:t>无</w:t>
            </w:r>
          </w:p>
        </w:tc>
      </w:tr>
      <w:tr>
        <w:tblPrEx>
          <w:tblCellMar>
            <w:top w:w="0" w:type="dxa"/>
            <w:left w:w="108" w:type="dxa"/>
            <w:bottom w:w="0" w:type="dxa"/>
            <w:right w:w="108" w:type="dxa"/>
          </w:tblCellMar>
        </w:tblPrEx>
        <w:trPr>
          <w:trHeight w:val="453"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8.6.1</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签订合同时需提交的其他材料</w:t>
            </w:r>
          </w:p>
        </w:tc>
        <w:tc>
          <w:tcPr>
            <w:tcW w:w="6657" w:type="dxa"/>
            <w:tcBorders>
              <w:top w:val="single" w:color="auto" w:sz="6" w:space="0"/>
              <w:left w:val="single" w:color="auto" w:sz="6" w:space="0"/>
              <w:bottom w:val="single" w:color="auto" w:sz="6" w:space="0"/>
              <w:right w:val="single" w:color="auto" w:sz="12" w:space="0"/>
            </w:tcBorders>
            <w:vAlign w:val="center"/>
          </w:tcPr>
          <w:p>
            <w:pPr>
              <w:widowControl w:val="0"/>
              <w:snapToGrid w:val="0"/>
              <w:spacing w:beforeLines="50" w:line="240" w:lineRule="auto"/>
              <w:rPr>
                <w:b/>
                <w:color w:val="auto"/>
                <w:sz w:val="24"/>
                <w:szCs w:val="24"/>
              </w:rPr>
            </w:pPr>
            <w:r>
              <w:rPr>
                <w:rFonts w:hint="eastAsia"/>
                <w:b/>
                <w:color w:val="auto"/>
                <w:sz w:val="24"/>
                <w:szCs w:val="24"/>
              </w:rPr>
              <w:t>无</w:t>
            </w:r>
          </w:p>
        </w:tc>
      </w:tr>
      <w:tr>
        <w:tblPrEx>
          <w:tblCellMar>
            <w:top w:w="0" w:type="dxa"/>
            <w:left w:w="108" w:type="dxa"/>
            <w:bottom w:w="0" w:type="dxa"/>
            <w:right w:w="108" w:type="dxa"/>
          </w:tblCellMar>
        </w:tblPrEx>
        <w:trPr>
          <w:trHeight w:val="453" w:hRule="atLeast"/>
          <w:jc w:val="center"/>
        </w:trPr>
        <w:tc>
          <w:tcPr>
            <w:tcW w:w="503"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9</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考核</w:t>
            </w:r>
          </w:p>
        </w:tc>
        <w:tc>
          <w:tcPr>
            <w:tcW w:w="6657" w:type="dxa"/>
            <w:tcBorders>
              <w:top w:val="single" w:color="auto" w:sz="6" w:space="0"/>
              <w:left w:val="single" w:color="auto" w:sz="6" w:space="0"/>
              <w:bottom w:val="single" w:color="auto" w:sz="6" w:space="0"/>
              <w:right w:val="single" w:color="auto" w:sz="12" w:space="0"/>
            </w:tcBorders>
            <w:vAlign w:val="center"/>
          </w:tcPr>
          <w:p>
            <w:pPr>
              <w:widowControl w:val="0"/>
              <w:snapToGrid w:val="0"/>
              <w:spacing w:beforeLines="50" w:line="240" w:lineRule="auto"/>
              <w:rPr>
                <w:color w:val="auto"/>
                <w:sz w:val="24"/>
                <w:szCs w:val="24"/>
              </w:rPr>
            </w:pPr>
            <w:r>
              <w:rPr>
                <w:rFonts w:hint="eastAsia"/>
                <w:color w:val="auto"/>
                <w:sz w:val="24"/>
                <w:szCs w:val="24"/>
              </w:rPr>
              <w:t>见“第三章投标人须知”相应条款</w:t>
            </w:r>
          </w:p>
        </w:tc>
      </w:tr>
      <w:tr>
        <w:tblPrEx>
          <w:tblCellMar>
            <w:top w:w="0" w:type="dxa"/>
            <w:left w:w="108" w:type="dxa"/>
            <w:bottom w:w="0" w:type="dxa"/>
            <w:right w:w="108" w:type="dxa"/>
          </w:tblCellMar>
        </w:tblPrEx>
        <w:trPr>
          <w:trHeight w:val="451" w:hRule="atLeast"/>
          <w:jc w:val="center"/>
        </w:trPr>
        <w:tc>
          <w:tcPr>
            <w:tcW w:w="503" w:type="dxa"/>
            <w:vMerge w:val="continue"/>
            <w:tcBorders>
              <w:left w:val="single" w:color="auto" w:sz="12"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10</w:t>
            </w:r>
          </w:p>
        </w:tc>
        <w:tc>
          <w:tcPr>
            <w:tcW w:w="18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657" w:type="dxa"/>
            <w:tcBorders>
              <w:top w:val="single" w:color="auto" w:sz="6" w:space="0"/>
              <w:left w:val="single" w:color="auto" w:sz="6" w:space="0"/>
              <w:bottom w:val="single" w:color="auto" w:sz="6" w:space="0"/>
              <w:right w:val="single" w:color="auto" w:sz="12" w:space="0"/>
            </w:tcBorders>
            <w:vAlign w:val="center"/>
          </w:tcPr>
          <w:p>
            <w:pPr>
              <w:snapToGrid w:val="0"/>
              <w:spacing w:beforeLines="50" w:line="240" w:lineRule="auto"/>
              <w:rPr>
                <w:color w:val="auto"/>
                <w:sz w:val="24"/>
                <w:szCs w:val="24"/>
                <w:highlight w:val="none"/>
              </w:rPr>
            </w:pPr>
            <w:r>
              <w:rPr>
                <w:rFonts w:hint="eastAsia"/>
                <w:color w:val="auto"/>
                <w:sz w:val="24"/>
                <w:szCs w:val="24"/>
                <w:highlight w:val="none"/>
              </w:rPr>
              <w:t>服务费用按季度支付，合同签订后，按先服务后支付的形式，</w:t>
            </w:r>
            <w:r>
              <w:rPr>
                <w:rFonts w:hint="eastAsia"/>
                <w:color w:val="auto"/>
                <w:sz w:val="24"/>
                <w:szCs w:val="24"/>
                <w:highlight w:val="none"/>
                <w:lang w:eastAsia="zh-CN"/>
              </w:rPr>
              <w:t>据实结算，（具体付款细节以双方合同约定为准）</w:t>
            </w:r>
            <w:r>
              <w:rPr>
                <w:rFonts w:hint="eastAsia"/>
                <w:color w:val="auto"/>
                <w:sz w:val="24"/>
                <w:szCs w:val="24"/>
                <w:highlight w:val="none"/>
              </w:rPr>
              <w:t>采购人根据每月考核结果，支付服务费。</w:t>
            </w:r>
          </w:p>
        </w:tc>
      </w:tr>
      <w:tr>
        <w:tblPrEx>
          <w:tblCellMar>
            <w:top w:w="0" w:type="dxa"/>
            <w:left w:w="108" w:type="dxa"/>
            <w:bottom w:w="0" w:type="dxa"/>
            <w:right w:w="108" w:type="dxa"/>
          </w:tblCellMar>
        </w:tblPrEx>
        <w:trPr>
          <w:trHeight w:val="453" w:hRule="atLeast"/>
          <w:jc w:val="center"/>
        </w:trPr>
        <w:tc>
          <w:tcPr>
            <w:tcW w:w="503" w:type="dxa"/>
            <w:tcBorders>
              <w:left w:val="single" w:color="auto" w:sz="12" w:space="0"/>
              <w:bottom w:val="single" w:color="auto" w:sz="4" w:space="0"/>
              <w:right w:val="single" w:color="auto" w:sz="6" w:space="0"/>
            </w:tcBorders>
          </w:tcPr>
          <w:p>
            <w:pPr>
              <w:autoSpaceDE w:val="0"/>
              <w:autoSpaceDN w:val="0"/>
              <w:adjustRightInd w:val="0"/>
              <w:spacing w:line="360" w:lineRule="auto"/>
              <w:rPr>
                <w:rFonts w:ascii="宋体" w:cs="楷体_GB2312"/>
                <w:b/>
                <w:bCs/>
                <w:color w:val="auto"/>
                <w:sz w:val="24"/>
                <w:highlight w:val="yellow"/>
              </w:rPr>
            </w:pPr>
          </w:p>
        </w:tc>
        <w:tc>
          <w:tcPr>
            <w:tcW w:w="699"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11</w:t>
            </w:r>
          </w:p>
        </w:tc>
        <w:tc>
          <w:tcPr>
            <w:tcW w:w="1894"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napToGrid w:val="0"/>
              <w:spacing w:line="240" w:lineRule="auto"/>
              <w:jc w:val="center"/>
              <w:rPr>
                <w:rFonts w:ascii="宋体"/>
                <w:b/>
                <w:color w:val="auto"/>
                <w:sz w:val="24"/>
                <w:u w:val="none" w:color="auto"/>
              </w:rPr>
            </w:pPr>
            <w:r>
              <w:rPr>
                <w:rFonts w:hint="eastAsia" w:ascii="宋体" w:hAnsi="宋体"/>
                <w:b/>
                <w:color w:val="auto"/>
                <w:sz w:val="24"/>
                <w:u w:val="none" w:color="auto"/>
              </w:rPr>
              <w:t>代理服务费</w:t>
            </w:r>
          </w:p>
        </w:tc>
        <w:tc>
          <w:tcPr>
            <w:tcW w:w="6657" w:type="dxa"/>
            <w:tcBorders>
              <w:top w:val="single" w:color="auto" w:sz="6" w:space="0"/>
              <w:left w:val="single" w:color="auto" w:sz="6" w:space="0"/>
              <w:bottom w:val="single" w:color="auto" w:sz="4" w:space="0"/>
              <w:right w:val="single" w:color="auto" w:sz="12" w:space="0"/>
            </w:tcBorders>
            <w:vAlign w:val="center"/>
          </w:tcPr>
          <w:p>
            <w:pPr>
              <w:adjustRightInd w:val="0"/>
              <w:snapToGrid w:val="0"/>
              <w:spacing w:beforeLines="50" w:line="240" w:lineRule="auto"/>
              <w:rPr>
                <w:rFonts w:hint="eastAsia" w:ascii="宋体" w:eastAsia="宋体"/>
                <w:b/>
                <w:color w:val="auto"/>
                <w:sz w:val="24"/>
                <w:u w:val="none" w:color="auto"/>
                <w:lang w:eastAsia="zh-CN"/>
              </w:rPr>
            </w:pPr>
            <w:r>
              <w:rPr>
                <w:rFonts w:hint="eastAsia" w:asciiTheme="minorEastAsia" w:hAnsiTheme="minorEastAsia" w:eastAsiaTheme="minorEastAsia" w:cstheme="minorEastAsia"/>
                <w:color w:val="auto"/>
                <w:sz w:val="24"/>
                <w:u w:val="none" w:color="auto"/>
              </w:rPr>
              <w:t>按</w:t>
            </w:r>
            <w:r>
              <w:rPr>
                <w:rFonts w:hint="eastAsia" w:asciiTheme="minorEastAsia" w:hAnsiTheme="minorEastAsia" w:eastAsiaTheme="minorEastAsia" w:cstheme="minorEastAsia"/>
                <w:bCs/>
                <w:color w:val="auto"/>
                <w:sz w:val="24"/>
                <w:u w:val="none" w:color="auto"/>
              </w:rPr>
              <w:t>计价格[2002]1980号文件、发改办价格规定[2003]857号文件、发改价格[2011]534号文件规定的收费标准</w:t>
            </w:r>
            <w:r>
              <w:rPr>
                <w:rFonts w:hint="eastAsia" w:asciiTheme="minorEastAsia" w:hAnsiTheme="minorEastAsia" w:eastAsiaTheme="minorEastAsia" w:cstheme="minorEastAsia"/>
                <w:bCs/>
                <w:color w:val="auto"/>
                <w:sz w:val="24"/>
                <w:u w:val="none" w:color="auto"/>
                <w:lang w:eastAsia="zh-CN"/>
              </w:rPr>
              <w:t>（不含税）</w:t>
            </w:r>
            <w:r>
              <w:rPr>
                <w:rFonts w:hint="eastAsia" w:asciiTheme="minorEastAsia" w:hAnsiTheme="minorEastAsia" w:eastAsiaTheme="minorEastAsia" w:cstheme="minorEastAsia"/>
                <w:bCs/>
                <w:color w:val="auto"/>
                <w:sz w:val="24"/>
                <w:u w:val="none" w:color="auto"/>
              </w:rPr>
              <w:t>，向中标人</w:t>
            </w:r>
            <w:r>
              <w:rPr>
                <w:rFonts w:hint="eastAsia" w:asciiTheme="minorEastAsia" w:hAnsiTheme="minorEastAsia" w:eastAsiaTheme="minorEastAsia" w:cstheme="minorEastAsia"/>
                <w:bCs/>
                <w:color w:val="auto"/>
                <w:sz w:val="24"/>
                <w:u w:val="none" w:color="auto"/>
                <w:lang w:eastAsia="zh-CN"/>
              </w:rPr>
              <w:t>收取</w:t>
            </w:r>
          </w:p>
        </w:tc>
      </w:tr>
    </w:tbl>
    <w:p>
      <w:pPr>
        <w:autoSpaceDE w:val="0"/>
        <w:autoSpaceDN w:val="0"/>
        <w:adjustRightInd w:val="0"/>
        <w:spacing w:line="360" w:lineRule="auto"/>
        <w:ind w:firstLine="539"/>
        <w:rPr>
          <w:color w:val="auto"/>
        </w:rPr>
      </w:pPr>
      <w:r>
        <w:rPr>
          <w:color w:val="auto"/>
        </w:rPr>
        <w:br w:type="page"/>
      </w:r>
    </w:p>
    <w:p>
      <w:pPr>
        <w:autoSpaceDE w:val="0"/>
        <w:autoSpaceDN w:val="0"/>
        <w:adjustRightInd w:val="0"/>
        <w:snapToGrid w:val="0"/>
        <w:spacing w:beforeLines="50" w:line="300" w:lineRule="auto"/>
        <w:outlineLvl w:val="1"/>
        <w:rPr>
          <w:rFonts w:ascii="黑体" w:hAnsi="黑体" w:eastAsia="黑体"/>
          <w:color w:val="auto"/>
          <w:sz w:val="28"/>
          <w:szCs w:val="28"/>
          <w:lang w:val="zh-CN"/>
        </w:rPr>
      </w:pPr>
      <w:bookmarkStart w:id="7" w:name="_Toc529805755"/>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7"/>
    </w:p>
    <w:p>
      <w:pPr>
        <w:autoSpaceDE w:val="0"/>
        <w:autoSpaceDN w:val="0"/>
        <w:adjustRightInd w:val="0"/>
        <w:snapToGrid w:val="0"/>
        <w:spacing w:beforeLines="50" w:line="300" w:lineRule="auto"/>
        <w:ind w:firstLine="539"/>
        <w:rPr>
          <w:rFonts w:ascii="宋体"/>
          <w:color w:val="auto"/>
          <w:sz w:val="24"/>
          <w:szCs w:val="24"/>
        </w:rPr>
      </w:pPr>
      <w:r>
        <w:rPr>
          <w:rFonts w:ascii="黑体" w:hAnsi="黑体" w:eastAsia="黑体" w:cs="楷体_GB2312"/>
          <w:b/>
          <w:color w:val="auto"/>
          <w:sz w:val="24"/>
          <w:lang w:val="zh-CN"/>
        </w:rPr>
        <w:t>1.1</w:t>
      </w:r>
      <w:r>
        <w:rPr>
          <w:rFonts w:hint="eastAsia" w:ascii="宋体" w:hAnsi="宋体"/>
          <w:color w:val="auto"/>
          <w:sz w:val="24"/>
          <w:szCs w:val="24"/>
        </w:rPr>
        <w:t>根据《中华人民共和国政府采购法》、《中华人民共和国政府采购法实施条例》、《政府采购货物和服务招标投标管理办法》及相关政府采购法律法规等制定本文件。</w:t>
      </w:r>
    </w:p>
    <w:p>
      <w:pPr>
        <w:adjustRightInd w:val="0"/>
        <w:snapToGrid w:val="0"/>
        <w:spacing w:beforeLines="50" w:line="300" w:lineRule="auto"/>
        <w:ind w:right="240" w:firstLine="482" w:firstLineChars="200"/>
        <w:rPr>
          <w:rFonts w:ascii="黑体" w:hAnsi="黑体" w:eastAsia="黑体" w:cs="楷体_GB2312"/>
          <w:b/>
          <w:color w:val="auto"/>
          <w:sz w:val="24"/>
          <w:lang w:val="zh-CN"/>
        </w:rPr>
      </w:pPr>
      <w:r>
        <w:rPr>
          <w:rFonts w:ascii="黑体" w:hAnsi="黑体" w:eastAsia="黑体" w:cs="楷体_GB2312"/>
          <w:b/>
          <w:color w:val="auto"/>
          <w:sz w:val="24"/>
          <w:lang w:val="zh-CN"/>
        </w:rPr>
        <w:t>1.2</w:t>
      </w:r>
      <w:r>
        <w:rPr>
          <w:rFonts w:hint="eastAsia" w:ascii="黑体" w:hAnsi="黑体" w:eastAsia="黑体" w:cs="楷体_GB2312"/>
          <w:b/>
          <w:color w:val="auto"/>
          <w:sz w:val="24"/>
          <w:lang w:val="zh-CN"/>
        </w:rPr>
        <w:t>招标文件的法律适用及法律效力</w:t>
      </w:r>
    </w:p>
    <w:p>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w:t>
      </w:r>
      <w:r>
        <w:rPr>
          <w:rFonts w:hint="eastAsia" w:ascii="宋体" w:hAnsi="宋体" w:cs="宋体"/>
          <w:color w:val="auto"/>
          <w:sz w:val="24"/>
          <w:szCs w:val="24"/>
        </w:rPr>
        <w:t>招标文件</w:t>
      </w:r>
      <w:r>
        <w:rPr>
          <w:rFonts w:hint="eastAsia" w:ascii="宋体" w:hAnsi="宋体"/>
          <w:color w:val="auto"/>
          <w:sz w:val="24"/>
          <w:szCs w:val="24"/>
        </w:rPr>
        <w:t>所述内容，仅适用于本次项目采购。</w:t>
      </w:r>
    </w:p>
    <w:p>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 xml:space="preserve">1.2.2 </w:t>
      </w:r>
      <w:r>
        <w:rPr>
          <w:rFonts w:hint="eastAsia" w:ascii="宋体" w:hAnsi="宋体" w:cs="宋体"/>
          <w:color w:val="auto"/>
          <w:sz w:val="24"/>
          <w:szCs w:val="24"/>
        </w:rPr>
        <w:t>招标文件</w:t>
      </w:r>
      <w:r>
        <w:rPr>
          <w:rFonts w:hint="eastAsia" w:ascii="宋体" w:hAnsi="宋体"/>
          <w:color w:val="auto"/>
          <w:sz w:val="24"/>
          <w:szCs w:val="24"/>
        </w:rPr>
        <w:t>的修改性文件、补充文件、澄清文件或说明具有同等法律效力。</w:t>
      </w:r>
    </w:p>
    <w:p>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w:t>
      </w:r>
      <w:r>
        <w:rPr>
          <w:rFonts w:hint="eastAsia" w:ascii="宋体" w:hAnsi="宋体" w:cs="宋体"/>
          <w:color w:val="auto"/>
          <w:sz w:val="24"/>
          <w:szCs w:val="24"/>
        </w:rPr>
        <w:t>招标文件</w:t>
      </w:r>
      <w:r>
        <w:rPr>
          <w:rFonts w:hint="eastAsia" w:ascii="宋体" w:hAnsi="宋体"/>
          <w:color w:val="auto"/>
          <w:sz w:val="24"/>
          <w:szCs w:val="24"/>
        </w:rPr>
        <w:t>适用于并执行《政府采购法》和其它相关的法律、法规。</w:t>
      </w:r>
    </w:p>
    <w:p>
      <w:pPr>
        <w:adjustRightInd w:val="0"/>
        <w:snapToGrid w:val="0"/>
        <w:spacing w:beforeLines="50" w:line="300" w:lineRule="auto"/>
        <w:ind w:right="240" w:firstLine="600" w:firstLineChars="250"/>
        <w:rPr>
          <w:rFonts w:asci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w:t>
      </w:r>
      <w:r>
        <w:rPr>
          <w:rFonts w:hint="eastAsia" w:ascii="宋体" w:hAnsi="宋体" w:cs="宋体"/>
          <w:color w:val="auto"/>
          <w:sz w:val="24"/>
          <w:szCs w:val="24"/>
        </w:rPr>
        <w:t>招标文件</w:t>
      </w:r>
      <w:r>
        <w:rPr>
          <w:rFonts w:hint="eastAsia" w:ascii="宋体" w:hAnsi="宋体"/>
          <w:color w:val="auto"/>
          <w:sz w:val="24"/>
          <w:szCs w:val="24"/>
        </w:rPr>
        <w:t>的解释权属采购人及代理机构。</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1.3</w:t>
      </w:r>
      <w:r>
        <w:rPr>
          <w:rFonts w:hint="eastAsia" w:ascii="黑体" w:hAnsi="黑体" w:eastAsia="黑体" w:cs="楷体_GB2312"/>
          <w:b/>
          <w:color w:val="auto"/>
          <w:sz w:val="24"/>
          <w:lang w:val="zh-CN"/>
        </w:rPr>
        <w:t>合格的投标人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凡符合招标文件规定，承认本招标文件所有内容的投标人为合格的投标人。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为招标项目提供整体设计、规范编制或者项目管理、监理、检测等服务的供应商，不得再参加该招标项目的其他采购活动。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投标人应遵守国家法律、法规和招标文件的规定。不得违背国家利益、社会公众利益。</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投标人须知前附表规定接受联合体投标的，应遵守以下规定：</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）两个以上供应商可以组成一个投标联合体，以一个投标人的身份投标，但必须确定其中一个单位为投标的全权代表参加投标活动，并承担投标及履约中应承担的全部责任和义务。</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2</w:t>
      </w:r>
      <w:r>
        <w:rPr>
          <w:rFonts w:hint="eastAsia" w:ascii="宋体" w:cs="楷体_GB2312"/>
          <w:color w:val="auto"/>
          <w:sz w:val="24"/>
          <w:lang w:val="zh-CN"/>
        </w:rPr>
        <w:t>）</w:t>
      </w:r>
      <w:r>
        <w:rPr>
          <w:rFonts w:hint="eastAsia" w:ascii="宋体" w:hAnsi="宋体" w:cs="楷体_GB2312"/>
          <w:color w:val="auto"/>
          <w:sz w:val="24"/>
          <w:lang w:val="zh-CN"/>
        </w:rPr>
        <w:t>以联合体形式参加投标的</w:t>
      </w:r>
      <w:r>
        <w:rPr>
          <w:rFonts w:hint="eastAsia" w:ascii="宋体" w:cs="楷体_GB2312"/>
          <w:color w:val="auto"/>
          <w:sz w:val="24"/>
          <w:lang w:val="zh-CN"/>
        </w:rPr>
        <w:t>，将对所有的联合体成员进行信用记录查询，联合体成员存在不良信用记录的，视同联合体存在不良信用记录，为无效投标。</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以联合体形式参加投标的，应符投标人须知前附表的要求，联合体各方均应当符合政府采购法第二十二条第一款规定的条件，联合体各方均应当具备承担招标项目（标段）的相应能力、具备规定的相应资格条件。全权代表一方的条件应符合投标资格要求。</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）联合体中有同类资质的供应商按照联合体分工承担相同工作的，应当按照资质等级较低的供应商确定资质等级。</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）联合体各方之间应当签订联合投标协议，明确约定联合体各方承担的工作和相应的责任，并将联合投标协议连同投标文件一并提交采购代理机构。</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）联合体各方签订联合投标协议后，不得再以自己名义单独在同一项目中投标，也不得组成新的联合体参加同一项目投标。</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）联合体中标的，联合体各方应当共同与采购人签订合同，就中标项目（标段）向采购人承担连带责任。</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1.5  </w:t>
      </w:r>
      <w:r>
        <w:rPr>
          <w:rFonts w:hint="eastAsia" w:ascii="黑体" w:hAnsi="黑体" w:eastAsia="黑体" w:cs="楷体_GB2312"/>
          <w:b/>
          <w:color w:val="auto"/>
          <w:sz w:val="24"/>
          <w:lang w:val="zh-CN"/>
        </w:rPr>
        <w:t>知识产权</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1.5.1 </w:t>
      </w:r>
      <w:r>
        <w:rPr>
          <w:rFonts w:hint="eastAsia" w:ascii="宋体" w:hAnsi="宋体" w:cs="楷体_GB2312"/>
          <w:color w:val="auto"/>
          <w:sz w:val="24"/>
          <w:lang w:val="zh-CN"/>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响应的知识产权，则在投标报价中必须包括合法获取该知识产权的一切相关费用。如因此导致采购人损失的，供应商须承担全部赔偿责任。</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1.5.2 </w:t>
      </w:r>
      <w:r>
        <w:rPr>
          <w:rFonts w:hint="eastAsia" w:ascii="宋体" w:hAnsi="宋体" w:cs="楷体_GB2312"/>
          <w:color w:val="auto"/>
          <w:sz w:val="24"/>
          <w:lang w:val="zh-CN"/>
        </w:rPr>
        <w:t>供应商如欲在项目实施过程中采用自有知识成果，须在投标文件中声明，并提供相关知识产权证明文件。使用该知识成果后，供应商须提供开发接口和开发手册等技术文档。</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1.6</w:t>
      </w:r>
      <w:r>
        <w:rPr>
          <w:rFonts w:hint="eastAsia" w:ascii="黑体" w:hAnsi="黑体" w:eastAsia="黑体" w:cs="楷体_GB2312"/>
          <w:b/>
          <w:color w:val="auto"/>
          <w:sz w:val="24"/>
          <w:lang w:val="zh-CN"/>
        </w:rPr>
        <w:t>投标费用</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无论投标过程中的做法和结果如何，无论何种原因的招标失败废标，投标人应自行承担所有与准备和参加投标有关的全部费用（类比商业采购中的客户洽谈费用），采购代理机构在任何情况下均无义务和责任承担投标人的任何费用。</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1.7 </w:t>
      </w:r>
      <w:r>
        <w:rPr>
          <w:rFonts w:hint="eastAsia" w:ascii="黑体" w:hAnsi="黑体" w:eastAsia="黑体" w:cs="楷体_GB2312"/>
          <w:b/>
          <w:color w:val="auto"/>
          <w:sz w:val="24"/>
          <w:lang w:val="zh-CN"/>
        </w:rPr>
        <w:t>保密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1.7.1 </w:t>
      </w:r>
      <w:r>
        <w:rPr>
          <w:rFonts w:hint="eastAsia" w:ascii="宋体" w:hAnsi="宋体" w:cs="楷体_GB2312"/>
          <w:color w:val="auto"/>
          <w:sz w:val="24"/>
          <w:lang w:val="zh-CN"/>
        </w:rPr>
        <w:t>参与公开招标活动的各方应对招标文件和投标文件中的商业和技术等秘密保密，投标人应在投标文件中对需保密事项予以书面声明，否则视为非保密事项。</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1.7.2 </w:t>
      </w:r>
      <w:r>
        <w:rPr>
          <w:rFonts w:hint="eastAsia" w:ascii="宋体" w:hAnsi="宋体" w:cs="楷体_GB2312"/>
          <w:color w:val="auto"/>
          <w:sz w:val="24"/>
          <w:lang w:val="zh-CN"/>
        </w:rPr>
        <w:t>依据政府采购中标结果及合同公告规定，中标（合同）标的名称、规格型号、单价及中标（合同）金额等内容不得作为商业秘密。</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1.8 </w:t>
      </w:r>
      <w:r>
        <w:rPr>
          <w:rFonts w:hint="eastAsia" w:ascii="黑体" w:hAnsi="黑体" w:eastAsia="黑体" w:cs="楷体_GB2312"/>
          <w:b/>
          <w:color w:val="auto"/>
          <w:sz w:val="24"/>
          <w:lang w:val="zh-CN"/>
        </w:rPr>
        <w:t>语言文字</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除专用术语外，与公开招标有关的语言均使用中文。必要时专用术语应附有中文注释。如果投标文件或与投标有关的其它文件、信件及来往函电以其它语言书写，投标人应将其译成中文，并对中文译稿的真实、准确、完整承担责任。</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1.9</w:t>
      </w:r>
      <w:r>
        <w:rPr>
          <w:rFonts w:hint="eastAsia" w:ascii="黑体" w:hAnsi="黑体" w:eastAsia="黑体" w:cs="楷体_GB2312"/>
          <w:b/>
          <w:color w:val="auto"/>
          <w:sz w:val="24"/>
          <w:lang w:val="zh-CN"/>
        </w:rPr>
        <w:t>计量单位</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所有计量均采用中华人民共和国法定计量单位。</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1.10</w:t>
      </w:r>
      <w:r>
        <w:rPr>
          <w:rFonts w:hint="eastAsia" w:ascii="黑体" w:hAnsi="黑体" w:eastAsia="黑体" w:cs="楷体_GB2312"/>
          <w:b/>
          <w:color w:val="auto"/>
          <w:sz w:val="24"/>
          <w:lang w:val="zh-CN"/>
        </w:rPr>
        <w:t>踏勘现场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1.10.1 </w:t>
      </w:r>
      <w:r>
        <w:rPr>
          <w:rFonts w:hint="eastAsia" w:ascii="宋体" w:hAnsi="宋体" w:cs="楷体_GB2312"/>
          <w:color w:val="auto"/>
          <w:sz w:val="24"/>
          <w:lang w:val="zh-CN"/>
        </w:rPr>
        <w:t>投标人踏勘现场发生的费用自理，投标人自行负责在踏勘现场中所发生的人员伤亡和财产损失。</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1.10.2 </w:t>
      </w:r>
      <w:r>
        <w:rPr>
          <w:rFonts w:hint="eastAsia" w:ascii="宋体" w:hAnsi="宋体" w:cs="楷体_GB2312"/>
          <w:color w:val="auto"/>
          <w:sz w:val="24"/>
          <w:lang w:val="zh-CN"/>
        </w:rPr>
        <w:t>投标人须知前附表规定组织踏勘现场的，采购人及代理机构按投标人须知前附表规定的时间、地点组织投标人踏勘项目现场。或者在招标文件提供期限截止后以书面形式通知所有获取招标文件的潜在投标人。采购人及代理机构在踏勘现场中介绍的交验安装条件和相关的周边环境情况，供投标人在编制投标文件时参考，采购人及代理机构不对投标人据此作出的判断和决策负责。</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1.10.3 </w:t>
      </w:r>
      <w:r>
        <w:rPr>
          <w:rFonts w:hint="eastAsia" w:ascii="宋体" w:hAnsi="宋体" w:cs="楷体_GB2312"/>
          <w:color w:val="auto"/>
          <w:sz w:val="24"/>
          <w:lang w:val="zh-CN"/>
        </w:rPr>
        <w:t>不组织踏勘现场的，招标文件不单独提供交验地自然环境、气候条件、交验安装条件等情况说明，投标人被视为熟悉前述与履行合同有关的一切情况，投标人可自行踏勘现场并自行了解相关情况。</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1.11</w:t>
      </w:r>
      <w:r>
        <w:rPr>
          <w:rFonts w:hint="eastAsia" w:ascii="黑体" w:hAnsi="黑体" w:eastAsia="黑体" w:cs="楷体_GB2312"/>
          <w:b/>
          <w:color w:val="auto"/>
          <w:sz w:val="24"/>
          <w:lang w:val="zh-CN"/>
        </w:rPr>
        <w:t>开标前答疑会</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1.11.1 </w:t>
      </w:r>
      <w:r>
        <w:rPr>
          <w:rFonts w:hint="eastAsia" w:ascii="宋体" w:hAnsi="宋体" w:cs="楷体_GB2312"/>
          <w:color w:val="auto"/>
          <w:sz w:val="24"/>
          <w:lang w:val="zh-CN"/>
        </w:rPr>
        <w:t>采购人或者采购代理机构可以在招标文件提供期限截止后，组织已获取招标文件的潜在投标人召开开标前答疑会。</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召开答疑会的，将在招标文件中载明，或者在招标文件提供期限截止后以书面形式通知所有获取招标文件的潜在投标人。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1.11.2 </w:t>
      </w:r>
      <w:r>
        <w:rPr>
          <w:rFonts w:hint="eastAsia" w:ascii="宋体" w:hAnsi="宋体" w:cs="楷体_GB2312"/>
          <w:color w:val="auto"/>
          <w:sz w:val="24"/>
          <w:lang w:val="zh-CN"/>
        </w:rPr>
        <w:t>投标人应在投标人须知前附表或书面通知规定的时间前，以书面形式将提出的问题送达采购人及代理机构，以便采购人及代理机构在会议期间答疑说明。投标人需要采购人或者采购代理机构书面澄清的问题，应当书面明确标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1.11.3 </w:t>
      </w:r>
      <w:r>
        <w:rPr>
          <w:rFonts w:hint="eastAsia" w:ascii="宋体" w:hAnsi="宋体" w:cs="楷体_GB2312"/>
          <w:color w:val="auto"/>
          <w:sz w:val="24"/>
          <w:lang w:val="zh-CN"/>
        </w:rPr>
        <w:t>答疑会后，采购人及代理机构在投标人须知前附表规定的时间内，将对投标人依法提出的重要问题的澄清，以本章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项方式通告潜在投标人。该澄清内容为招标文件的组成部分。</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1.12</w:t>
      </w:r>
      <w:r>
        <w:rPr>
          <w:rFonts w:hint="eastAsia" w:ascii="黑体" w:hAnsi="黑体" w:eastAsia="黑体" w:cs="楷体_GB2312"/>
          <w:b/>
          <w:color w:val="auto"/>
          <w:sz w:val="24"/>
          <w:lang w:val="zh-CN"/>
        </w:rPr>
        <w:t>分包</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投标人拟中标后将中标项目（标段）的部分非主体、非关键性工作进行分包的，应符合投标人须知前附表规定的分包内容、分包金额和接受分包的第三人资质要求等限制性条件。投标人</w:t>
      </w:r>
      <w:r>
        <w:rPr>
          <w:rFonts w:hint="eastAsia" w:ascii="宋体" w:hAnsi="宋体" w:cs="宋体"/>
          <w:color w:val="auto"/>
          <w:sz w:val="24"/>
        </w:rPr>
        <w:t>应当在投标文件中载明分包承担主体，分包承担主体应当具备相应资质条件且不得再次分包。</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1.13 </w:t>
      </w:r>
      <w:r>
        <w:rPr>
          <w:rFonts w:hint="eastAsia" w:ascii="黑体" w:hAnsi="黑体" w:eastAsia="黑体" w:cs="楷体_GB2312"/>
          <w:b/>
          <w:color w:val="auto"/>
          <w:sz w:val="24"/>
          <w:lang w:val="zh-CN"/>
        </w:rPr>
        <w:t>偏离</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招标文件允许投标文件偏离招标文件某些要求的，偏离应当符合招标文件规定的偏离范围和幅度。</w:t>
      </w:r>
    </w:p>
    <w:p>
      <w:pPr>
        <w:autoSpaceDE w:val="0"/>
        <w:autoSpaceDN w:val="0"/>
        <w:adjustRightInd w:val="0"/>
        <w:snapToGrid w:val="0"/>
        <w:spacing w:beforeLines="50" w:line="300" w:lineRule="auto"/>
        <w:ind w:firstLine="539"/>
        <w:rPr>
          <w:rFonts w:ascii="黑体" w:hAnsi="黑体" w:eastAsia="黑体" w:cs="楷体_GB2312"/>
          <w:b/>
          <w:bCs/>
          <w:color w:val="auto"/>
          <w:sz w:val="28"/>
          <w:szCs w:val="28"/>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8" w:name="_Toc529805756"/>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招标文件</w:t>
      </w:r>
      <w:bookmarkEnd w:id="8"/>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2.1 </w:t>
      </w:r>
      <w:r>
        <w:rPr>
          <w:rFonts w:hint="eastAsia" w:ascii="黑体" w:hAnsi="黑体" w:eastAsia="黑体" w:cs="楷体_GB2312"/>
          <w:b/>
          <w:color w:val="auto"/>
          <w:sz w:val="24"/>
          <w:lang w:val="zh-CN"/>
        </w:rPr>
        <w:t>招标文件的组成</w:t>
      </w:r>
      <w:r>
        <w:rPr>
          <w:rFonts w:hint="eastAsia" w:ascii="宋体" w:hAnsi="宋体" w:cs="楷体_GB2312"/>
          <w:color w:val="auto"/>
          <w:sz w:val="24"/>
          <w:lang w:val="zh-CN"/>
        </w:rPr>
        <w:t>：</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招标文件用以阐明招标项目的内容、程序和合同主要条款。招标文件由下述部分组成：</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）招标公告</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）招标项目要求及采购需求</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）投标人须知</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）评标办法</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）合同主要条款</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）投标文件格式</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1.11</w:t>
      </w:r>
      <w:r>
        <w:rPr>
          <w:rFonts w:hint="eastAsia" w:ascii="宋体" w:hAnsi="宋体" w:cs="楷体_GB2312"/>
          <w:color w:val="auto"/>
          <w:sz w:val="24"/>
          <w:lang w:val="zh-CN"/>
        </w:rPr>
        <w:t>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款、对招标文件的澄清、修改、补充书构成招标文件的组成部分，并取代招标文件中被澄清、修改处，对所有投标人均有约束力。</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当招标文件、招标文件的澄清、修改、补充等在同一内容的表述上不一致时，以最后发出（发布）的文件为准。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投标人与任何人的口头协议不影响《招标文件》的任何条款和内容。</w:t>
      </w:r>
    </w:p>
    <w:p>
      <w:pPr>
        <w:autoSpaceDE w:val="0"/>
        <w:autoSpaceDN w:val="0"/>
        <w:adjustRightInd w:val="0"/>
        <w:snapToGrid w:val="0"/>
        <w:spacing w:beforeLines="50" w:line="300" w:lineRule="auto"/>
        <w:ind w:firstLine="539"/>
        <w:rPr>
          <w:rFonts w:ascii="宋体" w:cs="楷体_GB2312"/>
          <w:color w:val="auto"/>
          <w:sz w:val="24"/>
        </w:rPr>
      </w:pPr>
      <w:r>
        <w:rPr>
          <w:rFonts w:ascii="宋体" w:hAnsi="宋体" w:cs="楷体_GB2312"/>
          <w:color w:val="auto"/>
          <w:sz w:val="24"/>
        </w:rPr>
        <w:t>2.1.5</w:t>
      </w:r>
      <w:r>
        <w:rPr>
          <w:rFonts w:hint="eastAsia" w:ascii="宋体" w:hAnsi="宋体" w:cs="楷体_GB2312"/>
          <w:color w:val="auto"/>
          <w:sz w:val="24"/>
        </w:rPr>
        <w:t>投标人应仔细阅读和检查招标文件的全部内容是否齐全，如发现缺页或附件不全等遗漏，应及时向采购代理机构提出并索取补齐，否则责任及风险自负。</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招标文件的澄清</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招标文件的所有潜在投标人对招标文件如有需澄清的疑问，应在投标人须知前附表规定的时间内，按投标人须知前附表规定通知到采购代理机构。在规定的时间内未提出疑问的，将视为对招标文件的完全认可。</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采购代理机构对潜在投标人在规定的时间内提出的疑问，将按投标人须知前附表规予以答复。</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招标文件中如有不符合国家有关强制性规定、不符合国家标准及行业标准的，投标人应在投标阶段或中标实施阶段予以纠正或尽提醒义务。如作为有经验的投标人（中标人）应当知道而未尽提醒义务的，执行指令而造成的损失及风险由投标人（中标人）承担。</w:t>
      </w:r>
    </w:p>
    <w:p>
      <w:pPr>
        <w:adjustRightInd w:val="0"/>
        <w:snapToGrid w:val="0"/>
        <w:spacing w:beforeLines="50" w:line="300" w:lineRule="auto"/>
        <w:ind w:firstLine="480" w:firstLineChars="200"/>
        <w:jc w:val="left"/>
        <w:rPr>
          <w:rFonts w:asci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lang w:val="zh-CN"/>
        </w:rPr>
        <w:t>采购代理机构可视情况在投标截止前答疑。</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招标文件的澄清、修改、补充</w:t>
      </w:r>
    </w:p>
    <w:p>
      <w:pPr>
        <w:autoSpaceDE w:val="0"/>
        <w:autoSpaceDN w:val="0"/>
        <w:adjustRightInd w:val="0"/>
        <w:snapToGrid w:val="0"/>
        <w:spacing w:beforeLines="50" w:line="300" w:lineRule="auto"/>
        <w:ind w:firstLine="537" w:firstLineChars="224"/>
        <w:rPr>
          <w:rFonts w:ascii="宋体" w:cs="楷体_GB2312"/>
          <w:color w:val="auto"/>
          <w:sz w:val="24"/>
          <w:lang w:val="zh-CN"/>
        </w:rPr>
      </w:pPr>
      <w:r>
        <w:rPr>
          <w:rFonts w:hint="eastAsia" w:ascii="宋体" w:hAnsi="宋体" w:cs="楷体_GB2312"/>
          <w:color w:val="auto"/>
          <w:sz w:val="24"/>
          <w:lang w:val="zh-CN"/>
        </w:rPr>
        <w:t>采购人、代理机构在投标截止时间前有权澄清修改、补充已发售的招标文件。</w:t>
      </w:r>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招标文件的澄清、修改、补充的通知，及相应时间变更</w:t>
      </w:r>
    </w:p>
    <w:p>
      <w:pPr>
        <w:autoSpaceDE w:val="0"/>
        <w:autoSpaceDN w:val="0"/>
        <w:adjustRightInd w:val="0"/>
        <w:snapToGrid w:val="0"/>
        <w:spacing w:beforeLines="50" w:line="300" w:lineRule="auto"/>
        <w:ind w:firstLine="539"/>
        <w:rPr>
          <w:rFonts w:ascii="宋体" w:cs="楷体_GB2312"/>
          <w:b/>
          <w:color w:val="auto"/>
          <w:sz w:val="24"/>
          <w:lang w:val="zh-CN"/>
        </w:rPr>
      </w:pPr>
      <w:r>
        <w:rPr>
          <w:rFonts w:ascii="宋体" w:hAnsi="宋体" w:cs="楷体_GB2312"/>
          <w:color w:val="auto"/>
          <w:sz w:val="24"/>
          <w:lang w:val="zh-CN"/>
        </w:rPr>
        <w:t xml:space="preserve">2.4.1 </w:t>
      </w:r>
      <w:r>
        <w:rPr>
          <w:rFonts w:hint="eastAsia" w:ascii="宋体" w:hAnsi="宋体" w:cs="楷体_GB2312"/>
          <w:color w:val="auto"/>
          <w:sz w:val="24"/>
          <w:lang w:val="zh-CN"/>
        </w:rPr>
        <w:t>招标文件在投标截止时间前的所有澄清、修改（包括时间变更等）、补充事项，均在“招标公告”所述媒体予以公告。</w:t>
      </w:r>
      <w:r>
        <w:rPr>
          <w:rFonts w:hint="eastAsia" w:ascii="宋体" w:hAnsi="宋体" w:cs="楷体_GB2312"/>
          <w:b/>
          <w:color w:val="auto"/>
          <w:sz w:val="24"/>
          <w:lang w:val="zh-CN"/>
        </w:rPr>
        <w:t>澄清或修改公告一经在法定网站以公告形式发布，依法视为书面通知，不再另行通知。</w:t>
      </w:r>
    </w:p>
    <w:p>
      <w:pPr>
        <w:autoSpaceDE w:val="0"/>
        <w:autoSpaceDN w:val="0"/>
        <w:adjustRightInd w:val="0"/>
        <w:snapToGrid w:val="0"/>
        <w:spacing w:beforeLines="50" w:line="300" w:lineRule="auto"/>
        <w:ind w:firstLine="539"/>
        <w:rPr>
          <w:rFonts w:ascii="宋体" w:cs="楷体_GB2312"/>
          <w:b/>
          <w:color w:val="auto"/>
          <w:sz w:val="24"/>
          <w:lang w:val="zh-CN"/>
        </w:rPr>
      </w:pPr>
      <w:r>
        <w:rPr>
          <w:rFonts w:hint="eastAsia" w:ascii="宋体" w:hAnsi="宋体" w:cs="楷体_GB2312"/>
          <w:b/>
          <w:color w:val="auto"/>
          <w:sz w:val="24"/>
          <w:lang w:val="zh-CN"/>
        </w:rPr>
        <w:t>基于网上电子交易的特点</w:t>
      </w:r>
      <w:r>
        <w:rPr>
          <w:rFonts w:ascii="宋体" w:hAnsi="宋体" w:cs="楷体_GB2312"/>
          <w:b/>
          <w:color w:val="auto"/>
          <w:sz w:val="24"/>
          <w:lang w:val="zh-CN"/>
        </w:rPr>
        <w:t>—</w:t>
      </w:r>
      <w:r>
        <w:rPr>
          <w:rFonts w:ascii="宋体" w:cs="楷体_GB2312"/>
          <w:b/>
          <w:color w:val="auto"/>
          <w:sz w:val="24"/>
          <w:lang w:val="zh-CN"/>
        </w:rPr>
        <w:t>-</w:t>
      </w:r>
      <w:r>
        <w:rPr>
          <w:rFonts w:hint="eastAsia" w:ascii="宋体" w:hAnsi="宋体" w:cs="楷体_GB2312"/>
          <w:b/>
          <w:color w:val="auto"/>
          <w:sz w:val="24"/>
          <w:lang w:val="zh-CN"/>
        </w:rPr>
        <w:t>无权限获知或通知潜在投标人，潜在投标人应随时关注“招标公告”所述媒体相关项目信息（为免各部门网站出现维护等情况，潜在投标人应对“招标公告”所述媒体逐一查阅），如有遗漏，后果自负。</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cs="楷体_GB2312"/>
          <w:color w:val="auto"/>
          <w:sz w:val="24"/>
          <w:lang w:val="zh-CN"/>
        </w:rPr>
        <w:t>2.4.2</w:t>
      </w:r>
      <w:r>
        <w:rPr>
          <w:rFonts w:hint="eastAsia" w:ascii="宋体" w:cs="楷体_GB2312"/>
          <w:color w:val="auto"/>
          <w:sz w:val="24"/>
          <w:lang w:val="zh-CN"/>
        </w:rPr>
        <w:t>招标文件的澄清、修改、补充书构成招标文件的组成部分，并取代招标文件中被澄清、修改处，对所有投标人均有约束力。</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投标截止时间前的澄清修改补充发出的时间不满足投标人须知前附表规定时间，并且澄清修改补充内容影响投标文件编制的，代理机构可视采购具体情况延长投标截止时间和开标时间，并将在“招标公告”所述媒体予以公告。</w:t>
      </w: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9" w:name="_Toc529805757"/>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投标文件</w:t>
      </w:r>
      <w:bookmarkEnd w:id="9"/>
    </w:p>
    <w:p>
      <w:pPr>
        <w:autoSpaceDE w:val="0"/>
        <w:autoSpaceDN w:val="0"/>
        <w:adjustRightInd w:val="0"/>
        <w:snapToGrid w:val="0"/>
        <w:spacing w:beforeLines="50" w:line="300" w:lineRule="auto"/>
        <w:ind w:firstLine="539"/>
        <w:rPr>
          <w:rFonts w:ascii="宋体" w:cs="楷体_GB2312"/>
          <w:b/>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　投标人应仔细阅读招标文件的所有内容，按招标文件的要求提供投标文件，并保证所提供全部资料的真实性。投标文件应对招标文件实质性要求作出实质性响应。评标委员会对投标文件的有效性、完整性和响应程度进行审查，不满足实质性要求的为</w:t>
      </w:r>
      <w:r>
        <w:rPr>
          <w:rFonts w:hint="eastAsia" w:ascii="宋体" w:hAnsi="宋体" w:cs="楷体_GB2312"/>
          <w:b/>
          <w:color w:val="auto"/>
          <w:sz w:val="24"/>
          <w:lang w:val="zh-CN"/>
        </w:rPr>
        <w:t>无效投标。</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投标文件的组成</w:t>
      </w:r>
    </w:p>
    <w:p>
      <w:pPr>
        <w:adjustRightInd w:val="0"/>
        <w:snapToGrid w:val="0"/>
        <w:spacing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投标文件组成如有缺项，评标委员会按照实质性判断原则（实质性要求和实质性响应两因素）、有权视情况将其作无效投标处理，投标人自负此项风险；投标文件组成内容未对招标文件实质性要求作出实质性响应，评标委员会按照实质性判断原则、视情况将其作无效投标处理，投标人自负此项风险</w:t>
      </w:r>
    </w:p>
    <w:p>
      <w:pPr>
        <w:adjustRightInd w:val="0"/>
        <w:snapToGrid w:val="0"/>
        <w:spacing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3.2.2</w:t>
      </w:r>
      <w:r>
        <w:rPr>
          <w:rFonts w:hint="eastAsia" w:ascii="宋体" w:hAnsi="宋体" w:cs="楷体_GB2312"/>
          <w:color w:val="auto"/>
          <w:sz w:val="24"/>
          <w:lang w:val="zh-CN"/>
        </w:rPr>
        <w:t>投标文件应包括下列内容：</w:t>
      </w:r>
    </w:p>
    <w:p>
      <w:pPr>
        <w:adjustRightInd w:val="0"/>
        <w:snapToGrid w:val="0"/>
        <w:spacing w:beforeLines="50" w:line="300" w:lineRule="auto"/>
        <w:ind w:firstLine="539"/>
        <w:textAlignment w:val="top"/>
        <w:rPr>
          <w:rFonts w:ascii="黑体" w:hAnsi="黑体" w:eastAsia="黑体"/>
          <w:b/>
          <w:color w:val="auto"/>
        </w:rPr>
      </w:pPr>
      <w:r>
        <w:rPr>
          <w:rFonts w:hint="eastAsia" w:ascii="黑体" w:hAnsi="黑体" w:eastAsia="黑体" w:cs="楷体_GB2312"/>
          <w:b/>
          <w:color w:val="auto"/>
          <w:sz w:val="24"/>
          <w:lang w:val="zh-CN"/>
        </w:rPr>
        <w:t>符合性响应文件</w:t>
      </w:r>
    </w:p>
    <w:p>
      <w:pPr>
        <w:adjustRightInd w:val="0"/>
        <w:snapToGrid w:val="0"/>
        <w:spacing w:line="360" w:lineRule="auto"/>
        <w:ind w:firstLine="480" w:firstLineChars="200"/>
        <w:textAlignment w:val="top"/>
        <w:rPr>
          <w:color w:val="auto"/>
          <w:sz w:val="24"/>
        </w:rPr>
      </w:pPr>
      <w:r>
        <w:rPr>
          <w:rFonts w:hint="eastAsia"/>
          <w:color w:val="auto"/>
          <w:sz w:val="24"/>
        </w:rPr>
        <w:t>（</w:t>
      </w:r>
      <w:r>
        <w:rPr>
          <w:color w:val="auto"/>
          <w:sz w:val="24"/>
        </w:rPr>
        <w:t>1</w:t>
      </w:r>
      <w:r>
        <w:rPr>
          <w:rFonts w:hint="eastAsia"/>
          <w:color w:val="auto"/>
          <w:sz w:val="24"/>
        </w:rPr>
        <w:t>）投标书。</w:t>
      </w:r>
    </w:p>
    <w:p>
      <w:pPr>
        <w:adjustRightInd w:val="0"/>
        <w:snapToGrid w:val="0"/>
        <w:spacing w:line="360" w:lineRule="auto"/>
        <w:ind w:firstLine="480" w:firstLineChars="200"/>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color w:val="auto"/>
          <w:sz w:val="24"/>
        </w:rPr>
        <w:t>开标一览表</w:t>
      </w:r>
    </w:p>
    <w:p>
      <w:pPr>
        <w:adjustRightInd w:val="0"/>
        <w:snapToGrid w:val="0"/>
        <w:spacing w:line="360" w:lineRule="auto"/>
        <w:ind w:firstLine="480" w:firstLineChars="200"/>
        <w:textAlignment w:val="top"/>
        <w:rPr>
          <w:color w:val="auto"/>
          <w:sz w:val="24"/>
        </w:rPr>
      </w:pPr>
      <w:r>
        <w:rPr>
          <w:rFonts w:hint="eastAsia"/>
          <w:color w:val="auto"/>
          <w:sz w:val="24"/>
        </w:rPr>
        <w:t>（</w:t>
      </w:r>
      <w:r>
        <w:rPr>
          <w:color w:val="auto"/>
          <w:sz w:val="24"/>
        </w:rPr>
        <w:t>3</w:t>
      </w:r>
      <w:r>
        <w:rPr>
          <w:rFonts w:hint="eastAsia"/>
          <w:color w:val="auto"/>
          <w:sz w:val="24"/>
        </w:rPr>
        <w:t>）分项报价（即投标人的投标报价明细表）</w:t>
      </w:r>
    </w:p>
    <w:p>
      <w:pPr>
        <w:adjustRightInd w:val="0"/>
        <w:snapToGrid w:val="0"/>
        <w:spacing w:line="360" w:lineRule="auto"/>
        <w:ind w:firstLine="480" w:firstLineChars="200"/>
        <w:textAlignment w:val="top"/>
        <w:rPr>
          <w:color w:val="auto"/>
          <w:sz w:val="24"/>
        </w:rPr>
      </w:pPr>
      <w:r>
        <w:rPr>
          <w:rFonts w:hint="eastAsia"/>
          <w:color w:val="auto"/>
          <w:sz w:val="24"/>
        </w:rPr>
        <w:t>（</w:t>
      </w:r>
      <w:r>
        <w:rPr>
          <w:color w:val="auto"/>
          <w:sz w:val="24"/>
        </w:rPr>
        <w:t>4</w:t>
      </w:r>
      <w:r>
        <w:rPr>
          <w:rFonts w:hint="eastAsia"/>
          <w:color w:val="auto"/>
          <w:sz w:val="24"/>
        </w:rPr>
        <w:t>）服务方案及服务质量承诺</w:t>
      </w:r>
    </w:p>
    <w:p>
      <w:pPr>
        <w:adjustRightInd w:val="0"/>
        <w:snapToGrid w:val="0"/>
        <w:spacing w:line="360" w:lineRule="auto"/>
        <w:ind w:firstLine="480" w:firstLineChars="200"/>
        <w:textAlignment w:val="top"/>
        <w:rPr>
          <w:color w:val="auto"/>
          <w:sz w:val="24"/>
        </w:rPr>
      </w:pPr>
      <w:r>
        <w:rPr>
          <w:rFonts w:hint="eastAsia"/>
          <w:color w:val="auto"/>
          <w:sz w:val="24"/>
        </w:rPr>
        <w:t>（</w:t>
      </w:r>
      <w:r>
        <w:rPr>
          <w:rFonts w:hint="eastAsia"/>
          <w:color w:val="auto"/>
          <w:sz w:val="24"/>
          <w:lang w:val="en-US" w:eastAsia="zh-CN"/>
        </w:rPr>
        <w:t>5</w:t>
      </w:r>
      <w:r>
        <w:rPr>
          <w:rFonts w:hint="eastAsia"/>
          <w:color w:val="auto"/>
          <w:sz w:val="24"/>
        </w:rPr>
        <w:t>）服务拟投入的人员</w:t>
      </w:r>
    </w:p>
    <w:p>
      <w:pPr>
        <w:adjustRightInd w:val="0"/>
        <w:snapToGrid w:val="0"/>
        <w:spacing w:line="360" w:lineRule="auto"/>
        <w:ind w:firstLine="480" w:firstLineChars="200"/>
        <w:textAlignment w:val="top"/>
        <w:rPr>
          <w:color w:val="auto"/>
          <w:sz w:val="24"/>
        </w:rPr>
      </w:pPr>
      <w:r>
        <w:rPr>
          <w:rFonts w:hint="eastAsia"/>
          <w:color w:val="auto"/>
          <w:sz w:val="24"/>
        </w:rPr>
        <w:t>（</w:t>
      </w:r>
      <w:r>
        <w:rPr>
          <w:rFonts w:hint="eastAsia"/>
          <w:color w:val="auto"/>
          <w:sz w:val="24"/>
          <w:lang w:val="en-US" w:eastAsia="zh-CN"/>
        </w:rPr>
        <w:t>6</w:t>
      </w:r>
      <w:r>
        <w:rPr>
          <w:rFonts w:hint="eastAsia"/>
          <w:color w:val="auto"/>
          <w:sz w:val="24"/>
        </w:rPr>
        <w:t>）偏差表</w:t>
      </w:r>
    </w:p>
    <w:p>
      <w:pPr>
        <w:adjustRightInd w:val="0"/>
        <w:snapToGrid w:val="0"/>
        <w:spacing w:line="360" w:lineRule="auto"/>
        <w:ind w:firstLine="480" w:firstLineChars="200"/>
        <w:textAlignment w:val="top"/>
        <w:rPr>
          <w:color w:val="auto"/>
          <w:sz w:val="24"/>
        </w:rPr>
      </w:pPr>
      <w:r>
        <w:rPr>
          <w:rFonts w:hint="eastAsia"/>
          <w:color w:val="auto"/>
          <w:sz w:val="24"/>
        </w:rPr>
        <w:t>（</w:t>
      </w:r>
      <w:r>
        <w:rPr>
          <w:rFonts w:hint="eastAsia"/>
          <w:color w:val="auto"/>
          <w:sz w:val="24"/>
          <w:lang w:val="en-US" w:eastAsia="zh-CN"/>
        </w:rPr>
        <w:t>7</w:t>
      </w:r>
      <w:r>
        <w:rPr>
          <w:rFonts w:hint="eastAsia"/>
          <w:color w:val="auto"/>
          <w:sz w:val="24"/>
        </w:rPr>
        <w:t>）反商业贿赂承诺书。</w:t>
      </w:r>
    </w:p>
    <w:p>
      <w:pPr>
        <w:adjustRightInd w:val="0"/>
        <w:snapToGrid w:val="0"/>
        <w:spacing w:line="360" w:lineRule="auto"/>
        <w:ind w:firstLine="480" w:firstLineChars="200"/>
        <w:textAlignment w:val="top"/>
        <w:rPr>
          <w:color w:val="auto"/>
          <w:sz w:val="24"/>
        </w:rPr>
      </w:pPr>
      <w:r>
        <w:rPr>
          <w:rFonts w:hint="eastAsia"/>
          <w:color w:val="auto"/>
          <w:sz w:val="24"/>
        </w:rPr>
        <w:t>（</w:t>
      </w:r>
      <w:r>
        <w:rPr>
          <w:rFonts w:hint="eastAsia"/>
          <w:color w:val="auto"/>
          <w:sz w:val="24"/>
          <w:lang w:val="en-US" w:eastAsia="zh-CN"/>
        </w:rPr>
        <w:t>8</w:t>
      </w:r>
      <w:r>
        <w:rPr>
          <w:rFonts w:hint="eastAsia"/>
          <w:color w:val="auto"/>
          <w:sz w:val="24"/>
        </w:rPr>
        <w:t>）履约承诺书。</w:t>
      </w:r>
    </w:p>
    <w:p>
      <w:pPr>
        <w:adjustRightInd w:val="0"/>
        <w:snapToGrid w:val="0"/>
        <w:spacing w:line="360" w:lineRule="auto"/>
        <w:ind w:firstLine="480" w:firstLineChars="200"/>
        <w:textAlignment w:val="top"/>
        <w:rPr>
          <w:color w:val="auto"/>
          <w:sz w:val="24"/>
        </w:rPr>
      </w:pPr>
      <w:r>
        <w:rPr>
          <w:rFonts w:hint="eastAsia"/>
          <w:color w:val="auto"/>
          <w:sz w:val="24"/>
        </w:rPr>
        <w:t>（</w:t>
      </w:r>
      <w:r>
        <w:rPr>
          <w:rFonts w:hint="eastAsia"/>
          <w:color w:val="auto"/>
          <w:sz w:val="24"/>
          <w:lang w:val="en-US" w:eastAsia="zh-CN"/>
        </w:rPr>
        <w:t>9</w:t>
      </w:r>
      <w:r>
        <w:rPr>
          <w:rFonts w:hint="eastAsia"/>
          <w:color w:val="auto"/>
          <w:sz w:val="24"/>
        </w:rPr>
        <w:t>）招标项目要求及采购需求所需的其他材料（按条款需要）</w:t>
      </w:r>
    </w:p>
    <w:p>
      <w:pPr>
        <w:adjustRightInd w:val="0"/>
        <w:snapToGrid w:val="0"/>
        <w:spacing w:line="360" w:lineRule="auto"/>
        <w:ind w:firstLine="480" w:firstLineChars="200"/>
        <w:textAlignment w:val="top"/>
        <w:rPr>
          <w:color w:val="auto"/>
          <w:sz w:val="24"/>
        </w:rPr>
      </w:pPr>
      <w:r>
        <w:rPr>
          <w:rFonts w:hint="eastAsia"/>
          <w:color w:val="auto"/>
          <w:sz w:val="24"/>
        </w:rPr>
        <w:t>（</w:t>
      </w:r>
      <w:r>
        <w:rPr>
          <w:color w:val="auto"/>
          <w:sz w:val="24"/>
        </w:rPr>
        <w:t>1</w:t>
      </w:r>
      <w:r>
        <w:rPr>
          <w:rFonts w:hint="eastAsia"/>
          <w:color w:val="auto"/>
          <w:sz w:val="24"/>
          <w:lang w:val="en-US" w:eastAsia="zh-CN"/>
        </w:rPr>
        <w:t>0</w:t>
      </w:r>
      <w:r>
        <w:rPr>
          <w:rFonts w:hint="eastAsia"/>
          <w:color w:val="auto"/>
          <w:sz w:val="24"/>
        </w:rPr>
        <w:t>）投标人须知所需的其他材料（按条款需要）</w:t>
      </w:r>
    </w:p>
    <w:p>
      <w:pPr>
        <w:adjustRightInd w:val="0"/>
        <w:snapToGrid w:val="0"/>
        <w:spacing w:line="360" w:lineRule="auto"/>
        <w:ind w:firstLine="480" w:firstLineChars="200"/>
        <w:textAlignment w:val="top"/>
        <w:rPr>
          <w:color w:val="auto"/>
          <w:sz w:val="24"/>
        </w:rPr>
      </w:pPr>
      <w:r>
        <w:rPr>
          <w:rFonts w:hint="eastAsia"/>
          <w:color w:val="auto"/>
          <w:sz w:val="24"/>
        </w:rPr>
        <w:t>（</w:t>
      </w:r>
      <w:r>
        <w:rPr>
          <w:color w:val="auto"/>
          <w:sz w:val="24"/>
        </w:rPr>
        <w:t>1</w:t>
      </w:r>
      <w:r>
        <w:rPr>
          <w:rFonts w:hint="eastAsia"/>
          <w:color w:val="auto"/>
          <w:sz w:val="24"/>
          <w:lang w:val="en-US" w:eastAsia="zh-CN"/>
        </w:rPr>
        <w:t>1</w:t>
      </w:r>
      <w:r>
        <w:rPr>
          <w:rFonts w:hint="eastAsia"/>
          <w:color w:val="auto"/>
          <w:sz w:val="24"/>
        </w:rPr>
        <w:t>）评审办法所需的其他材料（按条款需要）</w:t>
      </w:r>
    </w:p>
    <w:p>
      <w:pPr>
        <w:adjustRightInd w:val="0"/>
        <w:snapToGrid w:val="0"/>
        <w:spacing w:line="360" w:lineRule="auto"/>
        <w:ind w:firstLine="480" w:firstLineChars="200"/>
        <w:textAlignment w:val="top"/>
        <w:rPr>
          <w:color w:val="auto"/>
          <w:sz w:val="24"/>
        </w:rPr>
      </w:pPr>
      <w:r>
        <w:rPr>
          <w:rFonts w:hint="eastAsia"/>
          <w:color w:val="auto"/>
          <w:sz w:val="24"/>
        </w:rPr>
        <w:t>（</w:t>
      </w:r>
      <w:r>
        <w:rPr>
          <w:color w:val="auto"/>
          <w:sz w:val="24"/>
        </w:rPr>
        <w:t>1</w:t>
      </w:r>
      <w:r>
        <w:rPr>
          <w:rFonts w:hint="eastAsia"/>
          <w:color w:val="auto"/>
          <w:sz w:val="24"/>
          <w:lang w:val="en-US" w:eastAsia="zh-CN"/>
        </w:rPr>
        <w:t>2</w:t>
      </w:r>
      <w:r>
        <w:rPr>
          <w:rFonts w:hint="eastAsia"/>
          <w:color w:val="auto"/>
          <w:sz w:val="24"/>
        </w:rPr>
        <w:t>）投标人认为有必要提交的其它材料</w:t>
      </w:r>
    </w:p>
    <w:p>
      <w:pPr>
        <w:adjustRightInd w:val="0"/>
        <w:snapToGrid w:val="0"/>
        <w:spacing w:beforeLines="50" w:line="300" w:lineRule="auto"/>
        <w:ind w:firstLine="539"/>
        <w:textAlignment w:val="top"/>
        <w:rPr>
          <w:rFonts w:ascii="黑体" w:hAnsi="黑体" w:eastAsia="黑体" w:cs="楷体_GB2312"/>
          <w:b/>
          <w:color w:val="auto"/>
          <w:sz w:val="24"/>
          <w:lang w:val="zh-CN"/>
        </w:rPr>
      </w:pPr>
      <w:r>
        <w:rPr>
          <w:rFonts w:hint="eastAsia" w:ascii="黑体" w:hAnsi="黑体" w:eastAsia="黑体" w:cs="楷体_GB2312"/>
          <w:b/>
          <w:color w:val="auto"/>
          <w:sz w:val="24"/>
          <w:lang w:val="zh-CN"/>
        </w:rPr>
        <w:t>资格性证明文件</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hint="eastAsia" w:ascii="宋体" w:hAnsi="宋体" w:cs="楷体_GB2312"/>
          <w:color w:val="auto"/>
          <w:sz w:val="24"/>
          <w:lang w:val="en-US" w:eastAsia="zh-CN"/>
        </w:rPr>
        <w:t>13</w:t>
      </w:r>
      <w:r>
        <w:rPr>
          <w:rFonts w:hint="eastAsia" w:ascii="宋体" w:hAnsi="宋体" w:cs="楷体_GB2312"/>
          <w:color w:val="auto"/>
          <w:sz w:val="24"/>
          <w:lang w:val="zh-CN"/>
        </w:rPr>
        <w:t>）</w:t>
      </w:r>
      <w:r>
        <w:rPr>
          <w:rFonts w:hint="eastAsia"/>
          <w:color w:val="auto"/>
          <w:sz w:val="24"/>
        </w:rPr>
        <w:t>关于资格的声明函</w:t>
      </w:r>
    </w:p>
    <w:p>
      <w:pPr>
        <w:autoSpaceDE w:val="0"/>
        <w:autoSpaceDN w:val="0"/>
        <w:adjustRightInd w:val="0"/>
        <w:snapToGrid w:val="0"/>
        <w:spacing w:line="300" w:lineRule="auto"/>
        <w:ind w:firstLine="520" w:firstLineChars="217"/>
        <w:rPr>
          <w:rFonts w:ascii="宋体" w:cs="楷体_GB2312"/>
          <w:color w:val="auto"/>
          <w:sz w:val="24"/>
          <w:lang w:val="zh-CN"/>
        </w:rPr>
      </w:pPr>
      <w:r>
        <w:rPr>
          <w:rFonts w:hint="eastAsia"/>
          <w:color w:val="auto"/>
          <w:sz w:val="24"/>
        </w:rPr>
        <w:t>（</w:t>
      </w:r>
      <w:r>
        <w:rPr>
          <w:rFonts w:hint="eastAsia"/>
          <w:color w:val="auto"/>
          <w:sz w:val="24"/>
          <w:lang w:val="en-US" w:eastAsia="zh-CN"/>
        </w:rPr>
        <w:t>14</w:t>
      </w:r>
      <w:r>
        <w:rPr>
          <w:rFonts w:hint="eastAsia"/>
          <w:color w:val="auto"/>
          <w:sz w:val="24"/>
        </w:rPr>
        <w:t>）资格要求相关证明材料（文件）</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3.3</w:t>
      </w:r>
      <w:r>
        <w:rPr>
          <w:rFonts w:hint="eastAsia" w:ascii="宋体" w:hAnsi="宋体" w:cs="楷体_GB2312"/>
          <w:color w:val="auto"/>
          <w:sz w:val="24"/>
          <w:lang w:val="zh-CN"/>
        </w:rPr>
        <w:t>款规定，对投标文件的补充、修改、澄清、说明或者更正构成投标文件的组成部分，并取代投标文件中被澄清、修改处。</w:t>
      </w:r>
    </w:p>
    <w:p>
      <w:pPr>
        <w:topLinePunct/>
        <w:adjustRightInd w:val="0"/>
        <w:snapToGrid w:val="0"/>
        <w:spacing w:beforeLines="50" w:line="300" w:lineRule="auto"/>
        <w:ind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投标报价</w:t>
      </w:r>
      <w:r>
        <w:rPr>
          <w:rFonts w:hint="eastAsia" w:ascii="宋体" w:hAnsi="宋体" w:cs="楷体_GB2312"/>
          <w:color w:val="auto"/>
          <w:sz w:val="24"/>
          <w:lang w:val="zh-CN"/>
        </w:rPr>
        <w:t>（价格构成）：见第二章。</w:t>
      </w:r>
    </w:p>
    <w:p>
      <w:pPr>
        <w:topLinePunct/>
        <w:adjustRightInd w:val="0"/>
        <w:snapToGrid w:val="0"/>
        <w:spacing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投标有效期</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投标有效期见投标人须知前附表。投标有效期从提交投标文件的截止之日起算。投标文件中承诺的投标有效期应当不少于招标文件中载明的投标有效期。投标文件在投标有效期内保持不变（包括价格等投标文件各项条款）。</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在投标有效期内，投标人撤销或修改其投标文件的，应承担招标文件和法律规定的责任。投标有效期内投标人撤销投标文件的，应自负由此产生的法律责任。</w:t>
      </w:r>
    </w:p>
    <w:p>
      <w:pPr>
        <w:topLinePunct/>
        <w:adjustRightInd w:val="0"/>
        <w:snapToGrid w:val="0"/>
        <w:spacing w:beforeLines="50" w:line="300" w:lineRule="auto"/>
        <w:ind w:firstLine="566" w:firstLineChars="235"/>
        <w:rPr>
          <w:rFonts w:ascii="宋体" w:cs="楷体_GB2312"/>
          <w:color w:val="auto"/>
          <w:sz w:val="24"/>
          <w:lang w:val="zh-CN"/>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lang w:val="zh-CN"/>
        </w:rPr>
        <w:t>投标保证金：</w:t>
      </w:r>
      <w:r>
        <w:rPr>
          <w:rFonts w:hint="eastAsia" w:ascii="宋体" w:hAnsi="宋体" w:cs="楷体_GB2312"/>
          <w:color w:val="auto"/>
          <w:sz w:val="24"/>
          <w:lang w:val="zh-CN"/>
        </w:rPr>
        <w:t>无需缴纳</w:t>
      </w:r>
    </w:p>
    <w:p>
      <w:pPr>
        <w:autoSpaceDE w:val="0"/>
        <w:autoSpaceDN w:val="0"/>
        <w:adjustRightInd w:val="0"/>
        <w:spacing w:beforeLines="50" w:line="360" w:lineRule="auto"/>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要求见招标公告</w:t>
      </w:r>
    </w:p>
    <w:p>
      <w:pPr>
        <w:topLinePunct/>
        <w:adjustRightInd w:val="0"/>
        <w:snapToGrid w:val="0"/>
        <w:spacing w:beforeLines="50" w:line="300" w:lineRule="auto"/>
        <w:ind w:left="561" w:leftChars="267" w:firstLine="5" w:firstLineChars="2"/>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投标文件的编制</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投标文件应按第六章“投标文件格式”进行编写，如有必要，可以增加附页，作为投标文件的组成部分。招标文件中未列明格式的，由投标人按一般通用格式自行设计编写。</w:t>
      </w:r>
    </w:p>
    <w:p>
      <w:pPr>
        <w:topLinePunct/>
        <w:adjustRightInd w:val="0"/>
        <w:snapToGrid w:val="0"/>
        <w:spacing w:beforeLines="50" w:line="300" w:lineRule="auto"/>
        <w:ind w:firstLine="566" w:firstLineChars="235"/>
        <w:rPr>
          <w:rFonts w:ascii="宋体" w:cs="楷体_GB2312"/>
          <w:b/>
          <w:color w:val="auto"/>
          <w:sz w:val="24"/>
          <w:lang w:val="zh-CN"/>
        </w:rPr>
      </w:pPr>
      <w:r>
        <w:rPr>
          <w:rFonts w:hint="eastAsia" w:ascii="宋体" w:hAnsi="宋体" w:cs="楷体_GB2312"/>
          <w:b/>
          <w:color w:val="auto"/>
          <w:sz w:val="24"/>
          <w:lang w:val="zh-CN"/>
        </w:rPr>
        <w:t>投标文件编制后，需录入导入招标公告所述</w:t>
      </w:r>
      <w:r>
        <w:rPr>
          <w:rFonts w:ascii="宋体" w:hAnsi="宋体" w:cs="楷体_GB2312"/>
          <w:b/>
          <w:color w:val="auto"/>
          <w:sz w:val="24"/>
          <w:lang w:val="zh-CN"/>
        </w:rPr>
        <w:t xml:space="preserve"> </w:t>
      </w:r>
      <w:r>
        <w:rPr>
          <w:rFonts w:hint="eastAsia" w:ascii="宋体" w:hAnsi="宋体" w:cs="楷体_GB2312"/>
          <w:b/>
          <w:color w:val="auto"/>
          <w:sz w:val="24"/>
          <w:lang w:val="zh-CN"/>
        </w:rPr>
        <w:t>“安阳市政府采购投标文件编制系统</w:t>
      </w:r>
      <w:r>
        <w:rPr>
          <w:rFonts w:hint="eastAsia" w:ascii="宋体" w:cs="楷体_GB2312"/>
          <w:b/>
          <w:color w:val="auto"/>
          <w:sz w:val="24"/>
          <w:lang w:val="zh-CN"/>
        </w:rPr>
        <w:t>”</w:t>
      </w:r>
      <w:r>
        <w:rPr>
          <w:rFonts w:hint="eastAsia" w:ascii="宋体" w:hAnsi="宋体" w:cs="楷体_GB2312"/>
          <w:b/>
          <w:color w:val="auto"/>
          <w:sz w:val="24"/>
          <w:lang w:val="zh-CN"/>
        </w:rPr>
        <w:t>，经电子签名并加密后、在投标文件提交截止时间前，上传至招标公告所述网上电子交易系统。</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“投标文件格式”仅为对投标文件部分内容的格式化规范，并非投标文件所应具备的全部内容。投标人应按本章“</w:t>
      </w:r>
      <w:r>
        <w:rPr>
          <w:rFonts w:ascii="宋体" w:hAnsi="宋体" w:cs="楷体_GB2312"/>
          <w:color w:val="auto"/>
          <w:sz w:val="24"/>
          <w:lang w:val="zh-CN"/>
        </w:rPr>
        <w:t>3.2</w:t>
      </w:r>
      <w:r>
        <w:rPr>
          <w:rFonts w:hint="eastAsia" w:ascii="宋体" w:hAnsi="宋体" w:cs="楷体_GB2312"/>
          <w:color w:val="auto"/>
          <w:sz w:val="24"/>
          <w:lang w:val="zh-CN"/>
        </w:rPr>
        <w:t>投标文件的组成”列示内容编制投标文件。</w:t>
      </w:r>
    </w:p>
    <w:p>
      <w:pPr>
        <w:adjustRightInd w:val="0"/>
        <w:snapToGrid w:val="0"/>
        <w:spacing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w:t>
      </w:r>
      <w:r>
        <w:rPr>
          <w:rFonts w:asci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文件应当对招标文件有关标段内容（范围）、采购需求（技术要求、售后服务、交付（实施）期等）、投标有效期等实质性内容作出响应。在满足招标文件实质性要求的基础上，可以提出比招标文件要求更有利于采购人的承诺。</w:t>
      </w:r>
    </w:p>
    <w:p>
      <w:pPr>
        <w:adjustRightInd w:val="0"/>
        <w:snapToGrid w:val="0"/>
        <w:spacing w:beforeLines="50" w:line="300" w:lineRule="auto"/>
        <w:ind w:firstLine="480" w:firstLineChars="200"/>
        <w:rPr>
          <w:rFonts w:ascii="宋体" w:cs="楷体_GB2312"/>
          <w:color w:val="auto"/>
          <w:sz w:val="24"/>
          <w:lang w:val="zh-CN"/>
        </w:rPr>
      </w:pPr>
      <w:r>
        <w:rPr>
          <w:rFonts w:hint="eastAsia" w:ascii="宋体" w:hAnsi="宋体" w:cs="楷体_GB2312"/>
          <w:color w:val="auto"/>
          <w:sz w:val="24"/>
          <w:lang w:val="zh-CN"/>
        </w:rPr>
        <w:t>投标文件的所有条款与招标文件要求有任何不同之处，应按《技术偏差表》、《其他偏差表》格式逐一填列。投标文件与招标文件所有要求存在偏差而未填列的，评标委员会有权按照实质性判断原则（实质性要求和实质性响应两因素）评定其为</w:t>
      </w:r>
      <w:r>
        <w:rPr>
          <w:rFonts w:hint="eastAsia" w:ascii="宋体" w:hAnsi="宋体" w:cs="楷体_GB2312"/>
          <w:b/>
          <w:color w:val="auto"/>
          <w:sz w:val="24"/>
          <w:lang w:val="zh-CN"/>
        </w:rPr>
        <w:t>无效投标</w:t>
      </w:r>
      <w:r>
        <w:rPr>
          <w:rFonts w:hint="eastAsia" w:ascii="宋体" w:hAnsi="宋体" w:cs="楷体_GB2312"/>
          <w:color w:val="auto"/>
          <w:sz w:val="24"/>
          <w:lang w:val="zh-CN"/>
        </w:rPr>
        <w:t>。投标人应认真编制投标文件并自负此项风险。</w:t>
      </w:r>
    </w:p>
    <w:p>
      <w:pPr>
        <w:autoSpaceDE w:val="0"/>
        <w:autoSpaceDN w:val="0"/>
        <w:adjustRightInd w:val="0"/>
        <w:snapToGrid w:val="0"/>
        <w:spacing w:beforeLines="50" w:line="300" w:lineRule="auto"/>
        <w:ind w:firstLine="539"/>
        <w:rPr>
          <w:rFonts w:ascii="宋体" w:cs="楷体_GB2312"/>
          <w:b/>
          <w:color w:val="auto"/>
          <w:sz w:val="24"/>
        </w:rPr>
      </w:pPr>
      <w:r>
        <w:rPr>
          <w:rFonts w:ascii="宋体" w:hAnsi="宋体" w:cs="楷体_GB2312"/>
          <w:b/>
          <w:color w:val="auto"/>
          <w:sz w:val="24"/>
          <w:lang w:val="zh-CN"/>
        </w:rPr>
        <w:t>3.7.4</w:t>
      </w:r>
      <w:r>
        <w:rPr>
          <w:rFonts w:hint="eastAsia" w:ascii="宋体" w:hAnsi="宋体" w:cs="楷体_GB2312"/>
          <w:b/>
          <w:color w:val="auto"/>
          <w:sz w:val="24"/>
          <w:lang w:val="zh-CN"/>
        </w:rPr>
        <w:t>投标文件</w:t>
      </w:r>
      <w:r>
        <w:rPr>
          <w:rFonts w:hint="eastAsia" w:ascii="宋体" w:hAnsi="宋体" w:cs="楷体_GB2312"/>
          <w:b/>
          <w:color w:val="auto"/>
          <w:sz w:val="24"/>
        </w:rPr>
        <w:t>应</w:t>
      </w:r>
      <w:r>
        <w:rPr>
          <w:rFonts w:hint="eastAsia" w:ascii="宋体" w:hAnsi="宋体" w:cs="楷体_GB2312"/>
          <w:b/>
          <w:color w:val="auto"/>
          <w:sz w:val="24"/>
          <w:lang w:val="zh-CN"/>
        </w:rPr>
        <w:t>按招标文件相关要求（含格式上标注的要求）、</w:t>
      </w:r>
      <w:r>
        <w:rPr>
          <w:rFonts w:hint="eastAsia" w:ascii="宋体" w:hAnsi="宋体" w:cs="楷体_GB2312"/>
          <w:b/>
          <w:color w:val="auto"/>
          <w:sz w:val="24"/>
        </w:rPr>
        <w:t>使用供应商企业数字证书进行电子签章和供应商法定代表人数字证书进行电子签名、并加密，没有使用供应商企业数字证书和供应商法定代表人数字证书进行电子签名并加密的投标文件，属于未按照招标文件要求进行签署。</w:t>
      </w:r>
    </w:p>
    <w:p>
      <w:pPr>
        <w:adjustRightInd w:val="0"/>
        <w:snapToGrid w:val="0"/>
        <w:spacing w:beforeLines="50" w:line="300" w:lineRule="auto"/>
        <w:ind w:firstLine="482" w:firstLineChars="200"/>
        <w:rPr>
          <w:rFonts w:ascii="宋体" w:cs="楷体_GB2312"/>
          <w:color w:val="auto"/>
          <w:sz w:val="24"/>
          <w:lang w:val="zh-CN"/>
        </w:rPr>
      </w:pPr>
      <w:r>
        <w:rPr>
          <w:rFonts w:hint="eastAsia" w:ascii="宋体" w:hAnsi="宋体" w:cs="楷体_GB2312"/>
          <w:b/>
          <w:color w:val="auto"/>
          <w:sz w:val="24"/>
        </w:rPr>
        <w:t>根据《中华人民共和国电子签名法》规定，可靠的电子签名与手写签名或者盖章具有同等的法律效力。本次采购活动中，供应商使用有效的企业数字证书对投标文件进行电子签章与加盖投标人公章具有同等法律效力；供应商法定代表人使用有效的个人数字证书对投标文件进行签名与法人签章具有同等法律效力。</w:t>
      </w:r>
    </w:p>
    <w:p>
      <w:pPr>
        <w:adjustRightInd w:val="0"/>
        <w:snapToGrid w:val="0"/>
        <w:spacing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3.7.5</w:t>
      </w:r>
      <w:r>
        <w:rPr>
          <w:rFonts w:hint="eastAsia" w:ascii="宋体" w:hAnsi="宋体" w:cs="楷体_GB2312"/>
          <w:color w:val="auto"/>
          <w:sz w:val="24"/>
          <w:lang w:val="zh-CN"/>
        </w:rPr>
        <w:t>投标人可对本招标文件中所列的所有标段进行分别投标，也可选择其中一个标段或几个标段投标，但不得将招标文件规定的同一标段的内容拆开投标，否则将按</w:t>
      </w:r>
      <w:r>
        <w:rPr>
          <w:rFonts w:hint="eastAsia" w:ascii="宋体" w:hAnsi="宋体" w:cs="楷体_GB2312"/>
          <w:b/>
          <w:color w:val="auto"/>
          <w:sz w:val="24"/>
          <w:lang w:val="zh-CN"/>
        </w:rPr>
        <w:t>无效投标处理</w:t>
      </w:r>
      <w:r>
        <w:rPr>
          <w:rFonts w:hint="eastAsia" w:ascii="宋体" w:hAnsi="宋体" w:cs="楷体_GB2312"/>
          <w:color w:val="auto"/>
          <w:sz w:val="24"/>
          <w:lang w:val="zh-CN"/>
        </w:rPr>
        <w:t>。</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3.7.6 </w:t>
      </w:r>
      <w:r>
        <w:rPr>
          <w:rFonts w:hint="eastAsia" w:ascii="宋体" w:hAnsi="宋体" w:cs="楷体_GB2312"/>
          <w:color w:val="auto"/>
          <w:sz w:val="24"/>
          <w:lang w:val="zh-CN"/>
        </w:rPr>
        <w:t>投标文件因字迹或表述不清所引起的后果由投标人自行负责。</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3.7.7 </w:t>
      </w:r>
      <w:r>
        <w:rPr>
          <w:rFonts w:hint="eastAsia" w:ascii="宋体" w:hAnsi="宋体" w:cs="楷体_GB2312"/>
          <w:color w:val="auto"/>
          <w:sz w:val="24"/>
          <w:lang w:val="zh-CN"/>
        </w:rPr>
        <w:t>未按上述要求提供的投标文件将视为</w:t>
      </w:r>
      <w:r>
        <w:rPr>
          <w:rFonts w:hint="eastAsia" w:ascii="宋体" w:hAnsi="宋体" w:cs="楷体_GB2312"/>
          <w:b/>
          <w:color w:val="auto"/>
          <w:sz w:val="24"/>
          <w:lang w:val="zh-CN"/>
        </w:rPr>
        <w:t>无效投标。</w:t>
      </w:r>
    </w:p>
    <w:p>
      <w:pPr>
        <w:autoSpaceDE w:val="0"/>
        <w:autoSpaceDN w:val="0"/>
        <w:adjustRightInd w:val="0"/>
        <w:spacing w:line="360" w:lineRule="auto"/>
        <w:ind w:firstLine="539"/>
        <w:rPr>
          <w:rFonts w:ascii="黑体" w:hAnsi="黑体" w:eastAsia="黑体" w:cs="楷体_GB2312"/>
          <w:b/>
          <w:bCs/>
          <w:color w:val="auto"/>
          <w:sz w:val="28"/>
          <w:szCs w:val="28"/>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10" w:name="_Toc529805758"/>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投标</w:t>
      </w:r>
      <w:bookmarkEnd w:id="10"/>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4.1 </w:t>
      </w:r>
      <w:r>
        <w:rPr>
          <w:rFonts w:hint="eastAsia" w:ascii="黑体" w:hAnsi="黑体" w:eastAsia="黑体" w:cs="楷体_GB2312"/>
          <w:b/>
          <w:color w:val="auto"/>
          <w:sz w:val="24"/>
          <w:lang w:val="zh-CN"/>
        </w:rPr>
        <w:t>投标文件的密封和标记：</w:t>
      </w:r>
    </w:p>
    <w:p>
      <w:pPr>
        <w:autoSpaceDE w:val="0"/>
        <w:autoSpaceDN w:val="0"/>
        <w:adjustRightInd w:val="0"/>
        <w:snapToGrid w:val="0"/>
        <w:spacing w:beforeLines="50" w:line="300" w:lineRule="auto"/>
        <w:ind w:firstLine="539"/>
        <w:rPr>
          <w:rFonts w:ascii="宋体" w:cs="楷体_GB2312"/>
          <w:b/>
          <w:color w:val="auto"/>
          <w:sz w:val="24"/>
          <w:lang w:val="zh-CN"/>
        </w:rPr>
      </w:pPr>
      <w:bookmarkStart w:id="11" w:name="OLE_LINK2"/>
      <w:r>
        <w:rPr>
          <w:rFonts w:ascii="宋体" w:hAnsi="宋体" w:cs="楷体_GB2312"/>
          <w:b/>
          <w:color w:val="auto"/>
          <w:sz w:val="24"/>
          <w:lang w:val="zh-CN"/>
        </w:rPr>
        <w:t xml:space="preserve">4.1.1 </w:t>
      </w:r>
      <w:r>
        <w:rPr>
          <w:rFonts w:hint="eastAsia" w:ascii="宋体" w:hAnsi="宋体" w:cs="楷体_GB2312"/>
          <w:b/>
          <w:color w:val="auto"/>
          <w:sz w:val="24"/>
          <w:lang w:val="zh-CN"/>
        </w:rPr>
        <w:t>投标文件应当按网上电子交易系统要求进行加密和标记，在投标文件提交截止时间前，将加密的投标文件上传至招标公告所述网上电子交易系统。</w:t>
      </w:r>
    </w:p>
    <w:p>
      <w:pPr>
        <w:autoSpaceDE w:val="0"/>
        <w:autoSpaceDN w:val="0"/>
        <w:adjustRightInd w:val="0"/>
        <w:snapToGrid w:val="0"/>
        <w:spacing w:beforeLines="50" w:line="300" w:lineRule="auto"/>
        <w:ind w:firstLine="539"/>
        <w:rPr>
          <w:rFonts w:ascii="宋体" w:cs="楷体_GB2312"/>
          <w:b/>
          <w:color w:val="auto"/>
          <w:sz w:val="24"/>
          <w:lang w:val="zh-CN"/>
        </w:rPr>
      </w:pPr>
      <w:bookmarkStart w:id="12" w:name="OLE_LINK1"/>
      <w:r>
        <w:rPr>
          <w:rFonts w:ascii="宋体" w:hAnsi="宋体" w:cs="楷体_GB2312"/>
          <w:b/>
          <w:color w:val="auto"/>
          <w:sz w:val="24"/>
          <w:lang w:val="zh-CN"/>
        </w:rPr>
        <w:t xml:space="preserve">4.1.2 </w:t>
      </w:r>
      <w:r>
        <w:rPr>
          <w:rFonts w:hint="eastAsia" w:ascii="宋体" w:hAnsi="宋体" w:cs="楷体_GB2312"/>
          <w:b/>
          <w:color w:val="auto"/>
          <w:sz w:val="24"/>
          <w:lang w:val="zh-CN"/>
        </w:rPr>
        <w:t>投标文件没有按照上述要求进行加密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的、网上电子交易系统将据系统设定拒收其投标文件，投标人应自负该项风险，采购代理机构对可能产生的误投或提前启封概不负责。</w:t>
      </w:r>
      <w:bookmarkEnd w:id="12"/>
    </w:p>
    <w:bookmarkEnd w:id="11"/>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4.2 </w:t>
      </w:r>
      <w:r>
        <w:rPr>
          <w:rFonts w:hint="eastAsia" w:ascii="黑体" w:hAnsi="黑体" w:eastAsia="黑体" w:cs="楷体_GB2312"/>
          <w:b/>
          <w:color w:val="auto"/>
          <w:sz w:val="24"/>
          <w:lang w:val="zh-CN"/>
        </w:rPr>
        <w:t>投标文件的递交</w:t>
      </w:r>
    </w:p>
    <w:p>
      <w:pPr>
        <w:autoSpaceDE w:val="0"/>
        <w:autoSpaceDN w:val="0"/>
        <w:adjustRightInd w:val="0"/>
        <w:snapToGrid w:val="0"/>
        <w:spacing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4.2.1 </w:t>
      </w:r>
      <w:r>
        <w:rPr>
          <w:rFonts w:hint="eastAsia" w:ascii="宋体" w:hAnsi="宋体" w:cs="楷体_GB2312"/>
          <w:b/>
          <w:color w:val="auto"/>
          <w:sz w:val="24"/>
          <w:lang w:val="zh-CN"/>
        </w:rPr>
        <w:t>投标人须在投标文件提交截止时间前，将加密的投标文件上传至招标公告所述网上电子交易系统（在网上电子交易系统，凭企业数字证书登录投标用户入口</w:t>
      </w:r>
      <w:r>
        <w:rPr>
          <w:rFonts w:ascii="宋体" w:hAnsi="宋体" w:cs="楷体_GB2312"/>
          <w:b/>
          <w:color w:val="auto"/>
          <w:sz w:val="24"/>
          <w:lang w:val="zh-CN"/>
        </w:rPr>
        <w:t xml:space="preserve"> </w:t>
      </w:r>
      <w:r>
        <w:rPr>
          <w:rFonts w:hint="eastAsia" w:ascii="宋体" w:hAnsi="宋体" w:cs="楷体_GB2312"/>
          <w:b/>
          <w:color w:val="auto"/>
          <w:sz w:val="24"/>
          <w:lang w:val="zh-CN"/>
        </w:rPr>
        <w:t>的“政府采购”系统上传）。投标人应在上传时认真检查上传投标文件是否完整、正确。</w:t>
      </w:r>
    </w:p>
    <w:p>
      <w:pPr>
        <w:autoSpaceDE w:val="0"/>
        <w:autoSpaceDN w:val="0"/>
        <w:adjustRightInd w:val="0"/>
        <w:snapToGrid w:val="0"/>
        <w:spacing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4.2.2 </w:t>
      </w:r>
      <w:r>
        <w:rPr>
          <w:rFonts w:hint="eastAsia" w:ascii="宋体" w:hAnsi="宋体" w:cs="楷体_GB2312"/>
          <w:b/>
          <w:color w:val="auto"/>
          <w:sz w:val="24"/>
          <w:lang w:val="zh-CN"/>
        </w:rPr>
        <w:t>据网上电子交易系统设定，投标文件提交截止时间后，系统将自动锁定已经提交的电子投标文件，拒绝再次提交。投标人将无法通过网上电子交易系统进行上传，采购代理机构将无法接受并拒绝接受投标截止时间以后提交的投标文件</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由于不可抗拒的原因，代理机构对投标文件的遗失和损坏不负任何责任。</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除投标人须知前附表另有规定外，投标人所递交的投标文件不予退还。</w:t>
      </w:r>
    </w:p>
    <w:p>
      <w:pPr>
        <w:autoSpaceDE w:val="0"/>
        <w:autoSpaceDN w:val="0"/>
        <w:adjustRightInd w:val="0"/>
        <w:snapToGrid w:val="0"/>
        <w:spacing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基于网上电子交易的系统要求及特点，只接受基于符合网上电子交易系统要求的投标，其他如纸制、送达、电报、电话、电子邮件等形式的投标概不接受。</w:t>
      </w:r>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4.3 </w:t>
      </w:r>
      <w:r>
        <w:rPr>
          <w:rFonts w:hint="eastAsia" w:ascii="黑体" w:hAnsi="黑体" w:eastAsia="黑体" w:cs="楷体_GB2312"/>
          <w:b/>
          <w:color w:val="auto"/>
          <w:sz w:val="24"/>
          <w:lang w:val="zh-CN"/>
        </w:rPr>
        <w:t>投标文件的修改与撤回</w:t>
      </w:r>
      <w:r>
        <w:rPr>
          <w:rFonts w:hint="eastAsia" w:ascii="宋体" w:hAnsi="宋体" w:cs="楷体_GB2312"/>
          <w:color w:val="auto"/>
          <w:sz w:val="24"/>
          <w:lang w:val="zh-CN"/>
        </w:rPr>
        <w:t>：</w:t>
      </w:r>
    </w:p>
    <w:p>
      <w:pPr>
        <w:autoSpaceDE w:val="0"/>
        <w:autoSpaceDN w:val="0"/>
        <w:adjustRightInd w:val="0"/>
        <w:snapToGrid w:val="0"/>
        <w:spacing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4.3.1 </w:t>
      </w:r>
      <w:r>
        <w:rPr>
          <w:rFonts w:hint="eastAsia" w:ascii="宋体" w:hAnsi="宋体" w:cs="楷体_GB2312"/>
          <w:b/>
          <w:color w:val="auto"/>
          <w:sz w:val="24"/>
          <w:lang w:val="zh-CN"/>
        </w:rPr>
        <w:t>投标人于提交投标文件截止时间前如对投标文件进行补充、修改，可以上传新的投标文件进行覆盖。投标人如撤回投标文件，应及时书面通知采购代理机构进行办理。</w:t>
      </w:r>
    </w:p>
    <w:p>
      <w:pPr>
        <w:autoSpaceDE w:val="0"/>
        <w:autoSpaceDN w:val="0"/>
        <w:adjustRightInd w:val="0"/>
        <w:snapToGrid w:val="0"/>
        <w:spacing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4.3.2 </w:t>
      </w:r>
      <w:r>
        <w:rPr>
          <w:rFonts w:hint="eastAsia" w:ascii="宋体" w:hAnsi="宋体" w:cs="楷体_GB2312"/>
          <w:b/>
          <w:color w:val="auto"/>
          <w:sz w:val="24"/>
          <w:lang w:val="zh-CN"/>
        </w:rPr>
        <w:t>投标人在投标文件提交截止时间后不得自行修改或撤回其投标，否则其自负由此产生的法律责任。</w:t>
      </w:r>
    </w:p>
    <w:p>
      <w:pPr>
        <w:autoSpaceDE w:val="0"/>
        <w:autoSpaceDN w:val="0"/>
        <w:adjustRightInd w:val="0"/>
        <w:snapToGrid w:val="0"/>
        <w:spacing w:beforeLines="50" w:line="300" w:lineRule="auto"/>
        <w:ind w:firstLine="539"/>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宋体" w:cs="楷体_GB2312"/>
          <w:color w:val="auto"/>
          <w:sz w:val="24"/>
          <w:lang w:val="zh-CN"/>
        </w:rPr>
      </w:pPr>
      <w:bookmarkStart w:id="13" w:name="_Toc529805759"/>
      <w:r>
        <w:rPr>
          <w:rFonts w:ascii="黑体" w:hAnsi="黑体" w:eastAsia="黑体" w:cs="楷体_GB2312"/>
          <w:b/>
          <w:bCs/>
          <w:color w:val="auto"/>
          <w:sz w:val="28"/>
          <w:szCs w:val="28"/>
          <w:lang w:val="zh-CN"/>
        </w:rPr>
        <w:t xml:space="preserve">5 </w:t>
      </w:r>
      <w:r>
        <w:rPr>
          <w:rFonts w:hint="eastAsia" w:ascii="黑体" w:hAnsi="黑体" w:eastAsia="黑体" w:cs="楷体_GB2312"/>
          <w:b/>
          <w:bCs/>
          <w:color w:val="auto"/>
          <w:sz w:val="28"/>
          <w:szCs w:val="28"/>
          <w:lang w:val="zh-CN"/>
        </w:rPr>
        <w:t>开标</w:t>
      </w:r>
      <w:bookmarkEnd w:id="13"/>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开标时间和地点</w:t>
      </w:r>
    </w:p>
    <w:p>
      <w:pPr>
        <w:autoSpaceDE w:val="0"/>
        <w:autoSpaceDN w:val="0"/>
        <w:adjustRightInd w:val="0"/>
        <w:snapToGrid w:val="0"/>
        <w:spacing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采购人和采购代理机构按招标公告规定的时间和地点于网上（招标公告所述网上电子交易系统）公开开标。</w:t>
      </w:r>
    </w:p>
    <w:p>
      <w:pPr>
        <w:autoSpaceDE w:val="0"/>
        <w:autoSpaceDN w:val="0"/>
        <w:adjustRightInd w:val="0"/>
        <w:snapToGrid w:val="0"/>
        <w:spacing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5.1.2 </w:t>
      </w:r>
      <w:r>
        <w:rPr>
          <w:rFonts w:hint="eastAsia" w:ascii="宋体" w:hAnsi="宋体" w:cs="楷体_GB2312"/>
          <w:b/>
          <w:color w:val="auto"/>
          <w:sz w:val="24"/>
          <w:lang w:val="zh-CN"/>
        </w:rPr>
        <w:t>投标人需在开标前打开招标公告所述网上电子交易系统，凭企业数字证书登录投标用户入口</w:t>
      </w:r>
      <w:r>
        <w:rPr>
          <w:rFonts w:ascii="宋体" w:hAnsi="宋体" w:cs="楷体_GB2312"/>
          <w:b/>
          <w:color w:val="auto"/>
          <w:sz w:val="24"/>
          <w:lang w:val="zh-CN"/>
        </w:rPr>
        <w:t xml:space="preserve"> </w:t>
      </w:r>
      <w:r>
        <w:rPr>
          <w:rFonts w:hint="eastAsia" w:ascii="宋体" w:hAnsi="宋体" w:cs="楷体_GB2312"/>
          <w:b/>
          <w:color w:val="auto"/>
          <w:sz w:val="24"/>
          <w:lang w:val="zh-CN"/>
        </w:rPr>
        <w:t>的“政府采购”系统，并进入本项目相匹配的网上开标室。</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开标程序</w:t>
      </w:r>
    </w:p>
    <w:p>
      <w:pPr>
        <w:autoSpaceDE w:val="0"/>
        <w:autoSpaceDN w:val="0"/>
        <w:adjustRightInd w:val="0"/>
        <w:snapToGrid w:val="0"/>
        <w:spacing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5.2.1 </w:t>
      </w:r>
      <w:r>
        <w:rPr>
          <w:rFonts w:hint="eastAsia" w:ascii="宋体" w:hAnsi="宋体" w:cs="楷体_GB2312"/>
          <w:b/>
          <w:color w:val="auto"/>
          <w:sz w:val="24"/>
          <w:lang w:val="zh-CN"/>
        </w:rPr>
        <w:t>本项目为网上电子交易方式，投标文件的开启方式为远程解密，投标人需在开标阶段、在管理员下达解密指令后的指定时限内，完成对本单位的加密投标文件的远程解密。如投标人因自身原因、在指定时限内没有解密成功的，将为无效投标，投标人自行承担相应后果。解密完成后，投标人的报价将在系统界面上显示。</w:t>
      </w:r>
    </w:p>
    <w:p>
      <w:pPr>
        <w:spacing w:line="520" w:lineRule="exact"/>
        <w:ind w:firstLine="535" w:firstLineChars="222"/>
        <w:rPr>
          <w:rFonts w:ascii="宋体" w:cs="楷体_GB2312"/>
          <w:b/>
          <w:color w:val="auto"/>
          <w:sz w:val="24"/>
          <w:lang w:val="zh-CN"/>
        </w:rPr>
      </w:pPr>
      <w:r>
        <w:rPr>
          <w:rFonts w:hint="eastAsia" w:ascii="宋体" w:hAnsi="宋体" w:cs="楷体_GB2312"/>
          <w:b/>
          <w:color w:val="auto"/>
          <w:sz w:val="24"/>
          <w:lang w:val="zh-CN"/>
        </w:rPr>
        <w:t>在上述解密指定时限内未解密投标文件，为无效投标。</w:t>
      </w:r>
    </w:p>
    <w:p>
      <w:pPr>
        <w:autoSpaceDE w:val="0"/>
        <w:autoSpaceDN w:val="0"/>
        <w:adjustRightInd w:val="0"/>
        <w:snapToGrid w:val="0"/>
        <w:spacing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5.2.2 </w:t>
      </w:r>
      <w:r>
        <w:rPr>
          <w:rFonts w:hint="eastAsia" w:ascii="宋体" w:hAnsi="宋体" w:cs="楷体_GB2312"/>
          <w:b/>
          <w:color w:val="auto"/>
          <w:sz w:val="24"/>
          <w:lang w:val="zh-CN"/>
        </w:rPr>
        <w:t>投标人对开标过程和开标记录有疑义，以及认为采购人、采购代理机构相关工作人员有需要回避的情形的，应在系统中提出询问或者回避申请，否则，视为对开标无异议。</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投标人不足</w:t>
      </w:r>
      <w:r>
        <w:rPr>
          <w:rFonts w:ascii="宋体" w:hAnsi="宋体" w:cs="楷体_GB2312"/>
          <w:color w:val="auto"/>
          <w:sz w:val="24"/>
          <w:lang w:val="zh-CN"/>
        </w:rPr>
        <w:t>3</w:t>
      </w:r>
      <w:r>
        <w:rPr>
          <w:rFonts w:hint="eastAsia" w:ascii="宋体" w:hAnsi="宋体" w:cs="楷体_GB2312"/>
          <w:color w:val="auto"/>
          <w:sz w:val="24"/>
          <w:lang w:val="zh-CN"/>
        </w:rPr>
        <w:t>家的，将不予开标。</w:t>
      </w:r>
    </w:p>
    <w:p>
      <w:pPr>
        <w:autoSpaceDE w:val="0"/>
        <w:autoSpaceDN w:val="0"/>
        <w:adjustRightInd w:val="0"/>
        <w:snapToGrid w:val="0"/>
        <w:spacing w:beforeLines="50" w:line="300" w:lineRule="auto"/>
        <w:ind w:firstLine="539"/>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14" w:name="_Toc529805760"/>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资格性审查</w:t>
      </w:r>
      <w:bookmarkEnd w:id="14"/>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资格性审查环节</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公开招标采购项目开标结束后，采购人将依法对投标人的资格进行审查。</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资格性审查内容</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）按照第一章“招标公告”第</w:t>
      </w:r>
      <w:r>
        <w:rPr>
          <w:rFonts w:ascii="宋体" w:cs="楷体_GB2312"/>
          <w:color w:val="auto"/>
          <w:sz w:val="24"/>
          <w:lang w:val="zh-CN"/>
        </w:rPr>
        <w:t>2</w:t>
      </w:r>
      <w:r>
        <w:rPr>
          <w:rFonts w:hint="eastAsia" w:ascii="宋体" w:cs="楷体_GB2312"/>
          <w:color w:val="auto"/>
          <w:sz w:val="24"/>
          <w:lang w:val="zh-CN"/>
        </w:rPr>
        <w:t>条各项资格要求规定，审查投标人是否符合第一章“招标公告”第</w:t>
      </w:r>
      <w:r>
        <w:rPr>
          <w:rFonts w:ascii="宋体" w:cs="楷体_GB2312"/>
          <w:color w:val="auto"/>
          <w:sz w:val="24"/>
          <w:lang w:val="zh-CN"/>
        </w:rPr>
        <w:t>2</w:t>
      </w:r>
      <w:r>
        <w:rPr>
          <w:rFonts w:hint="eastAsia" w:ascii="宋体" w:cs="楷体_GB2312"/>
          <w:color w:val="auto"/>
          <w:sz w:val="24"/>
          <w:lang w:val="zh-CN"/>
        </w:rPr>
        <w:t>条各项资格要求及所需证件材料、证明材料要求，不符合的、投标无效。</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rPr>
        <w:t>2</w:t>
      </w:r>
      <w:r>
        <w:rPr>
          <w:rFonts w:hint="eastAsia" w:ascii="宋体" w:cs="楷体_GB2312"/>
          <w:color w:val="auto"/>
          <w:sz w:val="24"/>
          <w:lang w:val="zh-CN"/>
        </w:rPr>
        <w:t>）</w:t>
      </w:r>
      <w:r>
        <w:rPr>
          <w:rFonts w:hint="eastAsia" w:ascii="宋体" w:hAnsi="宋体" w:cs="楷体_GB2312"/>
          <w:color w:val="auto"/>
          <w:sz w:val="24"/>
          <w:lang w:val="zh-CN"/>
        </w:rPr>
        <w:t>招标公告、资格预审公告或者投标邀请书中载明</w:t>
      </w:r>
      <w:r>
        <w:rPr>
          <w:rFonts w:hint="eastAsia" w:ascii="宋体" w:cs="楷体_GB2312"/>
          <w:color w:val="auto"/>
          <w:sz w:val="24"/>
          <w:lang w:val="zh-CN"/>
        </w:rPr>
        <w:t>接受联合体投标的，按照招标文件第三章“</w:t>
      </w:r>
      <w:r>
        <w:rPr>
          <w:rFonts w:hint="eastAsia" w:ascii="宋体" w:hAnsi="宋体" w:cs="楷体_GB2312"/>
          <w:color w:val="auto"/>
          <w:sz w:val="24"/>
          <w:lang w:val="zh-CN"/>
        </w:rPr>
        <w:t>投标人须知”</w:t>
      </w:r>
      <w:r>
        <w:rPr>
          <w:rFonts w:ascii="宋体" w:hAnsi="宋体" w:cs="楷体_GB2312"/>
          <w:color w:val="auto"/>
          <w:sz w:val="24"/>
          <w:lang w:val="zh-CN"/>
        </w:rPr>
        <w:t>1.4</w:t>
      </w:r>
      <w:r>
        <w:rPr>
          <w:rFonts w:hint="eastAsia" w:ascii="宋体" w:hAnsi="宋体" w:cs="楷体_GB2312"/>
          <w:color w:val="auto"/>
          <w:sz w:val="24"/>
          <w:lang w:val="zh-CN"/>
        </w:rPr>
        <w:t>款</w:t>
      </w:r>
      <w:r>
        <w:rPr>
          <w:rFonts w:hint="eastAsia" w:ascii="宋体" w:cs="楷体_GB2312"/>
          <w:color w:val="auto"/>
          <w:sz w:val="24"/>
          <w:lang w:val="zh-CN"/>
        </w:rPr>
        <w:t>规定进行审查，不符合的、投标无效。</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资格性审查结果</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cs="楷体_GB2312"/>
          <w:color w:val="auto"/>
          <w:sz w:val="24"/>
          <w:lang w:val="zh-CN"/>
        </w:rPr>
        <w:t xml:space="preserve">6.3.1 </w:t>
      </w:r>
      <w:r>
        <w:rPr>
          <w:rFonts w:hint="eastAsia" w:ascii="宋体" w:cs="楷体_GB2312"/>
          <w:color w:val="auto"/>
          <w:sz w:val="24"/>
          <w:lang w:val="zh-CN"/>
        </w:rPr>
        <w:t>对未通过资格审查的投标人，将告知其未通过的原因。</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cs="楷体_GB2312"/>
          <w:color w:val="auto"/>
          <w:sz w:val="24"/>
          <w:lang w:val="zh-CN"/>
        </w:rPr>
        <w:t xml:space="preserve">6.3.2 </w:t>
      </w:r>
      <w:r>
        <w:rPr>
          <w:rFonts w:hint="eastAsia" w:ascii="宋体" w:cs="楷体_GB2312"/>
          <w:color w:val="auto"/>
          <w:sz w:val="24"/>
          <w:lang w:val="zh-CN"/>
        </w:rPr>
        <w:t>资格性审查合格投标人不足</w:t>
      </w:r>
      <w:r>
        <w:rPr>
          <w:rFonts w:ascii="宋体" w:cs="楷体_GB2312"/>
          <w:color w:val="auto"/>
          <w:sz w:val="24"/>
          <w:lang w:val="zh-CN"/>
        </w:rPr>
        <w:t>3</w:t>
      </w:r>
      <w:r>
        <w:rPr>
          <w:rFonts w:hint="eastAsia" w:ascii="宋体" w:cs="楷体_GB2312"/>
          <w:color w:val="auto"/>
          <w:sz w:val="24"/>
          <w:lang w:val="zh-CN"/>
        </w:rPr>
        <w:t>家的，将不再评标。</w:t>
      </w:r>
    </w:p>
    <w:p>
      <w:pPr>
        <w:autoSpaceDE w:val="0"/>
        <w:autoSpaceDN w:val="0"/>
        <w:adjustRightInd w:val="0"/>
        <w:snapToGrid w:val="0"/>
        <w:spacing w:beforeLines="50" w:line="300" w:lineRule="auto"/>
        <w:ind w:firstLine="539"/>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宋体" w:cs="楷体_GB2312"/>
          <w:color w:val="auto"/>
          <w:sz w:val="24"/>
          <w:lang w:val="zh-CN"/>
        </w:rPr>
      </w:pPr>
      <w:bookmarkStart w:id="15" w:name="_Toc529805761"/>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评审</w:t>
      </w:r>
      <w:bookmarkEnd w:id="15"/>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评标委员会</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评标工作由依法组建的评标委员会负责。评标委员会由采购人代表和评审专家共</w:t>
      </w:r>
      <w:r>
        <w:rPr>
          <w:rFonts w:ascii="宋体" w:hAnsi="宋体" w:cs="楷体_GB2312"/>
          <w:color w:val="auto"/>
          <w:sz w:val="24"/>
          <w:lang w:val="zh-CN"/>
        </w:rPr>
        <w:t>5</w:t>
      </w:r>
      <w:r>
        <w:rPr>
          <w:rFonts w:hint="eastAsia" w:ascii="宋体" w:hAnsi="宋体" w:cs="楷体_GB2312"/>
          <w:color w:val="auto"/>
          <w:sz w:val="24"/>
          <w:lang w:val="zh-CN"/>
        </w:rPr>
        <w:t>人以上单数组成，其中评审专家人数不少于评标委员会成员总数的</w:t>
      </w:r>
      <w:r>
        <w:rPr>
          <w:rFonts w:ascii="宋体" w:hAnsi="宋体" w:cs="楷体_GB2312"/>
          <w:color w:val="auto"/>
          <w:sz w:val="24"/>
          <w:lang w:val="zh-CN"/>
        </w:rPr>
        <w:t>2/3</w:t>
      </w:r>
      <w:r>
        <w:rPr>
          <w:rFonts w:hint="eastAsia" w:ascii="宋体" w:hAnsi="宋体" w:cs="楷体_GB2312"/>
          <w:color w:val="auto"/>
          <w:sz w:val="24"/>
          <w:lang w:val="zh-CN"/>
        </w:rPr>
        <w:t>，评审专家是在监督部门监督下从政府采购专家库中随机抽取产生。技术复杂、专业性强的采购项目，通过随机方式难以确定合适评审专家的，经主管预算单位同意，报经批准后，采购人自行选定相应专业领域的评审专家。</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评审原则</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7.2.1 </w:t>
      </w:r>
      <w:r>
        <w:rPr>
          <w:rFonts w:hint="eastAsia" w:ascii="宋体" w:hAnsi="宋体" w:cs="楷体_GB2312"/>
          <w:color w:val="auto"/>
          <w:sz w:val="24"/>
          <w:lang w:val="zh-CN"/>
        </w:rPr>
        <w:t>坚持公开、公平、公正地对待所有投标人。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7.2.2 </w:t>
      </w:r>
      <w:r>
        <w:rPr>
          <w:rFonts w:hint="eastAsia" w:ascii="宋体" w:hAnsi="宋体" w:cs="楷体_GB2312"/>
          <w:color w:val="auto"/>
          <w:sz w:val="24"/>
          <w:lang w:val="zh-CN"/>
        </w:rPr>
        <w:t>按照同一评审程序及方法审查所有投标人的投标文件。</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7.2.3 </w:t>
      </w:r>
      <w:r>
        <w:rPr>
          <w:rFonts w:hint="eastAsia" w:ascii="宋体" w:hAnsi="宋体" w:cs="楷体_GB2312"/>
          <w:color w:val="auto"/>
          <w:sz w:val="24"/>
          <w:lang w:val="zh-CN"/>
        </w:rPr>
        <w:t>反对不正当竞争</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评审</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7.3.1</w:t>
      </w:r>
      <w:r>
        <w:rPr>
          <w:rFonts w:hint="eastAsia" w:ascii="宋体" w:hAnsi="宋体" w:cs="楷体_GB2312"/>
          <w:color w:val="auto"/>
          <w:sz w:val="24"/>
          <w:lang w:val="zh-CN"/>
        </w:rPr>
        <w:t>评审工作在评标委员会内独立进行。评标委员会按照第四章“评标办法”规定的方法、评审因素、标准和程序对投标文件进行评审。第四章“评标办法”没有规定的方法、评审因素和标准，不作为评审依据。</w:t>
      </w:r>
    </w:p>
    <w:p>
      <w:pPr>
        <w:adjustRightInd w:val="0"/>
        <w:snapToGrid w:val="0"/>
        <w:spacing w:line="300" w:lineRule="auto"/>
        <w:ind w:firstLine="480" w:firstLineChars="200"/>
        <w:jc w:val="left"/>
        <w:rPr>
          <w:rFonts w:ascii="宋体" w:cs="楷体_GB2312"/>
          <w:color w:val="auto"/>
          <w:sz w:val="24"/>
          <w:lang w:val="zh-CN"/>
        </w:rPr>
      </w:pPr>
      <w:r>
        <w:rPr>
          <w:rFonts w:ascii="宋体" w:hAnsi="宋体" w:cs="宋体"/>
          <w:color w:val="auto"/>
          <w:sz w:val="24"/>
        </w:rPr>
        <w:t xml:space="preserve">7.3.2 </w:t>
      </w:r>
      <w:r>
        <w:rPr>
          <w:rFonts w:hint="eastAsia" w:ascii="宋体" w:hAnsi="宋体" w:cs="宋体"/>
          <w:color w:val="auto"/>
          <w:sz w:val="24"/>
        </w:rPr>
        <w:t>评标中因评标委员会成员缺席、回避或者健康等特殊原因导致评标委员会组成不符政府采购法规规定的，无法及时补足评标委员会成员的，采购代理机构将停止评标活动，封存所有投标文件和开标、评标资料，依法重新组建评标委员会进行评标。原评标委员会所作出的评标意见无效。</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7.3.3 </w:t>
      </w:r>
      <w:r>
        <w:rPr>
          <w:rFonts w:hint="eastAsia" w:ascii="宋体" w:hAnsi="宋体" w:cs="楷体_GB2312"/>
          <w:color w:val="auto"/>
          <w:sz w:val="24"/>
          <w:lang w:val="zh-CN"/>
        </w:rPr>
        <w:t>在开标、评审期间，投标人不得向评标委员会成员询问情况，不得进行旨在影响评审结果的活动。</w:t>
      </w:r>
    </w:p>
    <w:p>
      <w:pPr>
        <w:autoSpaceDE w:val="0"/>
        <w:autoSpaceDN w:val="0"/>
        <w:adjustRightInd w:val="0"/>
        <w:snapToGrid w:val="0"/>
        <w:spacing w:beforeLines="50" w:line="300" w:lineRule="auto"/>
        <w:ind w:firstLine="539"/>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16" w:name="_Toc529805762"/>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授予合同</w:t>
      </w:r>
      <w:bookmarkEnd w:id="16"/>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8.1 </w:t>
      </w:r>
      <w:r>
        <w:rPr>
          <w:rFonts w:hint="eastAsia" w:ascii="黑体" w:hAnsi="黑体" w:eastAsia="黑体" w:cs="楷体_GB2312"/>
          <w:b/>
          <w:color w:val="auto"/>
          <w:sz w:val="24"/>
          <w:lang w:val="zh-CN"/>
        </w:rPr>
        <w:t>确定中标人方式</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除投标人须知前附表规定授权评标委员会直接确定中标人外，采购人应当自收到评标报告之日起</w:t>
      </w:r>
      <w:r>
        <w:rPr>
          <w:rFonts w:ascii="宋体" w:hAnsi="宋体" w:cs="楷体_GB2312"/>
          <w:color w:val="auto"/>
          <w:sz w:val="24"/>
          <w:lang w:val="zh-CN"/>
        </w:rPr>
        <w:t>5</w:t>
      </w:r>
      <w:r>
        <w:rPr>
          <w:rFonts w:hint="eastAsia" w:ascii="宋体" w:hAnsi="宋体" w:cs="楷体_GB2312"/>
          <w:color w:val="auto"/>
          <w:sz w:val="24"/>
          <w:lang w:val="zh-CN"/>
        </w:rPr>
        <w:t>个工作日内在评标报告推荐的中标候选人中按顺序确定中标人。若排名第一的中标候选人放弃中标，或者因不可抗力不能履行合同，或者被查实存在影响中标结果的违法行为等情形、不符合中标条件的，采购人可以按照评标委员会提出的中标候选人名单排序依次确定其他中标候选人为中标人，也可以重新采购。</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8.2 </w:t>
      </w:r>
      <w:r>
        <w:rPr>
          <w:rFonts w:hint="eastAsia" w:ascii="黑体" w:hAnsi="黑体" w:eastAsia="黑体" w:cs="楷体_GB2312"/>
          <w:b/>
          <w:color w:val="auto"/>
          <w:sz w:val="24"/>
          <w:lang w:val="zh-CN"/>
        </w:rPr>
        <w:t>中标结果公告</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采购代理机构在中标人确定后</w:t>
      </w:r>
      <w:r>
        <w:rPr>
          <w:rFonts w:ascii="宋体" w:hAnsi="宋体" w:cs="楷体_GB2312"/>
          <w:color w:val="auto"/>
          <w:sz w:val="24"/>
          <w:lang w:val="zh-CN"/>
        </w:rPr>
        <w:t>2</w:t>
      </w:r>
      <w:r>
        <w:rPr>
          <w:rFonts w:hint="eastAsia" w:ascii="宋体" w:hAnsi="宋体" w:cs="楷体_GB2312"/>
          <w:color w:val="auto"/>
          <w:sz w:val="24"/>
          <w:lang w:val="zh-CN"/>
        </w:rPr>
        <w:t>个工作日内，在招标公告所述媒体公告中标结果。同时向中标人发出中标通知书。中标结果公告期限为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8.3 </w:t>
      </w:r>
      <w:r>
        <w:rPr>
          <w:rFonts w:hint="eastAsia" w:ascii="黑体" w:hAnsi="黑体" w:eastAsia="黑体" w:cs="楷体_GB2312"/>
          <w:b/>
          <w:color w:val="auto"/>
          <w:sz w:val="24"/>
          <w:lang w:val="zh-CN"/>
        </w:rPr>
        <w:t>质疑、投诉：</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olor w:val="auto"/>
          <w:sz w:val="24"/>
        </w:rPr>
        <w:t>8.3.1</w:t>
      </w:r>
      <w:r>
        <w:rPr>
          <w:rFonts w:hint="eastAsia" w:ascii="宋体" w:hAnsi="宋体" w:cs="楷体_GB2312"/>
          <w:color w:val="auto"/>
          <w:sz w:val="24"/>
          <w:lang w:val="zh-CN"/>
        </w:rPr>
        <w:t>见投标人须知前附表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8.3.2 </w:t>
      </w:r>
      <w:r>
        <w:rPr>
          <w:rFonts w:hint="eastAsia" w:ascii="宋体" w:hAnsi="宋体" w:cs="楷体_GB2312"/>
          <w:color w:val="auto"/>
          <w:sz w:val="24"/>
          <w:lang w:val="zh-CN"/>
        </w:rPr>
        <w:t>依据政府采购法规规定，招标公告、资格预审公告的公告期限为</w:t>
      </w:r>
      <w:r>
        <w:rPr>
          <w:rFonts w:ascii="宋体" w:hAnsi="宋体" w:cs="楷体_GB2312"/>
          <w:color w:val="auto"/>
          <w:sz w:val="24"/>
          <w:lang w:val="zh-CN"/>
        </w:rPr>
        <w:t>5</w:t>
      </w:r>
      <w:r>
        <w:rPr>
          <w:rFonts w:hint="eastAsia" w:ascii="宋体" w:hAnsi="宋体" w:cs="楷体_GB2312"/>
          <w:color w:val="auto"/>
          <w:sz w:val="24"/>
          <w:lang w:val="zh-CN"/>
        </w:rPr>
        <w:t>个工作日，中标公告期限为</w:t>
      </w:r>
      <w:r>
        <w:rPr>
          <w:rFonts w:ascii="宋体" w:hAnsi="宋体" w:cs="楷体_GB2312"/>
          <w:color w:val="auto"/>
          <w:sz w:val="24"/>
          <w:lang w:val="zh-CN"/>
        </w:rPr>
        <w:t>1</w:t>
      </w:r>
      <w:r>
        <w:rPr>
          <w:rFonts w:hint="eastAsia" w:ascii="宋体" w:hAnsi="宋体" w:cs="楷体_GB2312"/>
          <w:color w:val="auto"/>
          <w:sz w:val="24"/>
          <w:lang w:val="zh-CN"/>
        </w:rPr>
        <w:t>个工作日，投标人应在法定期限内提出质疑，逾期提交或未按照要求提交的质疑函将不予受理。</w:t>
      </w:r>
    </w:p>
    <w:p>
      <w:pPr>
        <w:adjustRightInd w:val="0"/>
        <w:snapToGrid w:val="0"/>
        <w:spacing w:beforeLines="50" w:line="300" w:lineRule="auto"/>
        <w:ind w:firstLine="600" w:firstLineChars="250"/>
        <w:rPr>
          <w:rFonts w:ascii="宋体"/>
          <w:color w:val="auto"/>
          <w:sz w:val="24"/>
        </w:rPr>
      </w:pPr>
      <w:r>
        <w:rPr>
          <w:rFonts w:ascii="宋体" w:hAnsi="宋体"/>
          <w:color w:val="auto"/>
          <w:sz w:val="24"/>
        </w:rPr>
        <w:t xml:space="preserve">8.3.3 </w:t>
      </w:r>
      <w:r>
        <w:rPr>
          <w:rFonts w:hint="eastAsia" w:ascii="宋体" w:hAnsi="宋体"/>
          <w:color w:val="auto"/>
          <w:sz w:val="24"/>
        </w:rPr>
        <w:t>询问或者质疑事项可能影响中标结果的，采购人应当暂停签订合同，已经签订合同的，应当中止履行合同。</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8.4 </w:t>
      </w:r>
      <w:r>
        <w:rPr>
          <w:rFonts w:hint="eastAsia" w:ascii="黑体" w:hAnsi="黑体" w:eastAsia="黑体" w:cs="楷体_GB2312"/>
          <w:b/>
          <w:color w:val="auto"/>
          <w:sz w:val="24"/>
          <w:lang w:val="zh-CN"/>
        </w:rPr>
        <w:t>中标通知：</w:t>
      </w:r>
      <w:r>
        <w:rPr>
          <w:rFonts w:hint="eastAsia" w:ascii="宋体" w:hAnsi="宋体" w:cs="楷体_GB2312"/>
          <w:color w:val="auto"/>
          <w:sz w:val="24"/>
          <w:lang w:val="zh-CN"/>
        </w:rPr>
        <w:t>见投标人须知前附表</w:t>
      </w:r>
    </w:p>
    <w:p>
      <w:pPr>
        <w:autoSpaceDE w:val="0"/>
        <w:autoSpaceDN w:val="0"/>
        <w:adjustRightInd w:val="0"/>
        <w:snapToGrid w:val="0"/>
        <w:spacing w:beforeLines="50" w:line="300" w:lineRule="auto"/>
        <w:ind w:firstLine="539"/>
        <w:rPr>
          <w:rFonts w:hint="eastAsia" w:ascii="黑体" w:hAnsi="黑体" w:eastAsia="黑体" w:cs="楷体_GB2312"/>
          <w:b/>
          <w:color w:val="auto"/>
          <w:sz w:val="24"/>
          <w:lang w:val="en-US" w:eastAsia="zh-CN"/>
        </w:rPr>
      </w:pPr>
      <w:r>
        <w:rPr>
          <w:rFonts w:ascii="黑体" w:hAnsi="黑体" w:eastAsia="黑体" w:cs="楷体_GB2312"/>
          <w:b/>
          <w:color w:val="auto"/>
          <w:sz w:val="24"/>
          <w:lang w:val="zh-CN"/>
        </w:rPr>
        <w:t xml:space="preserve">8.5 </w:t>
      </w:r>
      <w:r>
        <w:rPr>
          <w:rFonts w:hint="eastAsia" w:ascii="黑体" w:hAnsi="黑体" w:eastAsia="黑体" w:cs="楷体_GB2312"/>
          <w:b/>
          <w:color w:val="auto"/>
          <w:sz w:val="24"/>
          <w:lang w:val="zh-CN"/>
        </w:rPr>
        <w:t>履约保证金</w:t>
      </w:r>
      <w:r>
        <w:rPr>
          <w:rFonts w:hint="eastAsia" w:ascii="黑体" w:hAnsi="黑体" w:eastAsia="黑体" w:cs="楷体_GB2312"/>
          <w:b/>
          <w:color w:val="auto"/>
          <w:sz w:val="24"/>
          <w:lang w:val="en-US" w:eastAsia="zh-CN"/>
        </w:rPr>
        <w:t>(不收取）</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8.5.1</w:t>
      </w:r>
      <w:r>
        <w:rPr>
          <w:rFonts w:hint="eastAsia" w:ascii="宋体" w:hAnsi="宋体" w:cs="楷体_GB2312"/>
          <w:color w:val="auto"/>
          <w:sz w:val="24"/>
          <w:lang w:val="zh-CN"/>
        </w:rPr>
        <w:t>在签订合同前，中标人应按投标人须知前附表规定向采购人提交履约保证金。</w:t>
      </w:r>
    </w:p>
    <w:p>
      <w:pPr>
        <w:autoSpaceDE w:val="0"/>
        <w:autoSpaceDN w:val="0"/>
        <w:adjustRightInd w:val="0"/>
        <w:snapToGrid w:val="0"/>
        <w:spacing w:beforeLines="50" w:line="300" w:lineRule="auto"/>
        <w:ind w:firstLine="539"/>
        <w:rPr>
          <w:rFonts w:ascii="宋体" w:hAnsi="宋体" w:eastAsia="宋体" w:cs="楷体_GB2312"/>
          <w:color w:val="auto"/>
          <w:sz w:val="24"/>
          <w:lang w:val="zh-CN"/>
        </w:rPr>
      </w:pPr>
      <w:r>
        <w:rPr>
          <w:rFonts w:ascii="宋体" w:hAnsi="宋体" w:eastAsia="宋体" w:cs="楷体_GB2312"/>
          <w:color w:val="auto"/>
          <w:sz w:val="24"/>
          <w:lang w:val="zh-CN"/>
        </w:rPr>
        <w:t xml:space="preserve">8.5.2 </w:t>
      </w:r>
      <w:r>
        <w:rPr>
          <w:rFonts w:hint="eastAsia" w:ascii="宋体" w:hAnsi="宋体" w:eastAsia="宋体" w:cs="楷体_GB2312"/>
          <w:color w:val="auto"/>
          <w:sz w:val="24"/>
          <w:lang w:val="zh-CN"/>
        </w:rPr>
        <w:t>中标人不能按本章第</w:t>
      </w:r>
      <w:r>
        <w:rPr>
          <w:rFonts w:ascii="宋体" w:hAnsi="宋体" w:eastAsia="宋体" w:cs="楷体_GB2312"/>
          <w:color w:val="auto"/>
          <w:sz w:val="24"/>
          <w:lang w:val="zh-CN"/>
        </w:rPr>
        <w:t>7.5.1</w:t>
      </w:r>
      <w:r>
        <w:rPr>
          <w:rFonts w:hint="eastAsia" w:ascii="宋体" w:hAnsi="宋体" w:eastAsia="宋体" w:cs="楷体_GB2312"/>
          <w:color w:val="auto"/>
          <w:sz w:val="24"/>
          <w:lang w:val="zh-CN"/>
        </w:rPr>
        <w:t>项要求提交履约保证金的，视为放弃中标资格，给采购人及采购代理机构造成损失的，中标人还应当对超过部分予以赔偿。</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8.6 </w:t>
      </w:r>
      <w:r>
        <w:rPr>
          <w:rFonts w:hint="eastAsia" w:ascii="黑体" w:hAnsi="黑体" w:eastAsia="黑体" w:cs="楷体_GB2312"/>
          <w:b/>
          <w:color w:val="auto"/>
          <w:sz w:val="24"/>
          <w:lang w:val="zh-CN"/>
        </w:rPr>
        <w:t>签订合同</w:t>
      </w:r>
    </w:p>
    <w:p>
      <w:pPr>
        <w:autoSpaceDE w:val="0"/>
        <w:autoSpaceDN w:val="0"/>
        <w:adjustRightInd w:val="0"/>
        <w:snapToGrid w:val="0"/>
        <w:spacing w:beforeLines="50" w:line="300" w:lineRule="auto"/>
        <w:ind w:firstLine="539"/>
        <w:rPr>
          <w:rFonts w:ascii="宋体"/>
          <w:color w:val="auto"/>
          <w:sz w:val="24"/>
        </w:rPr>
      </w:pPr>
      <w:r>
        <w:rPr>
          <w:rFonts w:ascii="宋体" w:hAnsi="宋体"/>
          <w:color w:val="auto"/>
          <w:sz w:val="24"/>
        </w:rPr>
        <w:t xml:space="preserve">8.6.1 </w:t>
      </w:r>
      <w:r>
        <w:rPr>
          <w:rFonts w:hint="eastAsia" w:ascii="宋体" w:hAnsi="宋体"/>
          <w:color w:val="auto"/>
          <w:sz w:val="24"/>
        </w:rPr>
        <w:t>中标人应在《中标通知书》发出之日起</w:t>
      </w:r>
      <w:r>
        <w:rPr>
          <w:rFonts w:ascii="宋体" w:hAnsi="宋体"/>
          <w:color w:val="auto"/>
          <w:sz w:val="24"/>
        </w:rPr>
        <w:t>30</w:t>
      </w:r>
      <w:r>
        <w:rPr>
          <w:rFonts w:hint="eastAsia" w:ascii="宋体" w:hAnsi="宋体"/>
          <w:color w:val="auto"/>
          <w:sz w:val="24"/>
        </w:rPr>
        <w:t>日内，按照招标文件确定的合同文本以及中标标的、技术和服务等事项与采购人签订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政府采购合同。签订合同时需提交的其他材料见投标人须知前附表。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olor w:val="auto"/>
          <w:sz w:val="24"/>
        </w:rPr>
        <w:t xml:space="preserve">8.6.2 </w:t>
      </w:r>
      <w:r>
        <w:rPr>
          <w:rFonts w:hint="eastAsia" w:ascii="宋体" w:hAnsi="宋体"/>
          <w:color w:val="auto"/>
          <w:sz w:val="24"/>
        </w:rPr>
        <w:t>如中标人不按时签订合同、</w:t>
      </w:r>
      <w:r>
        <w:rPr>
          <w:rFonts w:hint="eastAsia" w:ascii="宋体" w:hAnsi="宋体" w:cs="楷体_GB2312"/>
          <w:color w:val="auto"/>
          <w:sz w:val="24"/>
          <w:lang w:val="zh-CN"/>
        </w:rPr>
        <w:t>拒签合同的，取消其中标资格，给采购人造成损失的，中标人还应当予以赔偿。</w:t>
      </w:r>
    </w:p>
    <w:p>
      <w:pPr>
        <w:widowControl w:val="0"/>
        <w:adjustRightInd w:val="0"/>
        <w:snapToGrid w:val="0"/>
        <w:spacing w:beforeLines="50" w:line="300" w:lineRule="auto"/>
        <w:ind w:firstLine="566"/>
        <w:rPr>
          <w:color w:val="auto"/>
          <w:sz w:val="24"/>
          <w:szCs w:val="24"/>
        </w:rPr>
      </w:pPr>
      <w:r>
        <w:rPr>
          <w:color w:val="auto"/>
          <w:sz w:val="24"/>
          <w:szCs w:val="24"/>
        </w:rPr>
        <w:t>8.6.3</w:t>
      </w:r>
      <w:r>
        <w:rPr>
          <w:rFonts w:hint="eastAsia"/>
          <w:color w:val="auto"/>
          <w:sz w:val="24"/>
          <w:szCs w:val="24"/>
        </w:rPr>
        <w:t>合同生效：中标人与采购人签订的合同，双方签字后盖章生效，</w:t>
      </w:r>
      <w:r>
        <w:rPr>
          <w:rFonts w:hint="eastAsia" w:ascii="宋体" w:hAnsi="宋体"/>
          <w:color w:val="auto"/>
          <w:sz w:val="24"/>
          <w:szCs w:val="24"/>
        </w:rPr>
        <w:t>并在</w:t>
      </w:r>
      <w:r>
        <w:rPr>
          <w:rFonts w:ascii="宋体" w:hAnsi="宋体"/>
          <w:color w:val="auto"/>
          <w:sz w:val="24"/>
          <w:szCs w:val="24"/>
        </w:rPr>
        <w:t>7</w:t>
      </w:r>
      <w:r>
        <w:rPr>
          <w:rFonts w:hint="eastAsia" w:ascii="宋体" w:hAnsi="宋体"/>
          <w:color w:val="auto"/>
          <w:sz w:val="24"/>
          <w:szCs w:val="24"/>
        </w:rPr>
        <w:t>个工作日内报同级政府采购监管部门备案</w:t>
      </w:r>
      <w:r>
        <w:rPr>
          <w:rFonts w:hint="eastAsia"/>
          <w:color w:val="auto"/>
          <w:sz w:val="24"/>
          <w:szCs w:val="24"/>
        </w:rPr>
        <w:t>。</w:t>
      </w:r>
    </w:p>
    <w:p>
      <w:pPr>
        <w:widowControl w:val="0"/>
        <w:adjustRightInd w:val="0"/>
        <w:snapToGrid w:val="0"/>
        <w:spacing w:beforeLines="50" w:line="300" w:lineRule="auto"/>
        <w:ind w:firstLine="549"/>
        <w:rPr>
          <w:color w:val="auto"/>
          <w:sz w:val="24"/>
          <w:szCs w:val="24"/>
        </w:rPr>
      </w:pPr>
      <w:r>
        <w:rPr>
          <w:color w:val="auto"/>
          <w:sz w:val="24"/>
          <w:szCs w:val="24"/>
        </w:rPr>
        <w:t xml:space="preserve">8.6.4 </w:t>
      </w:r>
      <w:r>
        <w:rPr>
          <w:rFonts w:hint="eastAsia"/>
          <w:color w:val="auto"/>
          <w:sz w:val="24"/>
          <w:szCs w:val="24"/>
        </w:rPr>
        <w:t>《中标通知书》、招标文件</w:t>
      </w:r>
      <w:r>
        <w:rPr>
          <w:rFonts w:hint="eastAsia"/>
          <w:color w:val="auto"/>
          <w:spacing w:val="20"/>
          <w:sz w:val="24"/>
          <w:szCs w:val="24"/>
        </w:rPr>
        <w:t>及其修改补充澄清</w:t>
      </w:r>
      <w:r>
        <w:rPr>
          <w:rFonts w:hint="eastAsia"/>
          <w:color w:val="auto"/>
          <w:sz w:val="24"/>
          <w:szCs w:val="24"/>
        </w:rPr>
        <w:t>、中标人的投标文件及</w:t>
      </w:r>
      <w:r>
        <w:rPr>
          <w:rFonts w:hint="eastAsia"/>
          <w:color w:val="auto"/>
          <w:spacing w:val="20"/>
          <w:sz w:val="24"/>
          <w:szCs w:val="24"/>
        </w:rPr>
        <w:t>及其修改补充澄清</w:t>
      </w:r>
      <w:r>
        <w:rPr>
          <w:rFonts w:hint="eastAsia"/>
          <w:color w:val="auto"/>
          <w:sz w:val="24"/>
          <w:szCs w:val="24"/>
        </w:rPr>
        <w:t>等，均为签订合同的依据。所定合同不得对招标文件和中标人的投标文件作实质性修改，采购人和中标人不得私下订立背离合同实质性内容的协议。</w:t>
      </w:r>
    </w:p>
    <w:p>
      <w:pPr>
        <w:widowControl w:val="0"/>
        <w:adjustRightInd w:val="0"/>
        <w:snapToGrid w:val="0"/>
        <w:spacing w:beforeLines="50" w:line="300" w:lineRule="auto"/>
        <w:ind w:firstLine="549"/>
        <w:rPr>
          <w:color w:val="auto"/>
          <w:sz w:val="24"/>
          <w:szCs w:val="24"/>
        </w:rPr>
      </w:pPr>
      <w:r>
        <w:rPr>
          <w:color w:val="auto"/>
          <w:sz w:val="24"/>
          <w:szCs w:val="24"/>
        </w:rPr>
        <w:t xml:space="preserve">8.6.5 </w:t>
      </w:r>
      <w:r>
        <w:rPr>
          <w:rFonts w:hint="eastAsia"/>
          <w:color w:val="auto"/>
          <w:sz w:val="24"/>
          <w:szCs w:val="24"/>
        </w:rPr>
        <w:t>评审会后，中标人、采购人之间擅自私下谈判、变更中标标的、价格及招投标文件实质性内容的，有关部门将按《中华人民共和国政府采购法》及相关法规的规定处理。</w:t>
      </w:r>
    </w:p>
    <w:p>
      <w:pPr>
        <w:widowControl w:val="0"/>
        <w:adjustRightInd w:val="0"/>
        <w:snapToGrid w:val="0"/>
        <w:spacing w:beforeLines="50" w:line="300" w:lineRule="auto"/>
        <w:ind w:firstLine="549"/>
        <w:rPr>
          <w:color w:val="auto"/>
          <w:sz w:val="24"/>
          <w:szCs w:val="24"/>
        </w:rPr>
      </w:pPr>
      <w:r>
        <w:rPr>
          <w:color w:val="auto"/>
          <w:sz w:val="24"/>
          <w:szCs w:val="24"/>
        </w:rPr>
        <w:t xml:space="preserve">8.6.7 </w:t>
      </w:r>
      <w:r>
        <w:rPr>
          <w:rFonts w:hint="eastAsia"/>
          <w:color w:val="auto"/>
          <w:sz w:val="24"/>
          <w:szCs w:val="24"/>
        </w:rPr>
        <w:t>采购人与中标人签订《政府采购合同》后，合同履行中产生的纠纷、争议，由采购人与中标人按合同条款及《中华人民共和国合同法》处理。</w:t>
      </w:r>
    </w:p>
    <w:p>
      <w:pPr>
        <w:widowControl w:val="0"/>
        <w:adjustRightInd w:val="0"/>
        <w:snapToGrid w:val="0"/>
        <w:spacing w:beforeLines="50" w:line="300" w:lineRule="auto"/>
        <w:ind w:firstLine="556"/>
        <w:rPr>
          <w:rFonts w:ascii="黑体" w:hAnsi="黑体" w:eastAsia="黑体" w:cs="楷体_GB2312"/>
          <w:b/>
          <w:color w:val="auto"/>
          <w:sz w:val="24"/>
          <w:lang w:val="zh-CN"/>
        </w:rPr>
      </w:pPr>
      <w:r>
        <w:rPr>
          <w:rFonts w:ascii="黑体" w:hAnsi="黑体" w:eastAsia="黑体" w:cs="楷体_GB2312"/>
          <w:b/>
          <w:color w:val="auto"/>
          <w:sz w:val="24"/>
          <w:lang w:val="zh-CN"/>
        </w:rPr>
        <w:t xml:space="preserve">8.7 </w:t>
      </w:r>
      <w:r>
        <w:rPr>
          <w:rFonts w:hint="eastAsia" w:ascii="黑体" w:hAnsi="黑体" w:eastAsia="黑体" w:cs="楷体_GB2312"/>
          <w:b/>
          <w:color w:val="auto"/>
          <w:sz w:val="24"/>
          <w:lang w:val="zh-CN"/>
        </w:rPr>
        <w:t>合同补充变更</w:t>
      </w:r>
    </w:p>
    <w:p>
      <w:pPr>
        <w:widowControl w:val="0"/>
        <w:adjustRightInd w:val="0"/>
        <w:snapToGrid w:val="0"/>
        <w:spacing w:beforeLines="50" w:line="300" w:lineRule="auto"/>
        <w:ind w:firstLine="555"/>
        <w:rPr>
          <w:color w:val="auto"/>
          <w:sz w:val="24"/>
          <w:szCs w:val="24"/>
        </w:rPr>
      </w:pPr>
      <w:r>
        <w:rPr>
          <w:color w:val="auto"/>
          <w:sz w:val="24"/>
          <w:szCs w:val="24"/>
        </w:rPr>
        <w:t>8.7.1</w:t>
      </w:r>
      <w:r>
        <w:rPr>
          <w:rFonts w:hint="eastAsia"/>
          <w:color w:val="auto"/>
          <w:sz w:val="24"/>
          <w:szCs w:val="24"/>
        </w:rPr>
        <w:t>政府采购合同履行中，采购人需追加或减少与合同标的相同的货物和服务的（即追加或减少原合同标的数量），在不改变合同条款（包括原合同单价）的前提下，双方可以协商签订补充合同，但所有补充合同总金额不得超过原合同采购金额的</w:t>
      </w:r>
      <w:r>
        <w:rPr>
          <w:color w:val="auto"/>
          <w:sz w:val="24"/>
          <w:szCs w:val="24"/>
        </w:rPr>
        <w:t>10%</w:t>
      </w:r>
      <w:r>
        <w:rPr>
          <w:rFonts w:hint="eastAsia"/>
          <w:color w:val="auto"/>
          <w:sz w:val="24"/>
          <w:szCs w:val="24"/>
        </w:rPr>
        <w:t>，不得调增原合同单价，不得超出项目预算，超过原合同采购金额的</w:t>
      </w:r>
      <w:r>
        <w:rPr>
          <w:color w:val="auto"/>
          <w:sz w:val="24"/>
          <w:szCs w:val="24"/>
        </w:rPr>
        <w:t>10%</w:t>
      </w:r>
      <w:r>
        <w:rPr>
          <w:rFonts w:hint="eastAsia"/>
          <w:color w:val="auto"/>
          <w:sz w:val="24"/>
          <w:szCs w:val="24"/>
        </w:rPr>
        <w:t>，应重新组织采购活动。</w:t>
      </w:r>
    </w:p>
    <w:p>
      <w:pPr>
        <w:widowControl w:val="0"/>
        <w:adjustRightInd w:val="0"/>
        <w:snapToGrid w:val="0"/>
        <w:spacing w:beforeLines="50" w:line="300" w:lineRule="auto"/>
        <w:ind w:firstLine="555"/>
        <w:rPr>
          <w:color w:val="auto"/>
          <w:sz w:val="24"/>
          <w:szCs w:val="24"/>
        </w:rPr>
      </w:pPr>
      <w:r>
        <w:rPr>
          <w:b/>
          <w:color w:val="auto"/>
          <w:sz w:val="24"/>
          <w:szCs w:val="24"/>
        </w:rPr>
        <w:t>8.7.2</w:t>
      </w:r>
      <w:r>
        <w:rPr>
          <w:rFonts w:hint="eastAsia"/>
          <w:color w:val="auto"/>
          <w:sz w:val="24"/>
          <w:szCs w:val="24"/>
        </w:rPr>
        <w:t>采购人需追加或减少的货物和服务金额达到</w:t>
      </w:r>
      <w:r>
        <w:rPr>
          <w:color w:val="auto"/>
          <w:sz w:val="24"/>
          <w:szCs w:val="24"/>
        </w:rPr>
        <w:t>50</w:t>
      </w:r>
      <w:r>
        <w:rPr>
          <w:rFonts w:hint="eastAsia"/>
          <w:color w:val="auto"/>
          <w:sz w:val="24"/>
          <w:szCs w:val="24"/>
        </w:rPr>
        <w:t>万元以上（含</w:t>
      </w:r>
      <w:r>
        <w:rPr>
          <w:color w:val="auto"/>
          <w:sz w:val="24"/>
          <w:szCs w:val="24"/>
        </w:rPr>
        <w:t>50</w:t>
      </w:r>
      <w:r>
        <w:rPr>
          <w:rFonts w:hint="eastAsia"/>
          <w:color w:val="auto"/>
          <w:sz w:val="24"/>
          <w:szCs w:val="24"/>
        </w:rPr>
        <w:t>万元）、且超过中标价</w:t>
      </w:r>
      <w:r>
        <w:rPr>
          <w:color w:val="auto"/>
          <w:sz w:val="24"/>
          <w:szCs w:val="24"/>
        </w:rPr>
        <w:t>3%</w:t>
      </w:r>
      <w:r>
        <w:rPr>
          <w:rFonts w:hint="eastAsia"/>
          <w:color w:val="auto"/>
          <w:sz w:val="24"/>
          <w:szCs w:val="24"/>
        </w:rPr>
        <w:t>的，采购人应当自确定变更之日起</w:t>
      </w:r>
      <w:r>
        <w:rPr>
          <w:color w:val="auto"/>
          <w:sz w:val="24"/>
          <w:szCs w:val="24"/>
        </w:rPr>
        <w:t>5</w:t>
      </w:r>
      <w:r>
        <w:rPr>
          <w:rFonts w:hint="eastAsia"/>
          <w:color w:val="auto"/>
          <w:sz w:val="24"/>
          <w:szCs w:val="24"/>
        </w:rPr>
        <w:t>个工作日内将变更情况及事由报送同级监察机关。</w:t>
      </w:r>
    </w:p>
    <w:p>
      <w:pPr>
        <w:widowControl w:val="0"/>
        <w:adjustRightInd w:val="0"/>
        <w:snapToGrid w:val="0"/>
        <w:spacing w:beforeLines="50" w:line="300" w:lineRule="auto"/>
        <w:ind w:firstLine="555"/>
        <w:rPr>
          <w:color w:val="auto"/>
          <w:sz w:val="24"/>
          <w:szCs w:val="24"/>
        </w:rPr>
      </w:pPr>
      <w:r>
        <w:rPr>
          <w:rFonts w:hint="eastAsia"/>
          <w:color w:val="auto"/>
          <w:sz w:val="24"/>
          <w:szCs w:val="24"/>
        </w:rPr>
        <w:t>招标项目在中标后经有关行政机关批准变更的，批准的行政机关应当自批准之日起</w:t>
      </w:r>
      <w:r>
        <w:rPr>
          <w:color w:val="auto"/>
          <w:sz w:val="24"/>
          <w:szCs w:val="24"/>
        </w:rPr>
        <w:t>3</w:t>
      </w:r>
      <w:r>
        <w:rPr>
          <w:rFonts w:hint="eastAsia"/>
          <w:color w:val="auto"/>
          <w:sz w:val="24"/>
          <w:szCs w:val="24"/>
        </w:rPr>
        <w:t>个工作日内将批准文件抄送同级监察机关备案。</w:t>
      </w:r>
    </w:p>
    <w:p>
      <w:pPr>
        <w:widowControl w:val="0"/>
        <w:adjustRightInd w:val="0"/>
        <w:snapToGrid w:val="0"/>
        <w:spacing w:beforeLines="50" w:line="300" w:lineRule="auto"/>
        <w:ind w:firstLine="555"/>
        <w:rPr>
          <w:color w:val="auto"/>
          <w:sz w:val="24"/>
          <w:szCs w:val="24"/>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highlight w:val="none"/>
          <w:lang w:val="zh-CN"/>
        </w:rPr>
      </w:pPr>
      <w:bookmarkStart w:id="17" w:name="_Toc529805763"/>
      <w:r>
        <w:rPr>
          <w:rFonts w:ascii="黑体" w:hAnsi="黑体" w:eastAsia="黑体" w:cs="楷体_GB2312"/>
          <w:b/>
          <w:bCs/>
          <w:color w:val="auto"/>
          <w:sz w:val="28"/>
          <w:szCs w:val="28"/>
          <w:highlight w:val="none"/>
          <w:lang w:val="zh-CN"/>
        </w:rPr>
        <w:t xml:space="preserve">9 </w:t>
      </w:r>
      <w:r>
        <w:rPr>
          <w:rFonts w:hint="eastAsia" w:ascii="黑体" w:hAnsi="黑体" w:eastAsia="黑体" w:cs="楷体_GB2312"/>
          <w:b/>
          <w:bCs/>
          <w:color w:val="auto"/>
          <w:sz w:val="28"/>
          <w:szCs w:val="28"/>
          <w:highlight w:val="none"/>
          <w:lang w:val="zh-CN"/>
        </w:rPr>
        <w:t>考核</w:t>
      </w:r>
      <w:bookmarkEnd w:id="17"/>
    </w:p>
    <w:p>
      <w:pPr>
        <w:widowControl w:val="0"/>
        <w:adjustRightInd w:val="0"/>
        <w:snapToGrid w:val="0"/>
        <w:spacing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9.1</w:t>
      </w:r>
      <w:r>
        <w:rPr>
          <w:rFonts w:hint="eastAsia" w:ascii="宋体" w:hAnsi="宋体" w:cs="楷体_GB2312"/>
          <w:color w:val="auto"/>
          <w:sz w:val="24"/>
          <w:highlight w:val="none"/>
          <w:lang w:val="zh-CN"/>
        </w:rPr>
        <w:t>考核时间：每季度进行一次考核。</w:t>
      </w:r>
    </w:p>
    <w:p>
      <w:pPr>
        <w:widowControl w:val="0"/>
        <w:adjustRightInd w:val="0"/>
        <w:snapToGrid w:val="0"/>
        <w:spacing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9.2</w:t>
      </w:r>
      <w:r>
        <w:rPr>
          <w:rFonts w:hint="eastAsia" w:ascii="宋体" w:hAnsi="宋体" w:cs="楷体_GB2312"/>
          <w:color w:val="auto"/>
          <w:sz w:val="24"/>
          <w:highlight w:val="none"/>
          <w:lang w:val="zh-CN"/>
        </w:rPr>
        <w:t>考核工作组：合同履约考核工作应成立考核工作组专门负责，考核工作组应不少于三人。考核工作由采购人组织考核；大型、复杂或者技术性很强的政府招标项目，应当邀请国家认可的质量检测机构参加考核工作；国家规定强制性检测的招标项目，采购人必须委托国家认可专业检测机构进行考核。</w:t>
      </w:r>
    </w:p>
    <w:p>
      <w:pPr>
        <w:widowControl w:val="0"/>
        <w:adjustRightInd w:val="0"/>
        <w:snapToGrid w:val="0"/>
        <w:spacing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9.3</w:t>
      </w:r>
      <w:r>
        <w:rPr>
          <w:rFonts w:hint="eastAsia" w:ascii="宋体" w:hAnsi="宋体" w:cs="楷体_GB2312"/>
          <w:color w:val="auto"/>
          <w:sz w:val="24"/>
          <w:highlight w:val="none"/>
          <w:lang w:val="zh-CN"/>
        </w:rPr>
        <w:t>考核结果：考核后，由采购人填写考核记录表。</w:t>
      </w:r>
    </w:p>
    <w:p>
      <w:pPr>
        <w:widowControl w:val="0"/>
        <w:adjustRightInd w:val="0"/>
        <w:snapToGrid w:val="0"/>
        <w:spacing w:beforeLines="50" w:line="300" w:lineRule="auto"/>
        <w:ind w:firstLine="561"/>
        <w:rPr>
          <w:rFonts w:ascii="宋体" w:cs="楷体_GB2312"/>
          <w:color w:val="auto"/>
          <w:sz w:val="24"/>
          <w:lang w:val="zh-CN"/>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18" w:name="_Toc529805764"/>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付款</w:t>
      </w:r>
      <w:bookmarkEnd w:id="18"/>
    </w:p>
    <w:p>
      <w:pPr>
        <w:widowControl w:val="0"/>
        <w:adjustRightInd w:val="0"/>
        <w:snapToGrid w:val="0"/>
        <w:spacing w:beforeLines="50" w:line="300" w:lineRule="auto"/>
        <w:ind w:firstLine="561"/>
        <w:rPr>
          <w:rFonts w:ascii="宋体" w:cs="楷体_GB2312"/>
          <w:color w:val="auto"/>
          <w:sz w:val="24"/>
          <w:lang w:val="zh-CN"/>
        </w:rPr>
      </w:pPr>
      <w:r>
        <w:rPr>
          <w:rFonts w:hint="eastAsia" w:ascii="宋体" w:hAnsi="宋体" w:cs="楷体_GB2312"/>
          <w:color w:val="auto"/>
          <w:sz w:val="24"/>
          <w:lang w:val="zh-CN"/>
        </w:rPr>
        <w:t>见投标人须知前附表</w:t>
      </w:r>
    </w:p>
    <w:p>
      <w:pPr>
        <w:widowControl w:val="0"/>
        <w:adjustRightInd w:val="0"/>
        <w:snapToGrid w:val="0"/>
        <w:spacing w:beforeLines="50" w:line="300" w:lineRule="auto"/>
        <w:ind w:firstLine="561"/>
        <w:rPr>
          <w:rFonts w:ascii="黑体" w:hAnsi="黑体" w:eastAsia="黑体" w:cs="楷体_GB2312"/>
          <w:b/>
          <w:bCs/>
          <w:color w:val="auto"/>
          <w:sz w:val="28"/>
          <w:szCs w:val="28"/>
          <w:lang w:val="zh-CN"/>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19" w:name="_Toc529805765"/>
      <w:r>
        <w:rPr>
          <w:rFonts w:ascii="黑体" w:hAnsi="黑体" w:eastAsia="黑体" w:cs="楷体_GB2312"/>
          <w:b/>
          <w:bCs/>
          <w:color w:val="auto"/>
          <w:sz w:val="28"/>
          <w:szCs w:val="28"/>
          <w:lang w:val="zh-CN"/>
        </w:rPr>
        <w:t xml:space="preserve">11 </w:t>
      </w:r>
      <w:r>
        <w:rPr>
          <w:rFonts w:hint="eastAsia" w:ascii="黑体" w:hAnsi="黑体" w:eastAsia="黑体" w:cs="楷体_GB2312"/>
          <w:b/>
          <w:bCs/>
          <w:color w:val="auto"/>
          <w:sz w:val="28"/>
          <w:szCs w:val="28"/>
          <w:lang w:val="zh-CN"/>
        </w:rPr>
        <w:t>其他</w:t>
      </w:r>
      <w:bookmarkEnd w:id="19"/>
    </w:p>
    <w:p>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ascii="宋体" w:cs="楷体_GB2312"/>
          <w:color w:val="auto"/>
          <w:sz w:val="24"/>
          <w:lang w:val="zh-CN"/>
        </w:rPr>
        <w:t>1</w:t>
      </w:r>
      <w:r>
        <w:rPr>
          <w:rFonts w:ascii="宋体" w:hAnsi="宋体" w:cs="楷体_GB2312"/>
          <w:color w:val="auto"/>
          <w:sz w:val="24"/>
          <w:lang w:val="zh-CN"/>
        </w:rPr>
        <w:t>.1</w:t>
      </w:r>
      <w:r>
        <w:rPr>
          <w:rFonts w:hint="eastAsia" w:ascii="宋体" w:hAnsi="宋体" w:cs="楷体_GB2312"/>
          <w:color w:val="auto"/>
          <w:sz w:val="24"/>
          <w:lang w:val="zh-CN"/>
        </w:rPr>
        <w:t>中标服务费等：见投标人须知前附表</w:t>
      </w:r>
    </w:p>
    <w:p>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ascii="宋体" w:cs="楷体_GB2312"/>
          <w:color w:val="auto"/>
          <w:sz w:val="24"/>
          <w:lang w:val="zh-CN"/>
        </w:rPr>
        <w:t>1.</w:t>
      </w:r>
      <w:r>
        <w:rPr>
          <w:rFonts w:ascii="宋体" w:hAnsi="宋体" w:cs="楷体_GB2312"/>
          <w:color w:val="auto"/>
          <w:sz w:val="24"/>
          <w:lang w:val="zh-CN"/>
        </w:rPr>
        <w:t xml:space="preserve">2 </w:t>
      </w:r>
      <w:r>
        <w:rPr>
          <w:rFonts w:hint="eastAsia" w:ascii="宋体" w:hAnsi="宋体" w:cs="楷体_GB2312"/>
          <w:color w:val="auto"/>
          <w:sz w:val="24"/>
          <w:lang w:val="zh-CN"/>
        </w:rPr>
        <w:t>投标人资格条件中包含非法人单位的，招标文件中法定代表人一词相应包含表示证照标示的负责人；投标人资格条件中包含自然人的，招标文件中法定代表人一词相应包含表示自然人，自然人应由其本人签署投标文件、参加投标，不应再授权他人。</w:t>
      </w:r>
    </w:p>
    <w:p>
      <w:pPr>
        <w:widowControl w:val="0"/>
        <w:autoSpaceDE w:val="0"/>
        <w:autoSpaceDN w:val="0"/>
        <w:adjustRightInd w:val="0"/>
        <w:spacing w:beforeLines="50" w:line="300" w:lineRule="auto"/>
        <w:ind w:firstLine="480" w:firstLineChars="200"/>
        <w:jc w:val="left"/>
        <w:textAlignment w:val="auto"/>
        <w:rPr>
          <w:rFonts w:eastAsia="黑体"/>
          <w:b/>
          <w:color w:val="auto"/>
          <w:sz w:val="44"/>
        </w:rPr>
      </w:pPr>
      <w:r>
        <w:rPr>
          <w:rFonts w:ascii="宋体" w:hAnsi="宋体" w:cs="楷体_GB2312"/>
          <w:color w:val="auto"/>
          <w:sz w:val="24"/>
          <w:lang w:val="zh-CN"/>
        </w:rPr>
        <w:t xml:space="preserve">11.3 </w:t>
      </w:r>
      <w:r>
        <w:rPr>
          <w:rFonts w:hint="eastAsia" w:ascii="宋体" w:hAnsi="宋体" w:cs="楷体_GB2312"/>
          <w:color w:val="auto"/>
          <w:sz w:val="24"/>
          <w:lang w:val="zh-CN"/>
        </w:rPr>
        <w:t>招标文件第一章至第四章各章中，用序号标示条、款、项、目，例如：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r>
        <w:rPr>
          <w:rFonts w:eastAsia="黑体"/>
          <w:b/>
          <w:color w:val="auto"/>
          <w:sz w:val="44"/>
        </w:rPr>
        <w:br w:type="page"/>
      </w:r>
      <w:bookmarkStart w:id="20" w:name="_Toc427683952"/>
      <w:bookmarkStart w:id="21" w:name="_Toc423723402"/>
      <w:bookmarkStart w:id="22" w:name="_Toc427683909"/>
    </w:p>
    <w:p>
      <w:pPr>
        <w:widowControl w:val="0"/>
        <w:snapToGrid w:val="0"/>
        <w:spacing w:line="360" w:lineRule="auto"/>
        <w:ind w:firstLine="566"/>
        <w:jc w:val="center"/>
        <w:rPr>
          <w:rFonts w:ascii="黑体" w:hAnsi="黑体" w:eastAsia="黑体"/>
          <w:b/>
          <w:color w:val="auto"/>
          <w:sz w:val="36"/>
          <w:szCs w:val="36"/>
          <w:lang w:val="zh-CN"/>
        </w:rPr>
      </w:pPr>
    </w:p>
    <w:p>
      <w:pPr>
        <w:widowControl w:val="0"/>
        <w:snapToGrid w:val="0"/>
        <w:spacing w:line="360" w:lineRule="auto"/>
        <w:jc w:val="center"/>
        <w:outlineLvl w:val="0"/>
        <w:rPr>
          <w:rFonts w:ascii="黑体" w:hAnsi="黑体" w:eastAsia="黑体"/>
          <w:b/>
          <w:color w:val="auto"/>
          <w:sz w:val="36"/>
          <w:szCs w:val="36"/>
          <w:lang w:val="zh-CN"/>
        </w:rPr>
      </w:pPr>
      <w:bookmarkStart w:id="23" w:name="_Toc529805766"/>
      <w:r>
        <w:rPr>
          <w:rFonts w:hint="eastAsia" w:ascii="黑体" w:hAnsi="黑体" w:eastAsia="黑体"/>
          <w:b/>
          <w:color w:val="auto"/>
          <w:sz w:val="36"/>
          <w:szCs w:val="36"/>
          <w:lang w:val="zh-CN"/>
        </w:rPr>
        <w:t>第四章评标办法</w:t>
      </w:r>
      <w:bookmarkEnd w:id="20"/>
      <w:bookmarkEnd w:id="21"/>
      <w:bookmarkEnd w:id="22"/>
      <w:bookmarkEnd w:id="23"/>
    </w:p>
    <w:p>
      <w:pPr>
        <w:spacing w:line="500" w:lineRule="exact"/>
        <w:jc w:val="center"/>
        <w:outlineLvl w:val="1"/>
        <w:rPr>
          <w:color w:val="auto"/>
          <w:lang w:val="zh-CN"/>
        </w:rPr>
      </w:pPr>
      <w:bookmarkStart w:id="24" w:name="_Toc529805767"/>
      <w:r>
        <w:rPr>
          <w:rFonts w:hint="eastAsia" w:ascii="黑体" w:hAnsi="黑体" w:eastAsia="黑体"/>
          <w:b/>
          <w:color w:val="auto"/>
          <w:sz w:val="28"/>
          <w:szCs w:val="28"/>
        </w:rPr>
        <w:t>评标办法前附表</w:t>
      </w:r>
      <w:bookmarkEnd w:id="24"/>
    </w:p>
    <w:tbl>
      <w:tblPr>
        <w:tblStyle w:val="23"/>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pPr>
              <w:pStyle w:val="67"/>
              <w:jc w:val="center"/>
              <w:rPr>
                <w:rFonts w:hAnsi="宋体"/>
                <w:b/>
                <w:color w:val="auto"/>
                <w:szCs w:val="24"/>
              </w:rPr>
            </w:pPr>
            <w:r>
              <w:rPr>
                <w:rFonts w:hint="eastAsia" w:hAnsi="宋体"/>
                <w:b/>
                <w:color w:val="auto"/>
                <w:szCs w:val="24"/>
              </w:rPr>
              <w:t>条款号</w:t>
            </w:r>
          </w:p>
        </w:tc>
        <w:tc>
          <w:tcPr>
            <w:tcW w:w="3177" w:type="dxa"/>
            <w:gridSpan w:val="2"/>
            <w:vAlign w:val="center"/>
          </w:tcPr>
          <w:p>
            <w:pPr>
              <w:pStyle w:val="67"/>
              <w:jc w:val="center"/>
              <w:rPr>
                <w:rFonts w:hAnsi="宋体"/>
                <w:b/>
                <w:color w:val="auto"/>
                <w:szCs w:val="24"/>
              </w:rPr>
            </w:pPr>
            <w:r>
              <w:rPr>
                <w:rFonts w:hint="eastAsia" w:hAnsi="宋体"/>
                <w:b/>
                <w:color w:val="auto"/>
                <w:szCs w:val="24"/>
              </w:rPr>
              <w:t>评审因素</w:t>
            </w:r>
          </w:p>
        </w:tc>
        <w:tc>
          <w:tcPr>
            <w:tcW w:w="5736" w:type="dxa"/>
            <w:vAlign w:val="center"/>
          </w:tcPr>
          <w:p>
            <w:pPr>
              <w:pStyle w:val="67"/>
              <w:jc w:val="center"/>
              <w:rPr>
                <w:rFonts w:hAnsi="宋体"/>
                <w:b/>
                <w:color w:val="auto"/>
                <w:szCs w:val="24"/>
              </w:rPr>
            </w:pPr>
            <w:r>
              <w:rPr>
                <w:rFonts w:hint="eastAsia" w:hAnsi="宋体"/>
                <w:b/>
                <w:color w:val="auto"/>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pPr>
              <w:pStyle w:val="67"/>
              <w:spacing w:line="360" w:lineRule="auto"/>
              <w:ind w:right="-160" w:rightChars="-76"/>
              <w:jc w:val="center"/>
              <w:rPr>
                <w:rFonts w:hAnsi="宋体"/>
                <w:color w:val="auto"/>
                <w:szCs w:val="24"/>
              </w:rPr>
            </w:pPr>
            <w:r>
              <w:rPr>
                <w:rFonts w:hAnsi="宋体"/>
                <w:color w:val="auto"/>
                <w:szCs w:val="24"/>
              </w:rPr>
              <w:t>2.1</w:t>
            </w:r>
          </w:p>
        </w:tc>
        <w:tc>
          <w:tcPr>
            <w:tcW w:w="560" w:type="dxa"/>
            <w:vMerge w:val="restart"/>
            <w:vAlign w:val="center"/>
          </w:tcPr>
          <w:p>
            <w:pPr>
              <w:pStyle w:val="67"/>
              <w:spacing w:line="360" w:lineRule="auto"/>
              <w:jc w:val="center"/>
              <w:rPr>
                <w:rFonts w:hAnsi="宋体"/>
                <w:color w:val="auto"/>
                <w:szCs w:val="24"/>
              </w:rPr>
            </w:pPr>
            <w:r>
              <w:rPr>
                <w:rFonts w:hint="eastAsia" w:hAnsi="宋体"/>
                <w:color w:val="auto"/>
                <w:szCs w:val="24"/>
              </w:rPr>
              <w:t>符</w:t>
            </w:r>
          </w:p>
          <w:p>
            <w:pPr>
              <w:pStyle w:val="67"/>
              <w:spacing w:line="360" w:lineRule="auto"/>
              <w:jc w:val="center"/>
              <w:rPr>
                <w:rFonts w:hAnsi="宋体"/>
                <w:color w:val="auto"/>
                <w:szCs w:val="24"/>
              </w:rPr>
            </w:pPr>
            <w:r>
              <w:rPr>
                <w:rFonts w:hint="eastAsia" w:hAnsi="宋体"/>
                <w:color w:val="auto"/>
                <w:szCs w:val="24"/>
              </w:rPr>
              <w:t>合</w:t>
            </w:r>
          </w:p>
          <w:p>
            <w:pPr>
              <w:pStyle w:val="67"/>
              <w:spacing w:line="360" w:lineRule="auto"/>
              <w:jc w:val="center"/>
              <w:rPr>
                <w:rFonts w:hAnsi="宋体"/>
                <w:color w:val="auto"/>
                <w:szCs w:val="24"/>
              </w:rPr>
            </w:pPr>
            <w:r>
              <w:rPr>
                <w:rFonts w:hint="eastAsia" w:hAnsi="宋体"/>
                <w:color w:val="auto"/>
                <w:szCs w:val="24"/>
              </w:rPr>
              <w:t>性</w:t>
            </w:r>
          </w:p>
          <w:p>
            <w:pPr>
              <w:pStyle w:val="67"/>
              <w:spacing w:line="360" w:lineRule="auto"/>
              <w:jc w:val="center"/>
              <w:rPr>
                <w:rFonts w:hAnsi="宋体"/>
                <w:color w:val="auto"/>
                <w:szCs w:val="24"/>
              </w:rPr>
            </w:pPr>
            <w:r>
              <w:rPr>
                <w:rFonts w:hint="eastAsia" w:hAnsi="宋体"/>
                <w:color w:val="auto"/>
                <w:szCs w:val="24"/>
              </w:rPr>
              <w:t>审</w:t>
            </w:r>
          </w:p>
          <w:p>
            <w:pPr>
              <w:pStyle w:val="67"/>
              <w:spacing w:line="360" w:lineRule="auto"/>
              <w:jc w:val="center"/>
              <w:rPr>
                <w:rFonts w:hAnsi="宋体"/>
                <w:color w:val="auto"/>
                <w:szCs w:val="24"/>
              </w:rPr>
            </w:pPr>
            <w:r>
              <w:rPr>
                <w:rFonts w:hint="eastAsia" w:hAnsi="宋体"/>
                <w:color w:val="auto"/>
                <w:szCs w:val="24"/>
              </w:rPr>
              <w:t>查</w:t>
            </w:r>
          </w:p>
        </w:tc>
        <w:tc>
          <w:tcPr>
            <w:tcW w:w="960" w:type="dxa"/>
            <w:vMerge w:val="restart"/>
            <w:vAlign w:val="center"/>
          </w:tcPr>
          <w:p>
            <w:pPr>
              <w:pStyle w:val="67"/>
              <w:adjustRightInd/>
              <w:snapToGrid w:val="0"/>
              <w:jc w:val="center"/>
              <w:rPr>
                <w:rFonts w:hAnsi="宋体"/>
                <w:color w:val="auto"/>
                <w:szCs w:val="24"/>
              </w:rPr>
            </w:pPr>
            <w:r>
              <w:rPr>
                <w:rFonts w:hint="eastAsia" w:hAnsi="宋体"/>
                <w:color w:val="auto"/>
                <w:szCs w:val="24"/>
              </w:rPr>
              <w:t>有效性</w:t>
            </w:r>
          </w:p>
        </w:tc>
        <w:tc>
          <w:tcPr>
            <w:tcW w:w="2217" w:type="dxa"/>
            <w:vAlign w:val="center"/>
          </w:tcPr>
          <w:p>
            <w:pPr>
              <w:pStyle w:val="67"/>
              <w:adjustRightInd/>
              <w:snapToGrid w:val="0"/>
              <w:jc w:val="center"/>
              <w:rPr>
                <w:rFonts w:hAnsi="宋体"/>
                <w:color w:val="auto"/>
                <w:szCs w:val="24"/>
              </w:rPr>
            </w:pPr>
            <w:r>
              <w:rPr>
                <w:rFonts w:hint="eastAsia" w:hAnsi="宋体"/>
                <w:color w:val="auto"/>
                <w:szCs w:val="24"/>
              </w:rPr>
              <w:t>投标人名称</w:t>
            </w:r>
          </w:p>
        </w:tc>
        <w:tc>
          <w:tcPr>
            <w:tcW w:w="5736" w:type="dxa"/>
            <w:vAlign w:val="center"/>
          </w:tcPr>
          <w:p>
            <w:pPr>
              <w:pStyle w:val="67"/>
              <w:adjustRightInd/>
              <w:snapToGrid w:val="0"/>
              <w:rPr>
                <w:rFonts w:hAnsi="宋体"/>
                <w:color w:val="auto"/>
                <w:szCs w:val="24"/>
              </w:rPr>
            </w:pPr>
            <w:r>
              <w:rPr>
                <w:rFonts w:hint="eastAsia" w:hAnsi="宋体"/>
                <w:color w:val="auto"/>
                <w:szCs w:val="24"/>
              </w:rPr>
              <w:t>与营业执照证等证照及签章一致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pPr>
              <w:pStyle w:val="67"/>
              <w:spacing w:line="360" w:lineRule="auto"/>
              <w:jc w:val="center"/>
              <w:rPr>
                <w:rFonts w:hAnsi="宋体"/>
                <w:color w:val="auto"/>
                <w:szCs w:val="24"/>
              </w:rPr>
            </w:pPr>
          </w:p>
        </w:tc>
        <w:tc>
          <w:tcPr>
            <w:tcW w:w="560" w:type="dxa"/>
            <w:vMerge w:val="continue"/>
            <w:vAlign w:val="center"/>
          </w:tcPr>
          <w:p>
            <w:pPr>
              <w:pStyle w:val="67"/>
              <w:spacing w:line="360" w:lineRule="auto"/>
              <w:jc w:val="center"/>
              <w:rPr>
                <w:rFonts w:hAnsi="宋体"/>
                <w:color w:val="auto"/>
                <w:szCs w:val="24"/>
              </w:rPr>
            </w:pPr>
          </w:p>
        </w:tc>
        <w:tc>
          <w:tcPr>
            <w:tcW w:w="960" w:type="dxa"/>
            <w:vMerge w:val="continue"/>
            <w:vAlign w:val="center"/>
          </w:tcPr>
          <w:p>
            <w:pPr>
              <w:pStyle w:val="67"/>
              <w:adjustRightInd/>
              <w:snapToGrid w:val="0"/>
              <w:jc w:val="center"/>
              <w:rPr>
                <w:rFonts w:hAnsi="宋体"/>
                <w:color w:val="auto"/>
                <w:szCs w:val="24"/>
              </w:rPr>
            </w:pPr>
          </w:p>
        </w:tc>
        <w:tc>
          <w:tcPr>
            <w:tcW w:w="2217" w:type="dxa"/>
            <w:vAlign w:val="center"/>
          </w:tcPr>
          <w:p>
            <w:pPr>
              <w:pStyle w:val="67"/>
              <w:adjustRightInd/>
              <w:snapToGrid w:val="0"/>
              <w:jc w:val="center"/>
              <w:rPr>
                <w:rFonts w:hAnsi="宋体"/>
                <w:color w:val="auto"/>
                <w:szCs w:val="24"/>
              </w:rPr>
            </w:pPr>
            <w:r>
              <w:rPr>
                <w:rFonts w:hint="eastAsia" w:hAnsi="宋体"/>
                <w:color w:val="auto"/>
                <w:szCs w:val="24"/>
              </w:rPr>
              <w:t>签字或盖章</w:t>
            </w:r>
          </w:p>
        </w:tc>
        <w:tc>
          <w:tcPr>
            <w:tcW w:w="5736" w:type="dxa"/>
            <w:vAlign w:val="center"/>
          </w:tcPr>
          <w:p>
            <w:pPr>
              <w:pStyle w:val="67"/>
              <w:adjustRightInd/>
              <w:snapToGrid w:val="0"/>
              <w:rPr>
                <w:rFonts w:hAnsi="宋体"/>
                <w:color w:val="auto"/>
                <w:szCs w:val="24"/>
              </w:rPr>
            </w:pPr>
            <w:r>
              <w:rPr>
                <w:rFonts w:hint="eastAsia" w:hAnsi="宋体"/>
                <w:color w:val="auto"/>
                <w:szCs w:val="24"/>
              </w:rPr>
              <w:t>符合第三章“投标人须知”</w:t>
            </w:r>
            <w:r>
              <w:rPr>
                <w:rFonts w:hAnsi="宋体"/>
                <w:color w:val="auto"/>
                <w:szCs w:val="24"/>
              </w:rPr>
              <w:t>3.7.6</w:t>
            </w:r>
            <w:r>
              <w:rPr>
                <w:rFonts w:hint="eastAsia" w:hAnsi="宋体"/>
                <w:color w:val="auto"/>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67"/>
              <w:spacing w:line="360" w:lineRule="auto"/>
              <w:jc w:val="center"/>
              <w:rPr>
                <w:rFonts w:hAnsi="宋体"/>
                <w:color w:val="auto"/>
                <w:szCs w:val="24"/>
              </w:rPr>
            </w:pPr>
          </w:p>
        </w:tc>
        <w:tc>
          <w:tcPr>
            <w:tcW w:w="560" w:type="dxa"/>
            <w:vMerge w:val="continue"/>
            <w:vAlign w:val="center"/>
          </w:tcPr>
          <w:p>
            <w:pPr>
              <w:pStyle w:val="67"/>
              <w:spacing w:line="360" w:lineRule="auto"/>
              <w:jc w:val="center"/>
              <w:rPr>
                <w:rFonts w:hAnsi="宋体"/>
                <w:color w:val="auto"/>
                <w:szCs w:val="24"/>
              </w:rPr>
            </w:pPr>
          </w:p>
        </w:tc>
        <w:tc>
          <w:tcPr>
            <w:tcW w:w="960" w:type="dxa"/>
            <w:vAlign w:val="center"/>
          </w:tcPr>
          <w:p>
            <w:pPr>
              <w:pStyle w:val="67"/>
              <w:adjustRightInd/>
              <w:snapToGrid w:val="0"/>
              <w:jc w:val="center"/>
              <w:rPr>
                <w:rFonts w:hAnsi="宋体"/>
                <w:color w:val="auto"/>
                <w:szCs w:val="24"/>
              </w:rPr>
            </w:pPr>
            <w:r>
              <w:rPr>
                <w:rFonts w:hint="eastAsia" w:hAnsi="宋体"/>
                <w:color w:val="auto"/>
                <w:szCs w:val="24"/>
              </w:rPr>
              <w:t>完整性</w:t>
            </w:r>
          </w:p>
        </w:tc>
        <w:tc>
          <w:tcPr>
            <w:tcW w:w="2217" w:type="dxa"/>
            <w:vAlign w:val="center"/>
          </w:tcPr>
          <w:p>
            <w:pPr>
              <w:pStyle w:val="67"/>
              <w:adjustRightInd/>
              <w:snapToGrid w:val="0"/>
              <w:jc w:val="center"/>
              <w:rPr>
                <w:rFonts w:hAnsi="宋体"/>
                <w:color w:val="auto"/>
                <w:szCs w:val="24"/>
              </w:rPr>
            </w:pPr>
            <w:r>
              <w:rPr>
                <w:rFonts w:hint="eastAsia" w:hAnsi="宋体"/>
                <w:color w:val="auto"/>
                <w:szCs w:val="24"/>
              </w:rPr>
              <w:t>投标文件组成</w:t>
            </w:r>
          </w:p>
        </w:tc>
        <w:tc>
          <w:tcPr>
            <w:tcW w:w="5736" w:type="dxa"/>
            <w:vAlign w:val="center"/>
          </w:tcPr>
          <w:p>
            <w:pPr>
              <w:pStyle w:val="67"/>
              <w:adjustRightInd/>
              <w:snapToGrid w:val="0"/>
              <w:rPr>
                <w:rFonts w:hAnsi="宋体"/>
                <w:color w:val="auto"/>
                <w:szCs w:val="24"/>
              </w:rPr>
            </w:pPr>
            <w:r>
              <w:rPr>
                <w:rFonts w:hint="eastAsia" w:hAnsi="宋体"/>
                <w:color w:val="auto"/>
                <w:szCs w:val="24"/>
              </w:rPr>
              <w:t>符合第三章“投标人须知”</w:t>
            </w:r>
            <w:r>
              <w:rPr>
                <w:rFonts w:hAnsi="宋体"/>
                <w:color w:val="auto"/>
                <w:szCs w:val="24"/>
              </w:rPr>
              <w:t>3.2</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67"/>
              <w:spacing w:line="360" w:lineRule="auto"/>
              <w:jc w:val="center"/>
              <w:rPr>
                <w:rFonts w:hAnsi="宋体"/>
                <w:color w:val="auto"/>
                <w:szCs w:val="24"/>
              </w:rPr>
            </w:pPr>
          </w:p>
        </w:tc>
        <w:tc>
          <w:tcPr>
            <w:tcW w:w="560" w:type="dxa"/>
            <w:vMerge w:val="continue"/>
            <w:vAlign w:val="center"/>
          </w:tcPr>
          <w:p>
            <w:pPr>
              <w:pStyle w:val="67"/>
              <w:spacing w:line="360" w:lineRule="auto"/>
              <w:jc w:val="center"/>
              <w:rPr>
                <w:rFonts w:hAnsi="宋体"/>
                <w:color w:val="auto"/>
                <w:szCs w:val="24"/>
              </w:rPr>
            </w:pPr>
          </w:p>
        </w:tc>
        <w:tc>
          <w:tcPr>
            <w:tcW w:w="960" w:type="dxa"/>
            <w:vMerge w:val="restart"/>
            <w:vAlign w:val="center"/>
          </w:tcPr>
          <w:p>
            <w:pPr>
              <w:pStyle w:val="67"/>
              <w:snapToGrid w:val="0"/>
              <w:jc w:val="center"/>
              <w:rPr>
                <w:rFonts w:hAnsi="宋体"/>
                <w:color w:val="auto"/>
                <w:szCs w:val="24"/>
              </w:rPr>
            </w:pPr>
            <w:r>
              <w:rPr>
                <w:rFonts w:hint="eastAsia" w:hAnsi="宋体"/>
                <w:color w:val="auto"/>
                <w:szCs w:val="24"/>
              </w:rPr>
              <w:t>响应程度</w:t>
            </w:r>
          </w:p>
        </w:tc>
        <w:tc>
          <w:tcPr>
            <w:tcW w:w="2217" w:type="dxa"/>
            <w:vAlign w:val="center"/>
          </w:tcPr>
          <w:p>
            <w:pPr>
              <w:pStyle w:val="67"/>
              <w:adjustRightInd/>
              <w:snapToGrid w:val="0"/>
              <w:jc w:val="center"/>
              <w:rPr>
                <w:rFonts w:hAnsi="宋体"/>
                <w:color w:val="auto"/>
                <w:szCs w:val="24"/>
              </w:rPr>
            </w:pPr>
            <w:r>
              <w:rPr>
                <w:rFonts w:hint="eastAsia" w:hAnsi="宋体"/>
                <w:color w:val="auto"/>
                <w:szCs w:val="24"/>
              </w:rPr>
              <w:t>投标报价</w:t>
            </w:r>
          </w:p>
        </w:tc>
        <w:tc>
          <w:tcPr>
            <w:tcW w:w="5736" w:type="dxa"/>
            <w:vAlign w:val="center"/>
          </w:tcPr>
          <w:p>
            <w:pPr>
              <w:pStyle w:val="67"/>
              <w:adjustRightInd/>
              <w:snapToGrid w:val="0"/>
              <w:rPr>
                <w:rFonts w:hAnsi="宋体"/>
                <w:color w:val="auto"/>
                <w:szCs w:val="24"/>
              </w:rPr>
            </w:pPr>
            <w:r>
              <w:rPr>
                <w:rFonts w:hint="eastAsia" w:hAnsi="宋体"/>
                <w:color w:val="auto"/>
                <w:szCs w:val="24"/>
              </w:rPr>
              <w:t>符合第二章“招标项目要求及采购需求”</w:t>
            </w:r>
            <w:r>
              <w:rPr>
                <w:rFonts w:hAnsi="宋体"/>
                <w:color w:val="auto"/>
                <w:szCs w:val="24"/>
              </w:rPr>
              <w:t>1.3</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67"/>
              <w:spacing w:line="360" w:lineRule="auto"/>
              <w:jc w:val="center"/>
              <w:rPr>
                <w:rFonts w:hAnsi="宋体"/>
                <w:color w:val="auto"/>
                <w:szCs w:val="24"/>
              </w:rPr>
            </w:pPr>
          </w:p>
        </w:tc>
        <w:tc>
          <w:tcPr>
            <w:tcW w:w="560" w:type="dxa"/>
            <w:vMerge w:val="continue"/>
            <w:vAlign w:val="center"/>
          </w:tcPr>
          <w:p>
            <w:pPr>
              <w:pStyle w:val="67"/>
              <w:spacing w:line="360" w:lineRule="auto"/>
              <w:jc w:val="center"/>
              <w:rPr>
                <w:rFonts w:hAnsi="宋体"/>
                <w:color w:val="auto"/>
                <w:szCs w:val="24"/>
              </w:rPr>
            </w:pPr>
          </w:p>
        </w:tc>
        <w:tc>
          <w:tcPr>
            <w:tcW w:w="960" w:type="dxa"/>
            <w:vMerge w:val="continue"/>
            <w:vAlign w:val="center"/>
          </w:tcPr>
          <w:p>
            <w:pPr>
              <w:pStyle w:val="67"/>
              <w:snapToGrid w:val="0"/>
              <w:jc w:val="center"/>
              <w:rPr>
                <w:rFonts w:hAnsi="宋体"/>
                <w:color w:val="auto"/>
                <w:szCs w:val="24"/>
              </w:rPr>
            </w:pPr>
          </w:p>
        </w:tc>
        <w:tc>
          <w:tcPr>
            <w:tcW w:w="2217" w:type="dxa"/>
            <w:vAlign w:val="center"/>
          </w:tcPr>
          <w:p>
            <w:pPr>
              <w:pStyle w:val="67"/>
              <w:adjustRightInd/>
              <w:snapToGrid w:val="0"/>
              <w:jc w:val="center"/>
              <w:rPr>
                <w:rFonts w:hAnsi="宋体"/>
                <w:color w:val="auto"/>
                <w:szCs w:val="24"/>
              </w:rPr>
            </w:pPr>
            <w:r>
              <w:rPr>
                <w:rFonts w:hint="eastAsia" w:hAnsi="宋体"/>
                <w:color w:val="auto"/>
                <w:szCs w:val="24"/>
              </w:rPr>
              <w:t>投标内容</w:t>
            </w:r>
          </w:p>
        </w:tc>
        <w:tc>
          <w:tcPr>
            <w:tcW w:w="5736" w:type="dxa"/>
            <w:vAlign w:val="center"/>
          </w:tcPr>
          <w:p>
            <w:pPr>
              <w:pStyle w:val="67"/>
              <w:adjustRightInd/>
              <w:snapToGrid w:val="0"/>
              <w:rPr>
                <w:rFonts w:hAnsi="宋体"/>
                <w:color w:val="auto"/>
                <w:szCs w:val="24"/>
              </w:rPr>
            </w:pPr>
            <w:r>
              <w:rPr>
                <w:rFonts w:hint="eastAsia" w:hAnsi="宋体"/>
                <w:color w:val="auto"/>
                <w:szCs w:val="24"/>
              </w:rPr>
              <w:t>符合第二章“招标项目要求及采购需求”第</w:t>
            </w:r>
            <w:r>
              <w:rPr>
                <w:rFonts w:hAnsi="宋体"/>
                <w:color w:val="auto"/>
                <w:szCs w:val="24"/>
              </w:rPr>
              <w:t>2</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67"/>
              <w:spacing w:line="360" w:lineRule="auto"/>
              <w:jc w:val="center"/>
              <w:rPr>
                <w:rFonts w:hAnsi="宋体"/>
                <w:color w:val="auto"/>
                <w:szCs w:val="24"/>
              </w:rPr>
            </w:pPr>
          </w:p>
        </w:tc>
        <w:tc>
          <w:tcPr>
            <w:tcW w:w="560" w:type="dxa"/>
            <w:vMerge w:val="continue"/>
            <w:vAlign w:val="center"/>
          </w:tcPr>
          <w:p>
            <w:pPr>
              <w:pStyle w:val="67"/>
              <w:spacing w:line="360" w:lineRule="auto"/>
              <w:jc w:val="center"/>
              <w:rPr>
                <w:rFonts w:hAnsi="宋体"/>
                <w:color w:val="auto"/>
                <w:szCs w:val="24"/>
              </w:rPr>
            </w:pPr>
          </w:p>
        </w:tc>
        <w:tc>
          <w:tcPr>
            <w:tcW w:w="960" w:type="dxa"/>
            <w:vMerge w:val="continue"/>
            <w:vAlign w:val="center"/>
          </w:tcPr>
          <w:p>
            <w:pPr>
              <w:pStyle w:val="67"/>
              <w:snapToGrid w:val="0"/>
              <w:jc w:val="center"/>
              <w:rPr>
                <w:rFonts w:hAnsi="宋体"/>
                <w:color w:val="auto"/>
                <w:szCs w:val="24"/>
              </w:rPr>
            </w:pPr>
          </w:p>
        </w:tc>
        <w:tc>
          <w:tcPr>
            <w:tcW w:w="2217" w:type="dxa"/>
            <w:vAlign w:val="center"/>
          </w:tcPr>
          <w:p>
            <w:pPr>
              <w:pStyle w:val="67"/>
              <w:adjustRightInd/>
              <w:snapToGrid w:val="0"/>
              <w:jc w:val="center"/>
              <w:rPr>
                <w:rFonts w:hAnsi="宋体"/>
                <w:color w:val="auto"/>
                <w:szCs w:val="24"/>
              </w:rPr>
            </w:pPr>
            <w:r>
              <w:rPr>
                <w:rFonts w:hint="eastAsia" w:hAnsi="宋体"/>
                <w:color w:val="auto"/>
                <w:szCs w:val="24"/>
              </w:rPr>
              <w:t>服务期</w:t>
            </w:r>
          </w:p>
        </w:tc>
        <w:tc>
          <w:tcPr>
            <w:tcW w:w="5736" w:type="dxa"/>
            <w:vAlign w:val="center"/>
          </w:tcPr>
          <w:p>
            <w:pPr>
              <w:pStyle w:val="67"/>
              <w:adjustRightInd/>
              <w:snapToGrid w:val="0"/>
              <w:jc w:val="both"/>
              <w:rPr>
                <w:rFonts w:hAnsi="宋体"/>
                <w:color w:val="auto"/>
                <w:szCs w:val="24"/>
              </w:rPr>
            </w:pPr>
            <w:r>
              <w:rPr>
                <w:rFonts w:hint="eastAsia" w:hAnsi="宋体"/>
                <w:color w:val="auto"/>
                <w:szCs w:val="24"/>
              </w:rPr>
              <w:t>符合第二章“招标项目要求及采购需求”</w:t>
            </w:r>
            <w:r>
              <w:rPr>
                <w:rFonts w:hAnsi="宋体"/>
                <w:color w:val="auto"/>
                <w:szCs w:val="24"/>
              </w:rPr>
              <w:t>1.2</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pPr>
              <w:pStyle w:val="67"/>
              <w:spacing w:line="360" w:lineRule="auto"/>
              <w:jc w:val="center"/>
              <w:rPr>
                <w:rFonts w:hAnsi="宋体"/>
                <w:color w:val="auto"/>
                <w:szCs w:val="24"/>
              </w:rPr>
            </w:pPr>
          </w:p>
        </w:tc>
        <w:tc>
          <w:tcPr>
            <w:tcW w:w="560" w:type="dxa"/>
            <w:vMerge w:val="continue"/>
            <w:vAlign w:val="center"/>
          </w:tcPr>
          <w:p>
            <w:pPr>
              <w:pStyle w:val="67"/>
              <w:spacing w:line="360" w:lineRule="auto"/>
              <w:jc w:val="center"/>
              <w:rPr>
                <w:rFonts w:hAnsi="宋体"/>
                <w:color w:val="auto"/>
                <w:szCs w:val="24"/>
              </w:rPr>
            </w:pPr>
          </w:p>
        </w:tc>
        <w:tc>
          <w:tcPr>
            <w:tcW w:w="960" w:type="dxa"/>
            <w:vMerge w:val="continue"/>
            <w:vAlign w:val="center"/>
          </w:tcPr>
          <w:p>
            <w:pPr>
              <w:pStyle w:val="67"/>
              <w:snapToGrid w:val="0"/>
              <w:jc w:val="center"/>
              <w:rPr>
                <w:rFonts w:hAnsi="宋体"/>
                <w:color w:val="auto"/>
                <w:szCs w:val="24"/>
              </w:rPr>
            </w:pPr>
          </w:p>
        </w:tc>
        <w:tc>
          <w:tcPr>
            <w:tcW w:w="2217" w:type="dxa"/>
            <w:vAlign w:val="center"/>
          </w:tcPr>
          <w:p>
            <w:pPr>
              <w:pStyle w:val="67"/>
              <w:adjustRightInd/>
              <w:snapToGrid w:val="0"/>
              <w:jc w:val="center"/>
              <w:rPr>
                <w:rFonts w:hAnsi="宋体"/>
                <w:color w:val="auto"/>
                <w:szCs w:val="24"/>
              </w:rPr>
            </w:pPr>
            <w:r>
              <w:rPr>
                <w:rFonts w:hint="eastAsia" w:hAnsi="宋体"/>
                <w:color w:val="auto"/>
                <w:szCs w:val="24"/>
              </w:rPr>
              <w:t>技术要求</w:t>
            </w:r>
          </w:p>
        </w:tc>
        <w:tc>
          <w:tcPr>
            <w:tcW w:w="5736" w:type="dxa"/>
            <w:vAlign w:val="center"/>
          </w:tcPr>
          <w:p>
            <w:pPr>
              <w:pStyle w:val="67"/>
              <w:adjustRightInd/>
              <w:snapToGrid w:val="0"/>
              <w:jc w:val="both"/>
              <w:rPr>
                <w:rFonts w:hAnsi="宋体"/>
                <w:color w:val="auto"/>
                <w:szCs w:val="24"/>
              </w:rPr>
            </w:pPr>
            <w:r>
              <w:rPr>
                <w:rFonts w:hint="eastAsia" w:hAnsi="宋体"/>
                <w:color w:val="auto"/>
                <w:szCs w:val="24"/>
              </w:rPr>
              <w:t>符合第二章“招标项目要求及采购需求”第</w:t>
            </w:r>
            <w:r>
              <w:rPr>
                <w:rFonts w:hAnsi="宋体"/>
                <w:color w:val="auto"/>
                <w:szCs w:val="24"/>
              </w:rPr>
              <w:t>2</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64" w:type="dxa"/>
            <w:vMerge w:val="continue"/>
            <w:vAlign w:val="center"/>
          </w:tcPr>
          <w:p>
            <w:pPr>
              <w:pStyle w:val="67"/>
              <w:spacing w:line="360" w:lineRule="auto"/>
              <w:jc w:val="center"/>
              <w:rPr>
                <w:rFonts w:hAnsi="宋体"/>
                <w:color w:val="auto"/>
                <w:szCs w:val="24"/>
              </w:rPr>
            </w:pPr>
          </w:p>
        </w:tc>
        <w:tc>
          <w:tcPr>
            <w:tcW w:w="560" w:type="dxa"/>
            <w:vMerge w:val="continue"/>
            <w:vAlign w:val="center"/>
          </w:tcPr>
          <w:p>
            <w:pPr>
              <w:pStyle w:val="67"/>
              <w:spacing w:line="360" w:lineRule="auto"/>
              <w:jc w:val="center"/>
              <w:rPr>
                <w:rFonts w:hAnsi="宋体"/>
                <w:color w:val="auto"/>
                <w:szCs w:val="24"/>
              </w:rPr>
            </w:pPr>
          </w:p>
        </w:tc>
        <w:tc>
          <w:tcPr>
            <w:tcW w:w="960" w:type="dxa"/>
            <w:vMerge w:val="continue"/>
            <w:vAlign w:val="center"/>
          </w:tcPr>
          <w:p>
            <w:pPr>
              <w:pStyle w:val="67"/>
              <w:adjustRightInd/>
              <w:snapToGrid w:val="0"/>
              <w:jc w:val="center"/>
              <w:rPr>
                <w:rFonts w:hAnsi="宋体"/>
                <w:color w:val="auto"/>
                <w:szCs w:val="24"/>
              </w:rPr>
            </w:pPr>
          </w:p>
        </w:tc>
        <w:tc>
          <w:tcPr>
            <w:tcW w:w="2217" w:type="dxa"/>
            <w:vAlign w:val="center"/>
          </w:tcPr>
          <w:p>
            <w:pPr>
              <w:pStyle w:val="67"/>
              <w:adjustRightInd/>
              <w:snapToGrid w:val="0"/>
              <w:jc w:val="center"/>
              <w:rPr>
                <w:rFonts w:hAnsi="宋体"/>
                <w:color w:val="auto"/>
                <w:szCs w:val="24"/>
              </w:rPr>
            </w:pPr>
            <w:r>
              <w:rPr>
                <w:rFonts w:hint="eastAsia" w:hAnsi="宋体"/>
                <w:color w:val="auto"/>
                <w:szCs w:val="24"/>
              </w:rPr>
              <w:t>投标有效期</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符合第二章“投标人须知”</w:t>
            </w:r>
            <w:r>
              <w:rPr>
                <w:rFonts w:ascii="宋体" w:hAnsi="宋体"/>
                <w:color w:val="auto"/>
                <w:sz w:val="24"/>
              </w:rPr>
              <w:t>3.4</w:t>
            </w:r>
            <w:r>
              <w:rPr>
                <w:rFonts w:hint="eastAsia" w:ascii="宋体" w:hAnsi="宋体"/>
                <w:color w:val="auto"/>
                <w:sz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64" w:type="dxa"/>
            <w:vMerge w:val="continue"/>
            <w:vAlign w:val="center"/>
          </w:tcPr>
          <w:p>
            <w:pPr>
              <w:pStyle w:val="67"/>
              <w:spacing w:line="360" w:lineRule="auto"/>
              <w:jc w:val="center"/>
              <w:rPr>
                <w:rFonts w:hAnsi="宋体"/>
                <w:color w:val="auto"/>
                <w:szCs w:val="24"/>
              </w:rPr>
            </w:pPr>
          </w:p>
        </w:tc>
        <w:tc>
          <w:tcPr>
            <w:tcW w:w="560" w:type="dxa"/>
            <w:vMerge w:val="continue"/>
            <w:vAlign w:val="center"/>
          </w:tcPr>
          <w:p>
            <w:pPr>
              <w:pStyle w:val="67"/>
              <w:spacing w:line="360" w:lineRule="auto"/>
              <w:jc w:val="center"/>
              <w:rPr>
                <w:rFonts w:hAnsi="宋体"/>
                <w:color w:val="auto"/>
                <w:szCs w:val="24"/>
              </w:rPr>
            </w:pPr>
          </w:p>
        </w:tc>
        <w:tc>
          <w:tcPr>
            <w:tcW w:w="960" w:type="dxa"/>
            <w:vMerge w:val="continue"/>
            <w:vAlign w:val="center"/>
          </w:tcPr>
          <w:p>
            <w:pPr>
              <w:pStyle w:val="67"/>
              <w:adjustRightInd/>
              <w:snapToGrid w:val="0"/>
              <w:jc w:val="center"/>
              <w:rPr>
                <w:rFonts w:hAnsi="宋体"/>
                <w:color w:val="auto"/>
                <w:szCs w:val="24"/>
              </w:rPr>
            </w:pPr>
          </w:p>
        </w:tc>
        <w:tc>
          <w:tcPr>
            <w:tcW w:w="2217" w:type="dxa"/>
            <w:vAlign w:val="center"/>
          </w:tcPr>
          <w:p>
            <w:pPr>
              <w:pStyle w:val="67"/>
              <w:adjustRightInd/>
              <w:snapToGrid w:val="0"/>
              <w:jc w:val="center"/>
              <w:rPr>
                <w:rFonts w:hAnsi="宋体"/>
                <w:color w:val="auto"/>
                <w:szCs w:val="24"/>
              </w:rPr>
            </w:pPr>
            <w:r>
              <w:rPr>
                <w:rFonts w:hint="eastAsia" w:hAnsi="宋体"/>
                <w:color w:val="auto"/>
                <w:szCs w:val="24"/>
              </w:rPr>
              <w:t>投标文件格式</w:t>
            </w:r>
          </w:p>
        </w:tc>
        <w:tc>
          <w:tcPr>
            <w:tcW w:w="5736" w:type="dxa"/>
            <w:vAlign w:val="center"/>
          </w:tcPr>
          <w:p>
            <w:pPr>
              <w:pStyle w:val="67"/>
              <w:adjustRightInd/>
              <w:snapToGrid w:val="0"/>
              <w:rPr>
                <w:rFonts w:hAnsi="宋体"/>
                <w:color w:val="auto"/>
                <w:szCs w:val="24"/>
              </w:rPr>
            </w:pPr>
            <w:r>
              <w:rPr>
                <w:rFonts w:hint="eastAsia" w:hAnsi="宋体"/>
                <w:color w:val="auto"/>
                <w:szCs w:val="24"/>
              </w:rPr>
              <w:t>符合第六章“投标文件格式”规定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67"/>
              <w:spacing w:line="360" w:lineRule="auto"/>
              <w:jc w:val="center"/>
              <w:rPr>
                <w:rFonts w:hAnsi="宋体"/>
                <w:color w:val="auto"/>
                <w:szCs w:val="24"/>
              </w:rPr>
            </w:pPr>
          </w:p>
        </w:tc>
        <w:tc>
          <w:tcPr>
            <w:tcW w:w="560" w:type="dxa"/>
            <w:vMerge w:val="continue"/>
            <w:vAlign w:val="center"/>
          </w:tcPr>
          <w:p>
            <w:pPr>
              <w:pStyle w:val="67"/>
              <w:spacing w:line="360" w:lineRule="auto"/>
              <w:jc w:val="center"/>
              <w:rPr>
                <w:rFonts w:hAnsi="宋体"/>
                <w:color w:val="auto"/>
                <w:szCs w:val="24"/>
              </w:rPr>
            </w:pPr>
          </w:p>
        </w:tc>
        <w:tc>
          <w:tcPr>
            <w:tcW w:w="960" w:type="dxa"/>
            <w:vMerge w:val="continue"/>
            <w:vAlign w:val="center"/>
          </w:tcPr>
          <w:p>
            <w:pPr>
              <w:pStyle w:val="67"/>
              <w:adjustRightInd/>
              <w:snapToGrid w:val="0"/>
              <w:jc w:val="center"/>
              <w:rPr>
                <w:rFonts w:hAnsi="宋体"/>
                <w:color w:val="auto"/>
                <w:szCs w:val="24"/>
              </w:rPr>
            </w:pPr>
          </w:p>
        </w:tc>
        <w:tc>
          <w:tcPr>
            <w:tcW w:w="2217" w:type="dxa"/>
            <w:vAlign w:val="center"/>
          </w:tcPr>
          <w:p>
            <w:pPr>
              <w:pStyle w:val="67"/>
              <w:adjustRightInd/>
              <w:snapToGrid w:val="0"/>
              <w:jc w:val="center"/>
              <w:rPr>
                <w:rFonts w:hAnsi="宋体"/>
                <w:color w:val="auto"/>
                <w:szCs w:val="24"/>
              </w:rPr>
            </w:pPr>
            <w:r>
              <w:rPr>
                <w:rFonts w:hint="eastAsia" w:hAnsi="宋体"/>
                <w:color w:val="auto"/>
              </w:rPr>
              <w:t>付款</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符合第三章“投标人须知”第</w:t>
            </w:r>
            <w:r>
              <w:rPr>
                <w:rFonts w:ascii="宋体" w:hAnsi="宋体"/>
                <w:color w:val="auto"/>
                <w:sz w:val="24"/>
              </w:rPr>
              <w:t>10</w:t>
            </w:r>
            <w:r>
              <w:rPr>
                <w:rFonts w:hint="eastAsia" w:ascii="宋体" w:hAnsi="宋体"/>
                <w:color w:val="auto"/>
                <w:sz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67"/>
              <w:spacing w:line="360" w:lineRule="auto"/>
              <w:jc w:val="center"/>
              <w:rPr>
                <w:rFonts w:hAnsi="宋体"/>
                <w:color w:val="auto"/>
                <w:szCs w:val="24"/>
              </w:rPr>
            </w:pPr>
          </w:p>
        </w:tc>
        <w:tc>
          <w:tcPr>
            <w:tcW w:w="560" w:type="dxa"/>
            <w:vMerge w:val="continue"/>
            <w:vAlign w:val="center"/>
          </w:tcPr>
          <w:p>
            <w:pPr>
              <w:pStyle w:val="67"/>
              <w:spacing w:line="360" w:lineRule="auto"/>
              <w:jc w:val="center"/>
              <w:rPr>
                <w:rFonts w:hAnsi="宋体"/>
                <w:color w:val="auto"/>
                <w:szCs w:val="24"/>
              </w:rPr>
            </w:pPr>
          </w:p>
        </w:tc>
        <w:tc>
          <w:tcPr>
            <w:tcW w:w="960" w:type="dxa"/>
            <w:vMerge w:val="continue"/>
            <w:vAlign w:val="center"/>
          </w:tcPr>
          <w:p>
            <w:pPr>
              <w:pStyle w:val="67"/>
              <w:adjustRightInd/>
              <w:snapToGrid w:val="0"/>
              <w:jc w:val="center"/>
              <w:rPr>
                <w:rFonts w:hAnsi="宋体"/>
                <w:color w:val="auto"/>
                <w:szCs w:val="24"/>
              </w:rPr>
            </w:pPr>
          </w:p>
        </w:tc>
        <w:tc>
          <w:tcPr>
            <w:tcW w:w="2217" w:type="dxa"/>
            <w:vAlign w:val="center"/>
          </w:tcPr>
          <w:p>
            <w:pPr>
              <w:pStyle w:val="67"/>
              <w:adjustRightInd/>
              <w:snapToGrid w:val="0"/>
              <w:jc w:val="center"/>
              <w:rPr>
                <w:rFonts w:hAnsi="宋体"/>
                <w:color w:val="auto"/>
              </w:rPr>
            </w:pPr>
            <w:r>
              <w:rPr>
                <w:rFonts w:hint="eastAsia" w:hAnsi="宋体"/>
                <w:color w:val="auto"/>
              </w:rPr>
              <w:t>偏差描述</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3.7.3</w:t>
            </w:r>
            <w:r>
              <w:rPr>
                <w:rFonts w:hint="eastAsia" w:ascii="宋体" w:hAnsi="宋体"/>
                <w:color w:val="auto"/>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64" w:type="dxa"/>
            <w:vMerge w:val="continue"/>
            <w:vAlign w:val="center"/>
          </w:tcPr>
          <w:p>
            <w:pPr>
              <w:pStyle w:val="67"/>
              <w:spacing w:line="360" w:lineRule="auto"/>
              <w:jc w:val="center"/>
              <w:rPr>
                <w:rFonts w:hAnsi="宋体"/>
                <w:color w:val="auto"/>
                <w:szCs w:val="24"/>
              </w:rPr>
            </w:pPr>
          </w:p>
        </w:tc>
        <w:tc>
          <w:tcPr>
            <w:tcW w:w="560" w:type="dxa"/>
            <w:vMerge w:val="continue"/>
            <w:vAlign w:val="center"/>
          </w:tcPr>
          <w:p>
            <w:pPr>
              <w:pStyle w:val="67"/>
              <w:spacing w:line="360" w:lineRule="auto"/>
              <w:jc w:val="center"/>
              <w:rPr>
                <w:rFonts w:hAnsi="宋体"/>
                <w:color w:val="auto"/>
                <w:szCs w:val="24"/>
              </w:rPr>
            </w:pPr>
          </w:p>
        </w:tc>
        <w:tc>
          <w:tcPr>
            <w:tcW w:w="960" w:type="dxa"/>
            <w:vMerge w:val="continue"/>
            <w:vAlign w:val="center"/>
          </w:tcPr>
          <w:p>
            <w:pPr>
              <w:snapToGrid w:val="0"/>
              <w:spacing w:line="240" w:lineRule="auto"/>
              <w:jc w:val="center"/>
              <w:rPr>
                <w:rFonts w:ascii="宋体"/>
                <w:color w:val="auto"/>
                <w:sz w:val="24"/>
              </w:rPr>
            </w:pPr>
          </w:p>
        </w:tc>
        <w:tc>
          <w:tcPr>
            <w:tcW w:w="2217" w:type="dxa"/>
            <w:vAlign w:val="center"/>
          </w:tcPr>
          <w:p>
            <w:pPr>
              <w:snapToGrid w:val="0"/>
              <w:spacing w:line="240" w:lineRule="auto"/>
              <w:jc w:val="center"/>
              <w:rPr>
                <w:rFonts w:ascii="宋体"/>
                <w:color w:val="auto"/>
                <w:sz w:val="24"/>
              </w:rPr>
            </w:pPr>
            <w:r>
              <w:rPr>
                <w:rFonts w:hint="eastAsia" w:ascii="宋体" w:hAnsi="宋体"/>
                <w:color w:val="auto"/>
                <w:sz w:val="24"/>
              </w:rPr>
              <w:t>招标文件总体响应</w:t>
            </w:r>
          </w:p>
        </w:tc>
        <w:tc>
          <w:tcPr>
            <w:tcW w:w="5736" w:type="dxa"/>
            <w:vAlign w:val="center"/>
          </w:tcPr>
          <w:p>
            <w:pPr>
              <w:autoSpaceDE w:val="0"/>
              <w:autoSpaceDN w:val="0"/>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1.3.1</w:t>
            </w:r>
            <w:r>
              <w:rPr>
                <w:rFonts w:hint="eastAsia" w:ascii="宋体" w:hAnsi="宋体"/>
                <w:color w:val="auto"/>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64" w:type="dxa"/>
            <w:vMerge w:val="restart"/>
            <w:vAlign w:val="center"/>
          </w:tcPr>
          <w:p>
            <w:pPr>
              <w:pStyle w:val="67"/>
              <w:spacing w:line="360" w:lineRule="auto"/>
              <w:ind w:right="-155" w:rightChars="-74"/>
              <w:jc w:val="center"/>
              <w:rPr>
                <w:rFonts w:hAnsi="宋体"/>
                <w:color w:val="auto"/>
                <w:szCs w:val="24"/>
              </w:rPr>
            </w:pPr>
            <w:r>
              <w:rPr>
                <w:rFonts w:hAnsi="宋体"/>
                <w:color w:val="auto"/>
                <w:szCs w:val="24"/>
              </w:rPr>
              <w:t>2.2</w:t>
            </w:r>
          </w:p>
        </w:tc>
        <w:tc>
          <w:tcPr>
            <w:tcW w:w="560" w:type="dxa"/>
            <w:vMerge w:val="restart"/>
            <w:vAlign w:val="center"/>
          </w:tcPr>
          <w:p>
            <w:pPr>
              <w:pStyle w:val="67"/>
              <w:jc w:val="center"/>
              <w:rPr>
                <w:rFonts w:hAnsi="宋体"/>
                <w:color w:val="auto"/>
                <w:szCs w:val="24"/>
              </w:rPr>
            </w:pPr>
            <w:r>
              <w:rPr>
                <w:rFonts w:hint="eastAsia" w:hAnsi="宋体"/>
                <w:color w:val="auto"/>
                <w:szCs w:val="24"/>
              </w:rPr>
              <w:t>详细评审</w:t>
            </w:r>
          </w:p>
        </w:tc>
        <w:tc>
          <w:tcPr>
            <w:tcW w:w="3177" w:type="dxa"/>
            <w:gridSpan w:val="2"/>
            <w:vAlign w:val="center"/>
          </w:tcPr>
          <w:p>
            <w:pPr>
              <w:pStyle w:val="67"/>
              <w:adjustRightInd/>
              <w:snapToGrid w:val="0"/>
              <w:jc w:val="center"/>
              <w:rPr>
                <w:rFonts w:hAnsi="宋体"/>
                <w:color w:val="auto"/>
                <w:szCs w:val="24"/>
              </w:rPr>
            </w:pPr>
            <w:r>
              <w:rPr>
                <w:rFonts w:hint="eastAsia" w:hAnsi="宋体"/>
                <w:color w:val="auto"/>
                <w:szCs w:val="24"/>
              </w:rPr>
              <w:t>投标报价算术修正</w:t>
            </w:r>
          </w:p>
        </w:tc>
        <w:tc>
          <w:tcPr>
            <w:tcW w:w="5736" w:type="dxa"/>
            <w:vAlign w:val="center"/>
          </w:tcPr>
          <w:p>
            <w:pPr>
              <w:pStyle w:val="67"/>
              <w:adjustRightInd/>
              <w:snapToGrid w:val="0"/>
              <w:jc w:val="both"/>
              <w:rPr>
                <w:rFonts w:hAnsi="宋体"/>
                <w:color w:val="auto"/>
                <w:szCs w:val="24"/>
              </w:rPr>
            </w:pPr>
            <w:r>
              <w:rPr>
                <w:rFonts w:hint="eastAsia" w:hAnsi="宋体"/>
                <w:color w:val="auto"/>
                <w:szCs w:val="24"/>
              </w:rPr>
              <w:t>按照第四章“评标办法”第</w:t>
            </w:r>
            <w:r>
              <w:rPr>
                <w:rFonts w:hAnsi="宋体"/>
                <w:color w:val="auto"/>
                <w:szCs w:val="24"/>
              </w:rPr>
              <w:t>3.4.1</w:t>
            </w:r>
            <w:r>
              <w:rPr>
                <w:rFonts w:hint="eastAsia" w:hAnsi="宋体"/>
                <w:color w:val="auto"/>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4" w:type="dxa"/>
            <w:vMerge w:val="continue"/>
            <w:vAlign w:val="center"/>
          </w:tcPr>
          <w:p>
            <w:pPr>
              <w:pStyle w:val="67"/>
              <w:spacing w:line="360" w:lineRule="auto"/>
              <w:ind w:right="-155" w:rightChars="-74"/>
              <w:jc w:val="center"/>
              <w:rPr>
                <w:rFonts w:hAnsi="宋体"/>
                <w:color w:val="auto"/>
                <w:szCs w:val="24"/>
              </w:rPr>
            </w:pPr>
          </w:p>
        </w:tc>
        <w:tc>
          <w:tcPr>
            <w:tcW w:w="560" w:type="dxa"/>
            <w:vMerge w:val="continue"/>
            <w:vAlign w:val="center"/>
          </w:tcPr>
          <w:p>
            <w:pPr>
              <w:pStyle w:val="67"/>
              <w:jc w:val="center"/>
              <w:rPr>
                <w:rFonts w:hAnsi="宋体"/>
                <w:color w:val="auto"/>
                <w:szCs w:val="24"/>
              </w:rPr>
            </w:pPr>
          </w:p>
        </w:tc>
        <w:tc>
          <w:tcPr>
            <w:tcW w:w="3177" w:type="dxa"/>
            <w:gridSpan w:val="2"/>
            <w:vAlign w:val="center"/>
          </w:tcPr>
          <w:p>
            <w:pPr>
              <w:pStyle w:val="67"/>
              <w:adjustRightInd/>
              <w:snapToGrid w:val="0"/>
              <w:jc w:val="center"/>
              <w:rPr>
                <w:rFonts w:hAnsi="宋体"/>
                <w:color w:val="auto"/>
                <w:szCs w:val="24"/>
              </w:rPr>
            </w:pPr>
            <w:r>
              <w:rPr>
                <w:rFonts w:hint="eastAsia" w:hAnsi="宋体"/>
                <w:color w:val="auto"/>
                <w:szCs w:val="24"/>
              </w:rPr>
              <w:t>小微企业价格扣除</w:t>
            </w:r>
          </w:p>
        </w:tc>
        <w:tc>
          <w:tcPr>
            <w:tcW w:w="5736" w:type="dxa"/>
            <w:vAlign w:val="center"/>
          </w:tcPr>
          <w:p>
            <w:pPr>
              <w:pStyle w:val="67"/>
              <w:adjustRightInd/>
              <w:snapToGrid w:val="0"/>
              <w:jc w:val="both"/>
              <w:rPr>
                <w:rFonts w:hAnsi="宋体"/>
                <w:color w:val="auto"/>
                <w:szCs w:val="24"/>
              </w:rPr>
            </w:pPr>
            <w:r>
              <w:rPr>
                <w:rFonts w:hint="eastAsia" w:hAnsi="宋体"/>
                <w:color w:val="auto"/>
                <w:szCs w:val="24"/>
              </w:rPr>
              <w:t>按照第四章“评标办法”第</w:t>
            </w:r>
            <w:r>
              <w:rPr>
                <w:rFonts w:hAnsi="宋体"/>
                <w:color w:val="auto"/>
                <w:szCs w:val="24"/>
              </w:rPr>
              <w:t>8</w:t>
            </w:r>
            <w:r>
              <w:rPr>
                <w:rFonts w:hint="eastAsia" w:hAnsi="宋体"/>
                <w:color w:val="auto"/>
                <w:szCs w:val="24"/>
              </w:rPr>
              <w:t>条规定</w:t>
            </w:r>
          </w:p>
        </w:tc>
      </w:tr>
    </w:tbl>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黑体" w:hAnsi="黑体" w:eastAsia="黑体" w:cs="楷体_GB2312"/>
          <w:b/>
          <w:bCs/>
          <w:color w:val="auto"/>
          <w:sz w:val="28"/>
          <w:szCs w:val="28"/>
          <w:lang w:val="zh-CN"/>
        </w:rPr>
        <w:t>注：</w:t>
      </w:r>
      <w:r>
        <w:rPr>
          <w:rFonts w:hint="eastAsia" w:ascii="宋体" w:cs="楷体_GB2312"/>
          <w:color w:val="auto"/>
          <w:sz w:val="24"/>
          <w:lang w:val="zh-CN"/>
        </w:rPr>
        <w:t>公开招标采购项目开标结束后、评标工作前，采购人将依法对投标人的资格进行审查。资格性审查不合格的、投标无效。合格资格性审查合格投标人不足</w:t>
      </w:r>
      <w:r>
        <w:rPr>
          <w:rFonts w:ascii="宋体" w:cs="楷体_GB2312"/>
          <w:color w:val="auto"/>
          <w:sz w:val="24"/>
          <w:lang w:val="zh-CN"/>
        </w:rPr>
        <w:t>3</w:t>
      </w:r>
      <w:r>
        <w:rPr>
          <w:rFonts w:hint="eastAsia" w:ascii="宋体" w:cs="楷体_GB2312"/>
          <w:color w:val="auto"/>
          <w:sz w:val="24"/>
          <w:lang w:val="zh-CN"/>
        </w:rPr>
        <w:t>家的，将不再评标。</w:t>
      </w:r>
    </w:p>
    <w:p>
      <w:pPr>
        <w:spacing w:line="500" w:lineRule="exact"/>
        <w:jc w:val="left"/>
        <w:rPr>
          <w:rFonts w:ascii="黑体" w:hAnsi="黑体" w:eastAsia="黑体"/>
          <w:b/>
          <w:color w:val="auto"/>
          <w:sz w:val="28"/>
          <w:szCs w:val="28"/>
        </w:rPr>
      </w:pPr>
      <w:r>
        <w:rPr>
          <w:rFonts w:hint="eastAsia" w:ascii="黑体" w:hAnsi="黑体" w:eastAsia="黑体"/>
          <w:b/>
          <w:color w:val="auto"/>
          <w:sz w:val="28"/>
          <w:szCs w:val="28"/>
        </w:rPr>
        <w:t>评标办法前附表</w:t>
      </w:r>
      <w:r>
        <w:rPr>
          <w:rFonts w:ascii="黑体" w:hAnsi="黑体" w:eastAsia="黑体"/>
          <w:b/>
          <w:color w:val="auto"/>
          <w:sz w:val="28"/>
          <w:szCs w:val="28"/>
        </w:rPr>
        <w:t>-----</w:t>
      </w:r>
      <w:r>
        <w:rPr>
          <w:rFonts w:hint="eastAsia" w:ascii="黑体" w:hAnsi="黑体" w:eastAsia="黑体"/>
          <w:b/>
          <w:color w:val="auto"/>
          <w:sz w:val="28"/>
          <w:szCs w:val="28"/>
        </w:rPr>
        <w:t>分值构成与评分标准</w:t>
      </w:r>
    </w:p>
    <w:tbl>
      <w:tblPr>
        <w:tblStyle w:val="23"/>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263"/>
        <w:gridCol w:w="1234"/>
        <w:gridCol w:w="6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90" w:type="dxa"/>
            <w:vAlign w:val="center"/>
          </w:tcPr>
          <w:p>
            <w:pPr>
              <w:widowControl w:val="0"/>
              <w:autoSpaceDE w:val="0"/>
              <w:autoSpaceDN w:val="0"/>
              <w:adjustRightInd w:val="0"/>
              <w:spacing w:line="240" w:lineRule="auto"/>
              <w:jc w:val="center"/>
              <w:textAlignment w:val="auto"/>
              <w:rPr>
                <w:rFonts w:ascii="宋体" w:cs="宋体"/>
                <w:b/>
                <w:color w:val="auto"/>
                <w:sz w:val="24"/>
                <w:szCs w:val="24"/>
              </w:rPr>
            </w:pPr>
            <w:r>
              <w:rPr>
                <w:rFonts w:hint="eastAsia" w:ascii="宋体" w:hAnsi="宋体" w:cs="宋体"/>
                <w:b/>
                <w:color w:val="auto"/>
                <w:sz w:val="24"/>
                <w:szCs w:val="24"/>
              </w:rPr>
              <w:t>条款号</w:t>
            </w:r>
          </w:p>
        </w:tc>
        <w:tc>
          <w:tcPr>
            <w:tcW w:w="1263" w:type="dxa"/>
            <w:vAlign w:val="center"/>
          </w:tcPr>
          <w:p>
            <w:pPr>
              <w:spacing w:line="351" w:lineRule="atLeast"/>
              <w:jc w:val="center"/>
              <w:rPr>
                <w:rFonts w:ascii="宋体" w:cs="宋体"/>
                <w:b/>
                <w:color w:val="auto"/>
                <w:sz w:val="24"/>
                <w:szCs w:val="24"/>
              </w:rPr>
            </w:pPr>
            <w:r>
              <w:rPr>
                <w:rFonts w:hint="eastAsia" w:ascii="宋体" w:hAnsi="宋体" w:cs="宋体"/>
                <w:b/>
                <w:color w:val="auto"/>
                <w:sz w:val="24"/>
                <w:szCs w:val="24"/>
              </w:rPr>
              <w:t>条款内容</w:t>
            </w:r>
          </w:p>
        </w:tc>
        <w:tc>
          <w:tcPr>
            <w:tcW w:w="7877" w:type="dxa"/>
            <w:gridSpan w:val="2"/>
            <w:vAlign w:val="center"/>
          </w:tcPr>
          <w:p>
            <w:pPr>
              <w:spacing w:line="351" w:lineRule="atLeast"/>
              <w:jc w:val="center"/>
              <w:rPr>
                <w:rFonts w:ascii="宋体" w:cs="宋体"/>
                <w:b/>
                <w:color w:val="auto"/>
                <w:sz w:val="24"/>
                <w:szCs w:val="24"/>
              </w:rPr>
            </w:pPr>
            <w:r>
              <w:rPr>
                <w:rFonts w:hint="eastAsia" w:ascii="宋体" w:hAnsi="宋体" w:cs="宋体"/>
                <w:b/>
                <w:color w:val="auto"/>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890" w:type="dxa"/>
            <w:vAlign w:val="center"/>
          </w:tcPr>
          <w:p>
            <w:pPr>
              <w:widowControl w:val="0"/>
              <w:autoSpaceDE w:val="0"/>
              <w:autoSpaceDN w:val="0"/>
              <w:adjustRightInd w:val="0"/>
              <w:spacing w:line="240" w:lineRule="auto"/>
              <w:jc w:val="center"/>
              <w:textAlignment w:val="auto"/>
              <w:rPr>
                <w:rFonts w:ascii="宋体" w:cs="宋体"/>
                <w:color w:val="auto"/>
                <w:sz w:val="24"/>
                <w:szCs w:val="24"/>
              </w:rPr>
            </w:pPr>
            <w:r>
              <w:rPr>
                <w:rFonts w:ascii="宋体" w:hAnsi="宋体" w:cs="宋体"/>
                <w:color w:val="auto"/>
                <w:sz w:val="24"/>
                <w:szCs w:val="24"/>
              </w:rPr>
              <w:t>2.2.1</w:t>
            </w:r>
          </w:p>
        </w:tc>
        <w:tc>
          <w:tcPr>
            <w:tcW w:w="1263" w:type="dxa"/>
            <w:vAlign w:val="center"/>
          </w:tcPr>
          <w:p>
            <w:pPr>
              <w:widowControl w:val="0"/>
              <w:autoSpaceDE w:val="0"/>
              <w:autoSpaceDN w:val="0"/>
              <w:adjustRightInd w:val="0"/>
              <w:spacing w:line="240" w:lineRule="auto"/>
              <w:jc w:val="center"/>
              <w:textAlignment w:val="auto"/>
              <w:rPr>
                <w:rFonts w:ascii="宋体" w:cs="宋体"/>
                <w:color w:val="auto"/>
                <w:sz w:val="24"/>
                <w:szCs w:val="24"/>
                <w:highlight w:val="none"/>
              </w:rPr>
            </w:pPr>
            <w:r>
              <w:rPr>
                <w:rFonts w:hint="eastAsia" w:ascii="宋体" w:cs="宋体"/>
                <w:color w:val="auto"/>
                <w:sz w:val="24"/>
                <w:szCs w:val="24"/>
                <w:highlight w:val="none"/>
              </w:rPr>
              <w:t>分值构成</w:t>
            </w:r>
          </w:p>
          <w:p>
            <w:pPr>
              <w:widowControl w:val="0"/>
              <w:snapToGrid w:val="0"/>
              <w:spacing w:line="240" w:lineRule="auto"/>
              <w:jc w:val="left"/>
              <w:rPr>
                <w:rFonts w:ascii="宋体"/>
                <w:color w:val="auto"/>
                <w:sz w:val="24"/>
                <w:szCs w:val="24"/>
                <w:highlight w:val="none"/>
              </w:rPr>
            </w:pPr>
            <w:r>
              <w:rPr>
                <w:rFonts w:hint="eastAsia" w:ascii="TimesNewRomanPSMT" w:hAnsi="TimesNewRomanPSMT" w:cs="TimesNewRomanPSMT"/>
                <w:color w:val="auto"/>
                <w:sz w:val="24"/>
                <w:szCs w:val="24"/>
                <w:highlight w:val="none"/>
              </w:rPr>
              <w:t>（</w:t>
            </w:r>
            <w:r>
              <w:rPr>
                <w:rFonts w:hint="eastAsia" w:ascii="宋体" w:cs="宋体"/>
                <w:color w:val="auto"/>
                <w:sz w:val="24"/>
                <w:szCs w:val="24"/>
                <w:highlight w:val="none"/>
              </w:rPr>
              <w:t>总分</w:t>
            </w:r>
            <w:r>
              <w:rPr>
                <w:rFonts w:ascii="宋体" w:hAnsi="宋体" w:cs="TimesNewRomanPSMT"/>
                <w:color w:val="auto"/>
                <w:sz w:val="24"/>
                <w:szCs w:val="24"/>
                <w:highlight w:val="none"/>
              </w:rPr>
              <w:t xml:space="preserve">100 </w:t>
            </w:r>
            <w:r>
              <w:rPr>
                <w:rFonts w:hint="eastAsia" w:ascii="宋体" w:cs="宋体"/>
                <w:color w:val="auto"/>
                <w:sz w:val="24"/>
                <w:szCs w:val="24"/>
                <w:highlight w:val="none"/>
              </w:rPr>
              <w:t>分）</w:t>
            </w:r>
          </w:p>
        </w:tc>
        <w:tc>
          <w:tcPr>
            <w:tcW w:w="7877" w:type="dxa"/>
            <w:gridSpan w:val="2"/>
            <w:vAlign w:val="center"/>
          </w:tcPr>
          <w:p>
            <w:pPr>
              <w:widowControl w:val="0"/>
              <w:snapToGrid w:val="0"/>
              <w:spacing w:line="240" w:lineRule="auto"/>
              <w:rPr>
                <w:rFonts w:ascii="宋体" w:cs="宋体"/>
                <w:color w:val="auto"/>
                <w:sz w:val="24"/>
                <w:szCs w:val="24"/>
                <w:highlight w:val="none"/>
                <w:u w:val="single"/>
              </w:rPr>
            </w:pPr>
            <w:r>
              <w:rPr>
                <w:rFonts w:hint="eastAsia" w:ascii="宋体" w:hAnsi="宋体" w:cs="宋体"/>
                <w:color w:val="auto"/>
                <w:sz w:val="24"/>
                <w:szCs w:val="24"/>
                <w:highlight w:val="none"/>
              </w:rPr>
              <w:t>价格：</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u w:val="single"/>
              </w:rPr>
              <w:t>0</w:t>
            </w:r>
            <w:r>
              <w:rPr>
                <w:rFonts w:hint="eastAsia" w:ascii="宋体" w:hAnsi="宋体" w:cs="宋体"/>
                <w:color w:val="auto"/>
                <w:sz w:val="24"/>
                <w:szCs w:val="24"/>
                <w:highlight w:val="none"/>
              </w:rPr>
              <w:t>分</w:t>
            </w:r>
          </w:p>
          <w:p>
            <w:pPr>
              <w:widowControl w:val="0"/>
              <w:snapToGrid w:val="0"/>
              <w:spacing w:line="240" w:lineRule="auto"/>
              <w:rPr>
                <w:rFonts w:ascii="宋体" w:cs="宋体"/>
                <w:color w:val="auto"/>
                <w:sz w:val="24"/>
                <w:szCs w:val="24"/>
                <w:highlight w:val="none"/>
              </w:rPr>
            </w:pPr>
            <w:r>
              <w:rPr>
                <w:rFonts w:hint="eastAsia" w:ascii="宋体" w:hAnsi="宋体" w:cs="宋体"/>
                <w:color w:val="auto"/>
                <w:sz w:val="24"/>
                <w:szCs w:val="24"/>
                <w:highlight w:val="none"/>
              </w:rPr>
              <w:t>技术部分：</w:t>
            </w:r>
            <w:r>
              <w:rPr>
                <w:rFonts w:hint="eastAsia" w:ascii="宋体" w:hAnsi="宋体" w:cs="宋体"/>
                <w:color w:val="auto"/>
                <w:sz w:val="24"/>
                <w:szCs w:val="24"/>
                <w:highlight w:val="none"/>
                <w:u w:val="single" w:color="auto"/>
                <w:lang w:val="en-US" w:eastAsia="zh-CN"/>
              </w:rPr>
              <w:t>75</w:t>
            </w:r>
            <w:r>
              <w:rPr>
                <w:rFonts w:hint="eastAsia" w:ascii="宋体" w:hAnsi="宋体" w:cs="宋体"/>
                <w:color w:val="auto"/>
                <w:sz w:val="24"/>
                <w:szCs w:val="24"/>
                <w:highlight w:val="none"/>
              </w:rPr>
              <w:t>分</w:t>
            </w:r>
          </w:p>
          <w:p>
            <w:pPr>
              <w:widowControl w:val="0"/>
              <w:snapToGrid w:val="0"/>
              <w:spacing w:line="240" w:lineRule="auto"/>
              <w:rPr>
                <w:rFonts w:ascii="宋体" w:cs="宋体"/>
                <w:color w:val="auto"/>
                <w:sz w:val="24"/>
                <w:szCs w:val="24"/>
                <w:highlight w:val="none"/>
              </w:rPr>
            </w:pPr>
            <w:r>
              <w:rPr>
                <w:rFonts w:hint="eastAsia" w:ascii="宋体" w:hAnsi="宋体" w:cs="宋体"/>
                <w:color w:val="auto"/>
                <w:sz w:val="24"/>
                <w:szCs w:val="24"/>
                <w:highlight w:val="none"/>
              </w:rPr>
              <w:t>商务部分：</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0" w:type="dxa"/>
            <w:vAlign w:val="center"/>
          </w:tcPr>
          <w:p>
            <w:pPr>
              <w:widowControl w:val="0"/>
              <w:autoSpaceDE w:val="0"/>
              <w:autoSpaceDN w:val="0"/>
              <w:adjustRightInd w:val="0"/>
              <w:spacing w:line="240" w:lineRule="auto"/>
              <w:jc w:val="center"/>
              <w:textAlignment w:val="auto"/>
              <w:rPr>
                <w:rFonts w:ascii="宋体" w:cs="宋体"/>
                <w:b/>
                <w:color w:val="auto"/>
                <w:sz w:val="24"/>
                <w:szCs w:val="24"/>
              </w:rPr>
            </w:pPr>
            <w:r>
              <w:rPr>
                <w:rFonts w:ascii="宋体" w:hAnsi="宋体" w:cs="宋体"/>
                <w:b/>
                <w:color w:val="auto"/>
                <w:sz w:val="24"/>
                <w:szCs w:val="24"/>
              </w:rPr>
              <w:t>3</w:t>
            </w:r>
            <w:r>
              <w:rPr>
                <w:rFonts w:hint="eastAsia" w:ascii="宋体" w:hAnsi="宋体" w:cs="宋体"/>
                <w:b/>
                <w:color w:val="auto"/>
                <w:sz w:val="24"/>
                <w:szCs w:val="24"/>
              </w:rPr>
              <w:t>条款号</w:t>
            </w:r>
          </w:p>
        </w:tc>
        <w:tc>
          <w:tcPr>
            <w:tcW w:w="1263" w:type="dxa"/>
            <w:vAlign w:val="center"/>
          </w:tcPr>
          <w:p>
            <w:pPr>
              <w:widowControl w:val="0"/>
              <w:snapToGrid w:val="0"/>
              <w:spacing w:line="240" w:lineRule="auto"/>
              <w:ind w:hanging="13"/>
              <w:jc w:val="center"/>
              <w:rPr>
                <w:rFonts w:ascii="宋体" w:cs="宋体"/>
                <w:b/>
                <w:color w:val="auto"/>
                <w:sz w:val="24"/>
                <w:szCs w:val="24"/>
              </w:rPr>
            </w:pPr>
            <w:r>
              <w:rPr>
                <w:rFonts w:hint="eastAsia" w:ascii="宋体" w:hAnsi="宋体" w:cs="宋体"/>
                <w:b/>
                <w:color w:val="auto"/>
                <w:sz w:val="24"/>
                <w:szCs w:val="24"/>
              </w:rPr>
              <w:t>评分因素</w:t>
            </w:r>
          </w:p>
        </w:tc>
        <w:tc>
          <w:tcPr>
            <w:tcW w:w="7877" w:type="dxa"/>
            <w:gridSpan w:val="2"/>
            <w:vAlign w:val="center"/>
          </w:tcPr>
          <w:p>
            <w:pPr>
              <w:widowControl w:val="0"/>
              <w:snapToGrid w:val="0"/>
              <w:spacing w:line="240" w:lineRule="auto"/>
              <w:jc w:val="center"/>
              <w:rPr>
                <w:rFonts w:ascii="宋体" w:cs="宋体"/>
                <w:b/>
                <w:color w:val="auto"/>
                <w:sz w:val="24"/>
                <w:szCs w:val="24"/>
              </w:rPr>
            </w:pPr>
            <w:r>
              <w:rPr>
                <w:rFonts w:hint="eastAsia" w:ascii="宋体" w:hAnsi="宋体" w:cs="宋体"/>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90" w:type="dxa"/>
            <w:vAlign w:val="center"/>
          </w:tcPr>
          <w:p>
            <w:pPr>
              <w:widowControl w:val="0"/>
              <w:autoSpaceDE w:val="0"/>
              <w:autoSpaceDN w:val="0"/>
              <w:adjustRightInd w:val="0"/>
              <w:spacing w:line="360" w:lineRule="auto"/>
              <w:jc w:val="center"/>
              <w:textAlignment w:val="auto"/>
              <w:rPr>
                <w:rFonts w:ascii="宋体" w:cs="宋体"/>
                <w:color w:val="auto"/>
                <w:sz w:val="24"/>
                <w:szCs w:val="24"/>
              </w:rPr>
            </w:pPr>
            <w:r>
              <w:rPr>
                <w:rFonts w:ascii="宋体" w:hAnsi="宋体" w:cs="宋体"/>
                <w:color w:val="auto"/>
                <w:sz w:val="24"/>
                <w:szCs w:val="24"/>
              </w:rPr>
              <w:t>2.2.2.1</w:t>
            </w:r>
          </w:p>
        </w:tc>
        <w:tc>
          <w:tcPr>
            <w:tcW w:w="1263" w:type="dxa"/>
            <w:vAlign w:val="center"/>
          </w:tcPr>
          <w:p>
            <w:pPr>
              <w:widowControl w:val="0"/>
              <w:autoSpaceDE w:val="0"/>
              <w:autoSpaceDN w:val="0"/>
              <w:adjustRightInd w:val="0"/>
              <w:snapToGrid w:val="0"/>
              <w:spacing w:line="300" w:lineRule="auto"/>
              <w:jc w:val="center"/>
              <w:textAlignment w:val="auto"/>
              <w:rPr>
                <w:rFonts w:ascii="宋体" w:cs="宋体"/>
                <w:color w:val="auto"/>
                <w:sz w:val="24"/>
                <w:szCs w:val="24"/>
              </w:rPr>
            </w:pPr>
            <w:r>
              <w:rPr>
                <w:rFonts w:hint="eastAsia" w:ascii="宋体" w:hAnsi="宋体" w:cs="宋体"/>
                <w:color w:val="auto"/>
                <w:sz w:val="24"/>
                <w:szCs w:val="24"/>
              </w:rPr>
              <w:t>价格</w:t>
            </w:r>
            <w:r>
              <w:rPr>
                <w:rFonts w:ascii="宋体" w:hAnsi="宋体" w:cs="宋体"/>
                <w:color w:val="auto"/>
                <w:sz w:val="24"/>
                <w:szCs w:val="24"/>
              </w:rPr>
              <w:t>(</w:t>
            </w:r>
            <w:r>
              <w:rPr>
                <w:rFonts w:hint="eastAsia" w:ascii="宋体" w:hAnsi="宋体" w:cs="宋体"/>
                <w:color w:val="auto"/>
                <w:sz w:val="24"/>
                <w:szCs w:val="24"/>
                <w:lang w:val="en-US" w:eastAsia="zh-CN"/>
              </w:rPr>
              <w:t>1</w:t>
            </w:r>
            <w:r>
              <w:rPr>
                <w:rFonts w:ascii="宋体" w:hAnsi="宋体" w:cs="宋体"/>
                <w:color w:val="auto"/>
                <w:sz w:val="24"/>
                <w:szCs w:val="24"/>
              </w:rPr>
              <w:t>0</w:t>
            </w:r>
            <w:r>
              <w:rPr>
                <w:rFonts w:hint="eastAsia" w:ascii="宋体" w:hAnsi="宋体" w:cs="宋体"/>
                <w:color w:val="auto"/>
                <w:sz w:val="24"/>
                <w:szCs w:val="24"/>
              </w:rPr>
              <w:t>分</w:t>
            </w:r>
            <w:r>
              <w:rPr>
                <w:rFonts w:ascii="宋体" w:hAnsi="宋体" w:cs="宋体"/>
                <w:color w:val="auto"/>
                <w:sz w:val="24"/>
                <w:szCs w:val="24"/>
              </w:rPr>
              <w:t>)</w:t>
            </w:r>
          </w:p>
        </w:tc>
        <w:tc>
          <w:tcPr>
            <w:tcW w:w="7877" w:type="dxa"/>
            <w:gridSpan w:val="2"/>
            <w:vAlign w:val="center"/>
          </w:tcPr>
          <w:p>
            <w:pPr>
              <w:snapToGrid w:val="0"/>
              <w:spacing w:line="360" w:lineRule="auto"/>
              <w:rPr>
                <w:rFonts w:ascii="宋体" w:cs="宋体"/>
                <w:sz w:val="24"/>
                <w:szCs w:val="24"/>
              </w:rPr>
            </w:pPr>
            <w:r>
              <w:rPr>
                <w:rFonts w:hint="eastAsia" w:ascii="宋体" w:hAnsi="宋体" w:cs="宋体"/>
                <w:sz w:val="24"/>
                <w:szCs w:val="24"/>
              </w:rPr>
              <w:t>以满足招标文件要求且最终报价最低的投标报价为评标基准价，其价格分为满分</w:t>
            </w:r>
            <w:r>
              <w:rPr>
                <w:rFonts w:hint="eastAsia" w:ascii="宋体" w:hAnsi="宋体" w:cs="宋体"/>
                <w:sz w:val="24"/>
                <w:szCs w:val="24"/>
                <w:lang w:val="en-US" w:eastAsia="zh-CN"/>
              </w:rPr>
              <w:t>1</w:t>
            </w:r>
            <w:r>
              <w:rPr>
                <w:rFonts w:ascii="宋体" w:hAnsi="宋体" w:cs="宋体"/>
                <w:sz w:val="24"/>
                <w:szCs w:val="24"/>
              </w:rPr>
              <w:t>0</w:t>
            </w:r>
            <w:r>
              <w:rPr>
                <w:rFonts w:hint="eastAsia" w:ascii="宋体" w:hAnsi="宋体" w:cs="宋体"/>
                <w:sz w:val="24"/>
                <w:szCs w:val="24"/>
              </w:rPr>
              <w:t>分。其他投标单位投标报价（扣除经评审合格的“价格扣除”）得分</w:t>
            </w:r>
            <w:r>
              <w:rPr>
                <w:rFonts w:ascii="宋体" w:hAnsi="宋体" w:cs="宋体"/>
                <w:sz w:val="24"/>
                <w:szCs w:val="24"/>
              </w:rPr>
              <w:t>=</w:t>
            </w:r>
            <w:r>
              <w:rPr>
                <w:rFonts w:hint="eastAsia" w:ascii="宋体" w:hAnsi="宋体" w:cs="宋体"/>
                <w:sz w:val="24"/>
                <w:szCs w:val="24"/>
              </w:rPr>
              <w:t>（评标基准价</w:t>
            </w:r>
            <w:r>
              <w:rPr>
                <w:rFonts w:ascii="宋体" w:hAnsi="宋体" w:cs="宋体"/>
                <w:sz w:val="24"/>
                <w:szCs w:val="24"/>
              </w:rPr>
              <w:t>/</w:t>
            </w:r>
            <w:r>
              <w:rPr>
                <w:rFonts w:hint="eastAsia" w:ascii="宋体" w:hAnsi="宋体" w:cs="宋体"/>
                <w:sz w:val="24"/>
                <w:szCs w:val="24"/>
              </w:rPr>
              <w:t>投标报价</w:t>
            </w:r>
            <w:r>
              <w:rPr>
                <w:rFonts w:ascii="宋体" w:hAnsi="宋体" w:cs="宋体"/>
                <w:sz w:val="24"/>
                <w:szCs w:val="24"/>
              </w:rPr>
              <w:t>&lt;</w:t>
            </w:r>
            <w:r>
              <w:rPr>
                <w:rFonts w:hint="eastAsia" w:ascii="宋体" w:hAnsi="宋体" w:cs="宋体"/>
                <w:sz w:val="24"/>
                <w:szCs w:val="24"/>
              </w:rPr>
              <w:t>扣除经评审合格的“价格扣除”</w:t>
            </w:r>
            <w:r>
              <w:rPr>
                <w:rFonts w:ascii="宋体" w:hAnsi="宋体" w:cs="宋体"/>
                <w:sz w:val="24"/>
                <w:szCs w:val="24"/>
              </w:rPr>
              <w:t>&gt;</w:t>
            </w:r>
            <w:r>
              <w:rPr>
                <w:rFonts w:hint="eastAsia" w:ascii="宋体" w:hAnsi="宋体" w:cs="宋体"/>
                <w:sz w:val="24"/>
                <w:szCs w:val="24"/>
              </w:rPr>
              <w:t>）×</w:t>
            </w:r>
            <w:r>
              <w:rPr>
                <w:rFonts w:hint="eastAsia" w:ascii="宋体" w:hAnsi="宋体" w:cs="宋体"/>
                <w:sz w:val="24"/>
                <w:szCs w:val="24"/>
                <w:lang w:val="en-US" w:eastAsia="zh-CN"/>
              </w:rPr>
              <w:t>1</w:t>
            </w:r>
            <w:r>
              <w:rPr>
                <w:rFonts w:ascii="宋体" w:hAnsi="宋体" w:cs="宋体"/>
                <w:sz w:val="24"/>
                <w:szCs w:val="24"/>
              </w:rPr>
              <w:t>0</w:t>
            </w:r>
            <w:r>
              <w:rPr>
                <w:rFonts w:hint="eastAsia" w:ascii="宋体" w:hAnsi="宋体" w:cs="宋体"/>
                <w:sz w:val="24"/>
                <w:szCs w:val="24"/>
              </w:rPr>
              <w:t>。</w:t>
            </w:r>
          </w:p>
          <w:p>
            <w:pPr>
              <w:snapToGrid w:val="0"/>
              <w:spacing w:line="360" w:lineRule="auto"/>
              <w:rPr>
                <w:color w:val="auto"/>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，对小型和微型企业产品的价格给予</w:t>
            </w:r>
            <w:r>
              <w:rPr>
                <w:rFonts w:ascii="宋体" w:hAnsi="宋体" w:cs="宋体"/>
                <w:sz w:val="24"/>
                <w:szCs w:val="24"/>
              </w:rPr>
              <w:t>6%</w:t>
            </w:r>
            <w:r>
              <w:rPr>
                <w:rFonts w:hint="eastAsia" w:ascii="宋体" w:hAnsi="宋体" w:cs="宋体"/>
                <w:sz w:val="24"/>
                <w:szCs w:val="24"/>
              </w:rPr>
              <w:t>的扣除，用扣除后的价格参与评审；</w:t>
            </w:r>
            <w:r>
              <w:rPr>
                <w:rFonts w:ascii="宋体" w:hAnsi="宋体" w:cs="宋体"/>
                <w:sz w:val="24"/>
                <w:szCs w:val="24"/>
              </w:rPr>
              <w:t>2</w:t>
            </w:r>
            <w:r>
              <w:rPr>
                <w:rFonts w:hint="eastAsia" w:ascii="宋体" w:hAnsi="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890" w:type="dxa"/>
            <w:vMerge w:val="restart"/>
            <w:vAlign w:val="center"/>
          </w:tcPr>
          <w:p>
            <w:pPr>
              <w:widowControl w:val="0"/>
              <w:autoSpaceDE w:val="0"/>
              <w:autoSpaceDN w:val="0"/>
              <w:adjustRightInd w:val="0"/>
              <w:spacing w:line="360" w:lineRule="auto"/>
              <w:jc w:val="center"/>
              <w:textAlignment w:val="auto"/>
              <w:rPr>
                <w:rFonts w:ascii="宋体" w:cs="宋体"/>
                <w:color w:val="auto"/>
                <w:sz w:val="24"/>
                <w:szCs w:val="24"/>
              </w:rPr>
            </w:pPr>
            <w:r>
              <w:rPr>
                <w:rFonts w:ascii="宋体" w:hAnsi="宋体" w:cs="宋体"/>
                <w:color w:val="auto"/>
                <w:sz w:val="24"/>
                <w:szCs w:val="24"/>
              </w:rPr>
              <w:t>2.2.2.2</w:t>
            </w:r>
          </w:p>
        </w:tc>
        <w:tc>
          <w:tcPr>
            <w:tcW w:w="1263" w:type="dxa"/>
            <w:vMerge w:val="restart"/>
            <w:vAlign w:val="center"/>
          </w:tcPr>
          <w:p>
            <w:pPr>
              <w:widowControl w:val="0"/>
              <w:autoSpaceDE w:val="0"/>
              <w:autoSpaceDN w:val="0"/>
              <w:adjustRightInd w:val="0"/>
              <w:snapToGrid w:val="0"/>
              <w:spacing w:line="300" w:lineRule="auto"/>
              <w:jc w:val="center"/>
              <w:textAlignment w:val="auto"/>
              <w:rPr>
                <w:rFonts w:ascii="宋体" w:cs="宋体"/>
                <w:b/>
                <w:color w:val="auto"/>
                <w:sz w:val="24"/>
                <w:szCs w:val="24"/>
                <w:highlight w:val="none"/>
              </w:rPr>
            </w:pPr>
            <w:r>
              <w:rPr>
                <w:rFonts w:hint="eastAsia" w:ascii="宋体" w:hAnsi="宋体" w:cs="宋体"/>
                <w:color w:val="auto"/>
                <w:sz w:val="24"/>
                <w:szCs w:val="24"/>
                <w:highlight w:val="none"/>
              </w:rPr>
              <w:t>技术部分（</w:t>
            </w: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5</w:t>
            </w:r>
            <w:r>
              <w:rPr>
                <w:rFonts w:hint="eastAsia" w:ascii="宋体" w:hAnsi="宋体" w:cs="宋体"/>
                <w:color w:val="auto"/>
                <w:sz w:val="24"/>
                <w:szCs w:val="24"/>
                <w:highlight w:val="none"/>
              </w:rPr>
              <w:t>分）</w:t>
            </w:r>
          </w:p>
        </w:tc>
        <w:tc>
          <w:tcPr>
            <w:tcW w:w="1234" w:type="dxa"/>
            <w:vAlign w:val="center"/>
          </w:tcPr>
          <w:p>
            <w:pPr>
              <w:widowControl w:val="0"/>
              <w:snapToGrid w:val="0"/>
              <w:spacing w:line="240" w:lineRule="auto"/>
              <w:rPr>
                <w:color w:val="auto"/>
                <w:sz w:val="24"/>
                <w:szCs w:val="24"/>
                <w:highlight w:val="none"/>
              </w:rPr>
            </w:pPr>
            <w:r>
              <w:rPr>
                <w:rFonts w:hint="eastAsia"/>
                <w:color w:val="auto"/>
                <w:sz w:val="24"/>
                <w:szCs w:val="24"/>
                <w:highlight w:val="none"/>
              </w:rPr>
              <w:t>服务承诺（</w:t>
            </w:r>
            <w:r>
              <w:rPr>
                <w:color w:val="auto"/>
                <w:sz w:val="24"/>
                <w:szCs w:val="24"/>
                <w:highlight w:val="none"/>
              </w:rPr>
              <w:t>1</w:t>
            </w:r>
            <w:r>
              <w:rPr>
                <w:rFonts w:hint="eastAsia"/>
                <w:color w:val="auto"/>
                <w:sz w:val="24"/>
                <w:szCs w:val="24"/>
                <w:highlight w:val="none"/>
                <w:lang w:val="en-US" w:eastAsia="zh-CN"/>
              </w:rPr>
              <w:t>5</w:t>
            </w:r>
            <w:r>
              <w:rPr>
                <w:rFonts w:hint="eastAsia"/>
                <w:color w:val="auto"/>
                <w:sz w:val="24"/>
                <w:szCs w:val="24"/>
                <w:highlight w:val="none"/>
              </w:rPr>
              <w:t>分）</w:t>
            </w:r>
          </w:p>
        </w:tc>
        <w:tc>
          <w:tcPr>
            <w:tcW w:w="6643" w:type="dxa"/>
            <w:vAlign w:val="center"/>
          </w:tcPr>
          <w:p>
            <w:pPr>
              <w:snapToGrid w:val="0"/>
              <w:spacing w:line="360" w:lineRule="auto"/>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根据政府相关部门的检查安排、各类</w:t>
            </w:r>
            <w:r>
              <w:rPr>
                <w:rFonts w:ascii="宋体" w:hAnsi="宋体" w:cs="宋体"/>
                <w:sz w:val="24"/>
                <w:szCs w:val="24"/>
                <w:highlight w:val="none"/>
              </w:rPr>
              <w:t xml:space="preserve"> </w:t>
            </w:r>
            <w:r>
              <w:rPr>
                <w:rFonts w:hint="eastAsia" w:ascii="宋体" w:hAnsi="宋体" w:cs="宋体"/>
                <w:sz w:val="24"/>
                <w:szCs w:val="24"/>
                <w:highlight w:val="none"/>
              </w:rPr>
              <w:t>活动，无条件随时配合采购人进行管养作业实施的承诺。由评审小组依据承诺内容在</w:t>
            </w:r>
            <w:r>
              <w:rPr>
                <w:rFonts w:ascii="宋体" w:hAnsi="宋体" w:cs="宋体"/>
                <w:sz w:val="24"/>
                <w:szCs w:val="24"/>
                <w:highlight w:val="none"/>
              </w:rPr>
              <w:t>0-</w:t>
            </w:r>
            <w:r>
              <w:rPr>
                <w:rFonts w:hint="eastAsia" w:ascii="宋体" w:hAnsi="宋体" w:cs="宋体"/>
                <w:sz w:val="24"/>
                <w:szCs w:val="24"/>
                <w:highlight w:val="none"/>
                <w:lang w:val="en-US" w:eastAsia="zh-CN"/>
              </w:rPr>
              <w:t>5</w:t>
            </w:r>
            <w:r>
              <w:rPr>
                <w:rFonts w:hint="eastAsia" w:ascii="宋体" w:hAnsi="宋体" w:cs="宋体"/>
                <w:sz w:val="24"/>
                <w:szCs w:val="24"/>
                <w:highlight w:val="none"/>
              </w:rPr>
              <w:t>分范围内进行打分。</w:t>
            </w:r>
            <w:r>
              <w:rPr>
                <w:rFonts w:ascii="宋体" w:hAnsi="宋体" w:cs="宋体"/>
                <w:sz w:val="24"/>
                <w:szCs w:val="24"/>
                <w:highlight w:val="none"/>
              </w:rPr>
              <w:t xml:space="preserve"> </w:t>
            </w:r>
          </w:p>
          <w:p>
            <w:pPr>
              <w:snapToGrid w:val="0"/>
              <w:spacing w:line="360" w:lineRule="auto"/>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积极配合采购人工作，投入充足人员，保证服务质量的承诺。由评审小组依据承诺内容在</w:t>
            </w:r>
            <w:r>
              <w:rPr>
                <w:rFonts w:ascii="宋体" w:hAnsi="宋体" w:cs="宋体"/>
                <w:sz w:val="24"/>
                <w:szCs w:val="24"/>
                <w:highlight w:val="none"/>
              </w:rPr>
              <w:t>0-5</w:t>
            </w:r>
            <w:r>
              <w:rPr>
                <w:rFonts w:hint="eastAsia" w:ascii="宋体" w:hAnsi="宋体" w:cs="宋体"/>
                <w:sz w:val="24"/>
                <w:szCs w:val="24"/>
                <w:highlight w:val="none"/>
              </w:rPr>
              <w:t>分范围内进行打分。</w:t>
            </w:r>
            <w:r>
              <w:rPr>
                <w:rFonts w:ascii="宋体" w:hAnsi="宋体" w:cs="宋体"/>
                <w:sz w:val="24"/>
                <w:szCs w:val="24"/>
                <w:highlight w:val="none"/>
              </w:rPr>
              <w:t xml:space="preserve"> </w:t>
            </w:r>
          </w:p>
          <w:p>
            <w:pPr>
              <w:snapToGrid w:val="0"/>
              <w:spacing w:line="360" w:lineRule="auto"/>
              <w:rPr>
                <w:rFonts w:ascii="宋体" w:cs="宋体"/>
                <w:sz w:val="24"/>
                <w:szCs w:val="24"/>
                <w:highlight w:val="none"/>
              </w:rPr>
            </w:pPr>
            <w:r>
              <w:rPr>
                <w:sz w:val="24"/>
                <w:szCs w:val="24"/>
                <w:highlight w:val="none"/>
              </w:rPr>
              <w:t>3.</w:t>
            </w:r>
            <w:r>
              <w:rPr>
                <w:rFonts w:hint="eastAsia"/>
                <w:sz w:val="24"/>
                <w:szCs w:val="24"/>
                <w:highlight w:val="none"/>
              </w:rPr>
              <w:t>服务期限服从采购人管理承诺。</w:t>
            </w:r>
            <w:r>
              <w:rPr>
                <w:rFonts w:hint="eastAsia" w:ascii="宋体" w:hAnsi="宋体" w:cs="宋体"/>
                <w:sz w:val="24"/>
                <w:szCs w:val="24"/>
                <w:highlight w:val="none"/>
              </w:rPr>
              <w:t>由评审小组依据承诺内容在</w:t>
            </w:r>
            <w:r>
              <w:rPr>
                <w:rFonts w:ascii="宋体" w:hAnsi="宋体" w:cs="宋体"/>
                <w:sz w:val="24"/>
                <w:szCs w:val="24"/>
                <w:highlight w:val="none"/>
              </w:rPr>
              <w:t>0-</w:t>
            </w:r>
            <w:r>
              <w:rPr>
                <w:rFonts w:hint="eastAsia" w:ascii="宋体" w:hAnsi="宋体" w:cs="宋体"/>
                <w:sz w:val="24"/>
                <w:szCs w:val="24"/>
                <w:highlight w:val="none"/>
                <w:lang w:val="en-US" w:eastAsia="zh-CN"/>
              </w:rPr>
              <w:t>5</w:t>
            </w:r>
            <w:r>
              <w:rPr>
                <w:rFonts w:hint="eastAsia" w:ascii="宋体" w:hAnsi="宋体" w:cs="宋体"/>
                <w:sz w:val="24"/>
                <w:szCs w:val="24"/>
                <w:highlight w:val="none"/>
              </w:rPr>
              <w:t>分范围内进行打分。</w:t>
            </w:r>
            <w:r>
              <w:rPr>
                <w:rFonts w:ascii="宋体" w:hAnsi="宋体" w:cs="宋体"/>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8" w:hRule="atLeast"/>
          <w:jc w:val="center"/>
        </w:trPr>
        <w:tc>
          <w:tcPr>
            <w:tcW w:w="890" w:type="dxa"/>
            <w:vMerge w:val="continue"/>
            <w:vAlign w:val="center"/>
          </w:tcPr>
          <w:p>
            <w:pPr>
              <w:widowControl w:val="0"/>
              <w:autoSpaceDE w:val="0"/>
              <w:autoSpaceDN w:val="0"/>
              <w:adjustRightInd w:val="0"/>
              <w:spacing w:line="360" w:lineRule="auto"/>
              <w:jc w:val="center"/>
              <w:textAlignment w:val="auto"/>
              <w:rPr>
                <w:rFonts w:ascii="宋体" w:cs="宋体"/>
                <w:color w:val="auto"/>
                <w:sz w:val="24"/>
                <w:szCs w:val="24"/>
              </w:rPr>
            </w:pPr>
          </w:p>
        </w:tc>
        <w:tc>
          <w:tcPr>
            <w:tcW w:w="1263" w:type="dxa"/>
            <w:vMerge w:val="continue"/>
            <w:vAlign w:val="center"/>
          </w:tcPr>
          <w:p>
            <w:pPr>
              <w:widowControl w:val="0"/>
              <w:autoSpaceDE w:val="0"/>
              <w:autoSpaceDN w:val="0"/>
              <w:adjustRightInd w:val="0"/>
              <w:snapToGrid w:val="0"/>
              <w:spacing w:line="300" w:lineRule="auto"/>
              <w:jc w:val="center"/>
              <w:textAlignment w:val="auto"/>
              <w:rPr>
                <w:rFonts w:ascii="宋体" w:cs="宋体"/>
                <w:b/>
                <w:color w:val="auto"/>
                <w:sz w:val="24"/>
                <w:szCs w:val="24"/>
                <w:highlight w:val="none"/>
              </w:rPr>
            </w:pPr>
          </w:p>
        </w:tc>
        <w:tc>
          <w:tcPr>
            <w:tcW w:w="1234" w:type="dxa"/>
            <w:vAlign w:val="center"/>
          </w:tcPr>
          <w:p>
            <w:pPr>
              <w:widowControl w:val="0"/>
              <w:snapToGrid w:val="0"/>
              <w:spacing w:line="240" w:lineRule="auto"/>
              <w:rPr>
                <w:rFonts w:ascii="宋体" w:cs="宋体"/>
                <w:color w:val="auto"/>
                <w:sz w:val="24"/>
                <w:szCs w:val="24"/>
                <w:highlight w:val="none"/>
              </w:rPr>
            </w:pPr>
            <w:r>
              <w:rPr>
                <w:rFonts w:hint="eastAsia" w:ascii="宋体" w:hAnsi="宋体" w:cs="宋体"/>
                <w:color w:val="auto"/>
                <w:sz w:val="24"/>
                <w:szCs w:val="24"/>
                <w:highlight w:val="none"/>
              </w:rPr>
              <w:t>服务方案（</w:t>
            </w:r>
            <w:r>
              <w:rPr>
                <w:rFonts w:hint="eastAsia" w:ascii="宋体" w:hAnsi="宋体" w:cs="宋体"/>
                <w:color w:val="auto"/>
                <w:sz w:val="24"/>
                <w:szCs w:val="24"/>
                <w:highlight w:val="none"/>
                <w:lang w:val="en-US" w:eastAsia="zh-CN"/>
              </w:rPr>
              <w:t>40</w:t>
            </w:r>
            <w:r>
              <w:rPr>
                <w:rFonts w:hint="eastAsia" w:ascii="宋体" w:hAnsi="宋体" w:cs="宋体"/>
                <w:color w:val="auto"/>
                <w:sz w:val="24"/>
                <w:szCs w:val="24"/>
                <w:highlight w:val="none"/>
              </w:rPr>
              <w:t>分）</w:t>
            </w:r>
          </w:p>
        </w:tc>
        <w:tc>
          <w:tcPr>
            <w:tcW w:w="6643" w:type="dxa"/>
          </w:tcPr>
          <w:p>
            <w:pPr>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绿地管养方案体系与措施（</w:t>
            </w:r>
            <w:r>
              <w:rPr>
                <w:rFonts w:ascii="宋体" w:hAnsi="宋体" w:cs="宋体"/>
                <w:sz w:val="24"/>
                <w:szCs w:val="24"/>
                <w:highlight w:val="none"/>
              </w:rPr>
              <w:t>0-</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pPr>
              <w:jc w:val="left"/>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绿地保洁、保护方案（</w:t>
            </w:r>
            <w:r>
              <w:rPr>
                <w:rFonts w:ascii="宋体" w:hAnsi="宋体" w:cs="宋体"/>
                <w:sz w:val="24"/>
                <w:szCs w:val="24"/>
                <w:highlight w:val="none"/>
              </w:rPr>
              <w:t>0-</w:t>
            </w: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p>
            <w:pPr>
              <w:jc w:val="left"/>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质量管理体系与措施（</w:t>
            </w:r>
            <w:r>
              <w:rPr>
                <w:rFonts w:ascii="宋体" w:hAnsi="宋体" w:cs="宋体"/>
                <w:sz w:val="24"/>
                <w:szCs w:val="24"/>
                <w:highlight w:val="none"/>
              </w:rPr>
              <w:t>0-</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pPr>
              <w:rPr>
                <w:rFonts w:asci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安全管理体系与措施（</w:t>
            </w:r>
            <w:r>
              <w:rPr>
                <w:rFonts w:ascii="宋体" w:hAnsi="宋体" w:cs="宋体"/>
                <w:sz w:val="24"/>
                <w:szCs w:val="24"/>
                <w:highlight w:val="none"/>
              </w:rPr>
              <w:t>0-</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pPr>
              <w:pStyle w:val="2"/>
              <w:rPr>
                <w:highlight w:val="none"/>
              </w:rPr>
            </w:pPr>
            <w:r>
              <w:rPr>
                <w:rFonts w:ascii="宋体" w:hAnsi="宋体" w:cs="宋体"/>
                <w:sz w:val="24"/>
                <w:szCs w:val="24"/>
                <w:highlight w:val="none"/>
              </w:rPr>
              <w:t>5.</w:t>
            </w:r>
            <w:r>
              <w:rPr>
                <w:rFonts w:hint="eastAsia" w:ascii="宋体" w:hAnsi="宋体" w:cs="宋体"/>
                <w:sz w:val="24"/>
                <w:szCs w:val="24"/>
                <w:highlight w:val="none"/>
              </w:rPr>
              <w:t>环境保护管理体系与措施（</w:t>
            </w:r>
            <w:r>
              <w:rPr>
                <w:rFonts w:ascii="宋体" w:hAnsi="宋体" w:cs="宋体"/>
                <w:sz w:val="24"/>
                <w:szCs w:val="24"/>
                <w:highlight w:val="none"/>
              </w:rPr>
              <w:t>0-</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pPr>
              <w:rPr>
                <w:rFonts w:ascii="宋体" w:cs="宋体"/>
                <w:sz w:val="24"/>
                <w:szCs w:val="24"/>
                <w:highlight w:val="none"/>
              </w:rPr>
            </w:pPr>
            <w:r>
              <w:rPr>
                <w:rFonts w:ascii="宋体" w:hAnsi="宋体" w:cs="宋体"/>
                <w:sz w:val="24"/>
                <w:szCs w:val="24"/>
                <w:highlight w:val="none"/>
              </w:rPr>
              <w:t>6.</w:t>
            </w:r>
            <w:r>
              <w:rPr>
                <w:rFonts w:hint="eastAsia" w:ascii="宋体" w:hAnsi="宋体" w:cs="宋体"/>
                <w:sz w:val="24"/>
                <w:szCs w:val="24"/>
                <w:highlight w:val="none"/>
              </w:rPr>
              <w:t>项目人员配备情况（</w:t>
            </w:r>
            <w:r>
              <w:rPr>
                <w:rFonts w:ascii="宋体" w:hAnsi="宋体" w:cs="宋体"/>
                <w:sz w:val="24"/>
                <w:szCs w:val="24"/>
                <w:highlight w:val="none"/>
              </w:rPr>
              <w:t>0-</w:t>
            </w:r>
            <w:r>
              <w:rPr>
                <w:rFonts w:hint="eastAsia" w:ascii="宋体" w:hAnsi="宋体" w:cs="宋体"/>
                <w:sz w:val="24"/>
                <w:szCs w:val="24"/>
                <w:highlight w:val="none"/>
                <w:lang w:val="en-US" w:eastAsia="zh-CN"/>
              </w:rPr>
              <w:t>8</w:t>
            </w:r>
            <w:r>
              <w:rPr>
                <w:rFonts w:hint="eastAsia" w:ascii="宋体" w:hAnsi="宋体" w:cs="宋体"/>
                <w:sz w:val="24"/>
                <w:szCs w:val="24"/>
                <w:highlight w:val="none"/>
              </w:rPr>
              <w:t>分）</w:t>
            </w:r>
          </w:p>
          <w:p>
            <w:pPr>
              <w:rPr>
                <w:rFonts w:asci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应急预案处理办法（</w:t>
            </w:r>
            <w:r>
              <w:rPr>
                <w:rFonts w:ascii="宋体" w:hAnsi="宋体" w:cs="宋体"/>
                <w:sz w:val="24"/>
                <w:szCs w:val="24"/>
                <w:highlight w:val="none"/>
              </w:rPr>
              <w:t>0-</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890" w:type="dxa"/>
            <w:vMerge w:val="continue"/>
            <w:vAlign w:val="center"/>
          </w:tcPr>
          <w:p>
            <w:pPr>
              <w:widowControl w:val="0"/>
              <w:autoSpaceDE w:val="0"/>
              <w:autoSpaceDN w:val="0"/>
              <w:adjustRightInd w:val="0"/>
              <w:spacing w:line="360" w:lineRule="auto"/>
              <w:jc w:val="center"/>
              <w:textAlignment w:val="auto"/>
              <w:rPr>
                <w:rFonts w:ascii="宋体" w:cs="宋体"/>
                <w:color w:val="auto"/>
                <w:sz w:val="24"/>
                <w:szCs w:val="24"/>
              </w:rPr>
            </w:pPr>
          </w:p>
        </w:tc>
        <w:tc>
          <w:tcPr>
            <w:tcW w:w="1263" w:type="dxa"/>
            <w:vMerge w:val="continue"/>
            <w:vAlign w:val="center"/>
          </w:tcPr>
          <w:p>
            <w:pPr>
              <w:widowControl w:val="0"/>
              <w:autoSpaceDE w:val="0"/>
              <w:autoSpaceDN w:val="0"/>
              <w:adjustRightInd w:val="0"/>
              <w:snapToGrid w:val="0"/>
              <w:spacing w:line="300" w:lineRule="auto"/>
              <w:jc w:val="center"/>
              <w:textAlignment w:val="auto"/>
              <w:rPr>
                <w:rFonts w:ascii="宋体" w:cs="宋体"/>
                <w:b/>
                <w:color w:val="auto"/>
                <w:sz w:val="24"/>
                <w:szCs w:val="24"/>
              </w:rPr>
            </w:pPr>
          </w:p>
        </w:tc>
        <w:tc>
          <w:tcPr>
            <w:tcW w:w="1234" w:type="dxa"/>
            <w:vAlign w:val="center"/>
          </w:tcPr>
          <w:p>
            <w:pPr>
              <w:widowControl w:val="0"/>
              <w:snapToGrid w:val="0"/>
              <w:spacing w:line="240" w:lineRule="auto"/>
              <w:rPr>
                <w:color w:val="auto"/>
                <w:sz w:val="24"/>
                <w:szCs w:val="24"/>
              </w:rPr>
            </w:pPr>
            <w:r>
              <w:rPr>
                <w:rFonts w:hint="eastAsia"/>
                <w:color w:val="auto"/>
                <w:sz w:val="24"/>
                <w:szCs w:val="24"/>
              </w:rPr>
              <w:t>投入人员情况</w:t>
            </w:r>
          </w:p>
          <w:p>
            <w:pPr>
              <w:widowControl w:val="0"/>
              <w:snapToGrid w:val="0"/>
              <w:spacing w:line="240" w:lineRule="auto"/>
              <w:rPr>
                <w:color w:val="auto"/>
                <w:sz w:val="24"/>
                <w:szCs w:val="24"/>
              </w:rPr>
            </w:pPr>
            <w:r>
              <w:rPr>
                <w:rFonts w:hint="eastAsia"/>
                <w:color w:val="auto"/>
                <w:sz w:val="24"/>
                <w:szCs w:val="24"/>
              </w:rPr>
              <w:t>（</w:t>
            </w:r>
            <w:r>
              <w:rPr>
                <w:color w:val="auto"/>
                <w:sz w:val="24"/>
                <w:szCs w:val="24"/>
              </w:rPr>
              <w:t>20</w:t>
            </w:r>
            <w:r>
              <w:rPr>
                <w:rFonts w:hint="eastAsia"/>
                <w:color w:val="auto"/>
                <w:sz w:val="24"/>
                <w:szCs w:val="24"/>
              </w:rPr>
              <w:t>分）</w:t>
            </w:r>
          </w:p>
        </w:tc>
        <w:tc>
          <w:tcPr>
            <w:tcW w:w="6643" w:type="dxa"/>
            <w:vAlign w:val="center"/>
          </w:tcPr>
          <w:p>
            <w:pPr>
              <w:jc w:val="left"/>
              <w:rPr>
                <w:bCs/>
                <w:color w:val="auto"/>
                <w:sz w:val="24"/>
                <w:szCs w:val="24"/>
              </w:rPr>
            </w:pPr>
            <w:r>
              <w:rPr>
                <w:bCs/>
                <w:color w:val="auto"/>
                <w:sz w:val="24"/>
                <w:szCs w:val="24"/>
              </w:rPr>
              <w:t>1.</w:t>
            </w:r>
            <w:r>
              <w:rPr>
                <w:rFonts w:hint="eastAsia"/>
                <w:bCs/>
                <w:color w:val="auto"/>
                <w:sz w:val="24"/>
                <w:szCs w:val="24"/>
              </w:rPr>
              <w:t>专业技术人员：具有园林绿化相关专业中级职称及以上每人得</w:t>
            </w:r>
            <w:r>
              <w:rPr>
                <w:bCs/>
                <w:color w:val="auto"/>
                <w:sz w:val="24"/>
                <w:szCs w:val="24"/>
              </w:rPr>
              <w:t>2</w:t>
            </w:r>
            <w:r>
              <w:rPr>
                <w:rFonts w:hint="eastAsia"/>
                <w:bCs/>
                <w:color w:val="auto"/>
                <w:sz w:val="24"/>
                <w:szCs w:val="24"/>
              </w:rPr>
              <w:t>分，最多</w:t>
            </w:r>
            <w:r>
              <w:rPr>
                <w:bCs/>
                <w:color w:val="auto"/>
                <w:sz w:val="24"/>
                <w:szCs w:val="24"/>
              </w:rPr>
              <w:t>10</w:t>
            </w:r>
            <w:r>
              <w:rPr>
                <w:rFonts w:hint="eastAsia"/>
                <w:bCs/>
                <w:color w:val="auto"/>
                <w:sz w:val="24"/>
                <w:szCs w:val="24"/>
              </w:rPr>
              <w:t>分；</w:t>
            </w:r>
            <w:r>
              <w:rPr>
                <w:bCs/>
                <w:color w:val="auto"/>
                <w:sz w:val="24"/>
                <w:szCs w:val="24"/>
              </w:rPr>
              <w:t xml:space="preserve"> </w:t>
            </w:r>
          </w:p>
          <w:p>
            <w:pPr>
              <w:jc w:val="left"/>
              <w:rPr>
                <w:bCs/>
                <w:color w:val="auto"/>
                <w:sz w:val="24"/>
                <w:szCs w:val="24"/>
              </w:rPr>
            </w:pPr>
            <w:r>
              <w:rPr>
                <w:bCs/>
                <w:color w:val="auto"/>
                <w:sz w:val="24"/>
                <w:szCs w:val="24"/>
              </w:rPr>
              <w:t>2.</w:t>
            </w:r>
            <w:r>
              <w:rPr>
                <w:rFonts w:hint="eastAsia"/>
                <w:bCs/>
                <w:color w:val="auto"/>
                <w:sz w:val="24"/>
                <w:szCs w:val="24"/>
              </w:rPr>
              <w:t>技工人员（园林绿化相关专业中级工以上）：技工人员数量达到用工总人数的</w:t>
            </w:r>
            <w:r>
              <w:rPr>
                <w:bCs/>
                <w:color w:val="auto"/>
                <w:sz w:val="24"/>
                <w:szCs w:val="24"/>
              </w:rPr>
              <w:t>10%</w:t>
            </w:r>
            <w:r>
              <w:rPr>
                <w:rFonts w:hint="eastAsia"/>
                <w:bCs/>
                <w:color w:val="auto"/>
                <w:sz w:val="24"/>
                <w:szCs w:val="24"/>
              </w:rPr>
              <w:t>的得</w:t>
            </w:r>
            <w:r>
              <w:rPr>
                <w:bCs/>
                <w:color w:val="auto"/>
                <w:sz w:val="24"/>
                <w:szCs w:val="24"/>
              </w:rPr>
              <w:t>5</w:t>
            </w:r>
            <w:r>
              <w:rPr>
                <w:rFonts w:hint="eastAsia"/>
                <w:bCs/>
                <w:color w:val="auto"/>
                <w:sz w:val="24"/>
                <w:szCs w:val="24"/>
              </w:rPr>
              <w:t>分，技工人员数量达到用工总人数的</w:t>
            </w:r>
            <w:r>
              <w:rPr>
                <w:bCs/>
                <w:color w:val="auto"/>
                <w:sz w:val="24"/>
                <w:szCs w:val="24"/>
              </w:rPr>
              <w:t>20%</w:t>
            </w:r>
            <w:r>
              <w:rPr>
                <w:rFonts w:hint="eastAsia"/>
                <w:bCs/>
                <w:color w:val="auto"/>
                <w:sz w:val="24"/>
                <w:szCs w:val="24"/>
              </w:rPr>
              <w:t>的得</w:t>
            </w:r>
            <w:r>
              <w:rPr>
                <w:bCs/>
                <w:color w:val="auto"/>
                <w:sz w:val="24"/>
                <w:szCs w:val="24"/>
              </w:rPr>
              <w:t>10</w:t>
            </w:r>
            <w:r>
              <w:rPr>
                <w:rFonts w:hint="eastAsia"/>
                <w:bCs/>
                <w:color w:val="auto"/>
                <w:sz w:val="24"/>
                <w:szCs w:val="24"/>
              </w:rPr>
              <w:t>分，最多</w:t>
            </w:r>
            <w:r>
              <w:rPr>
                <w:bCs/>
                <w:color w:val="auto"/>
                <w:sz w:val="24"/>
                <w:szCs w:val="24"/>
              </w:rPr>
              <w:t>10</w:t>
            </w:r>
            <w:r>
              <w:rPr>
                <w:rFonts w:hint="eastAsia"/>
                <w:bCs/>
                <w:color w:val="auto"/>
                <w:sz w:val="24"/>
                <w:szCs w:val="24"/>
              </w:rPr>
              <w:t>分。（技工人员总数量以</w:t>
            </w:r>
            <w:r>
              <w:rPr>
                <w:bCs/>
                <w:color w:val="auto"/>
                <w:sz w:val="24"/>
                <w:szCs w:val="24"/>
              </w:rPr>
              <w:t>2021</w:t>
            </w:r>
            <w:r>
              <w:rPr>
                <w:rFonts w:hint="eastAsia"/>
                <w:bCs/>
                <w:color w:val="auto"/>
                <w:sz w:val="24"/>
                <w:szCs w:val="24"/>
              </w:rPr>
              <w:t>年人数为基数）</w:t>
            </w:r>
          </w:p>
          <w:p>
            <w:pPr>
              <w:jc w:val="left"/>
              <w:rPr>
                <w:b/>
                <w:color w:val="auto"/>
                <w:sz w:val="24"/>
                <w:szCs w:val="24"/>
              </w:rPr>
            </w:pPr>
            <w:r>
              <w:rPr>
                <w:rFonts w:hint="eastAsia"/>
                <w:bCs/>
                <w:color w:val="auto"/>
                <w:sz w:val="24"/>
                <w:szCs w:val="24"/>
              </w:rPr>
              <w:t>注：以上人员须提供人员证书（以权威机构颁发的证书为准）及单位缴纳社保证明，不提供不得分，人员不重复得分。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90" w:type="dxa"/>
            <w:vAlign w:val="center"/>
          </w:tcPr>
          <w:p>
            <w:pPr>
              <w:widowControl w:val="0"/>
              <w:autoSpaceDE w:val="0"/>
              <w:autoSpaceDN w:val="0"/>
              <w:adjustRightInd w:val="0"/>
              <w:spacing w:line="240" w:lineRule="auto"/>
              <w:jc w:val="center"/>
              <w:textAlignment w:val="auto"/>
              <w:rPr>
                <w:rFonts w:ascii="宋体" w:cs="宋体"/>
                <w:color w:val="auto"/>
                <w:sz w:val="24"/>
                <w:szCs w:val="24"/>
              </w:rPr>
            </w:pPr>
            <w:r>
              <w:rPr>
                <w:rFonts w:ascii="宋体" w:hAnsi="宋体" w:cs="宋体"/>
                <w:color w:val="auto"/>
                <w:sz w:val="24"/>
                <w:szCs w:val="24"/>
              </w:rPr>
              <w:t>2.2.2.3</w:t>
            </w:r>
          </w:p>
        </w:tc>
        <w:tc>
          <w:tcPr>
            <w:tcW w:w="1263" w:type="dxa"/>
            <w:vAlign w:val="center"/>
          </w:tcPr>
          <w:p>
            <w:pPr>
              <w:widowControl w:val="0"/>
              <w:autoSpaceDE w:val="0"/>
              <w:autoSpaceDN w:val="0"/>
              <w:adjustRightInd w:val="0"/>
              <w:snapToGrid w:val="0"/>
              <w:spacing w:line="300" w:lineRule="auto"/>
              <w:jc w:val="center"/>
              <w:textAlignment w:val="auto"/>
              <w:rPr>
                <w:rFonts w:ascii="宋体" w:cs="宋体"/>
                <w:color w:val="auto"/>
                <w:sz w:val="24"/>
                <w:szCs w:val="24"/>
              </w:rPr>
            </w:pPr>
            <w:r>
              <w:rPr>
                <w:rFonts w:hint="eastAsia" w:ascii="宋体" w:hAnsi="宋体" w:cs="宋体"/>
                <w:color w:val="auto"/>
                <w:sz w:val="24"/>
                <w:szCs w:val="24"/>
              </w:rPr>
              <w:t>商务部分（</w:t>
            </w:r>
            <w:r>
              <w:rPr>
                <w:rFonts w:ascii="宋体" w:hAnsi="宋体" w:cs="宋体"/>
                <w:color w:val="auto"/>
                <w:sz w:val="24"/>
                <w:szCs w:val="24"/>
              </w:rPr>
              <w:t>15</w:t>
            </w:r>
            <w:r>
              <w:rPr>
                <w:rFonts w:hint="eastAsia" w:ascii="宋体" w:hAnsi="宋体" w:cs="宋体"/>
                <w:color w:val="auto"/>
                <w:sz w:val="24"/>
                <w:szCs w:val="24"/>
              </w:rPr>
              <w:t>分）</w:t>
            </w:r>
          </w:p>
        </w:tc>
        <w:tc>
          <w:tcPr>
            <w:tcW w:w="1234" w:type="dxa"/>
            <w:vAlign w:val="center"/>
          </w:tcPr>
          <w:p>
            <w:pPr>
              <w:jc w:val="center"/>
              <w:rPr>
                <w:rFonts w:ascii="宋体" w:cs="宋体"/>
                <w:sz w:val="24"/>
                <w:szCs w:val="24"/>
              </w:rPr>
            </w:pPr>
            <w:r>
              <w:rPr>
                <w:rFonts w:hint="eastAsia" w:ascii="宋体" w:hAnsi="宋体" w:cs="宋体"/>
                <w:color w:val="auto"/>
                <w:sz w:val="24"/>
                <w:szCs w:val="24"/>
              </w:rPr>
              <w:t>业绩情况（</w:t>
            </w:r>
            <w:r>
              <w:rPr>
                <w:rFonts w:ascii="宋体" w:hAnsi="宋体" w:cs="宋体"/>
                <w:color w:val="auto"/>
                <w:sz w:val="24"/>
                <w:szCs w:val="24"/>
              </w:rPr>
              <w:t>15</w:t>
            </w:r>
            <w:r>
              <w:rPr>
                <w:rFonts w:hint="eastAsia" w:ascii="宋体" w:hAnsi="宋体" w:cs="宋体"/>
                <w:color w:val="auto"/>
                <w:sz w:val="24"/>
                <w:szCs w:val="24"/>
              </w:rPr>
              <w:t>分）</w:t>
            </w:r>
          </w:p>
        </w:tc>
        <w:tc>
          <w:tcPr>
            <w:tcW w:w="6643" w:type="dxa"/>
            <w:vAlign w:val="center"/>
          </w:tcPr>
          <w:p>
            <w:pPr>
              <w:widowControl w:val="0"/>
              <w:snapToGrid w:val="0"/>
              <w:spacing w:line="240" w:lineRule="auto"/>
              <w:rPr>
                <w:rFonts w:ascii="宋体" w:cs="宋体"/>
                <w:sz w:val="24"/>
                <w:szCs w:val="24"/>
              </w:rPr>
            </w:pPr>
            <w:r>
              <w:rPr>
                <w:rFonts w:ascii="宋体" w:hAnsi="宋体" w:cs="宋体"/>
                <w:sz w:val="24"/>
                <w:szCs w:val="24"/>
              </w:rPr>
              <w:t>1.</w:t>
            </w:r>
            <w:r>
              <w:rPr>
                <w:rFonts w:hint="eastAsia" w:ascii="宋体" w:hAnsi="宋体" w:cs="宋体"/>
                <w:sz w:val="24"/>
                <w:szCs w:val="24"/>
              </w:rPr>
              <w:t>投标人</w:t>
            </w:r>
            <w:r>
              <w:rPr>
                <w:rFonts w:ascii="宋体" w:hAnsi="宋体" w:cs="宋体"/>
                <w:sz w:val="24"/>
                <w:szCs w:val="24"/>
              </w:rPr>
              <w:t>2017</w:t>
            </w:r>
            <w:r>
              <w:rPr>
                <w:rFonts w:hint="eastAsia" w:ascii="宋体" w:hAnsi="宋体" w:cs="宋体"/>
                <w:sz w:val="24"/>
                <w:szCs w:val="24"/>
              </w:rPr>
              <w:t>年</w:t>
            </w:r>
            <w:r>
              <w:rPr>
                <w:rFonts w:ascii="宋体" w:hAnsi="宋体" w:cs="宋体"/>
                <w:sz w:val="24"/>
                <w:szCs w:val="24"/>
              </w:rPr>
              <w:t>10</w:t>
            </w:r>
            <w:r>
              <w:rPr>
                <w:rFonts w:hint="eastAsia" w:ascii="宋体" w:hAnsi="宋体" w:cs="宋体"/>
                <w:sz w:val="24"/>
                <w:szCs w:val="24"/>
              </w:rPr>
              <w:t>月</w:t>
            </w:r>
            <w:r>
              <w:rPr>
                <w:rFonts w:ascii="宋体" w:hAnsi="宋体" w:cs="宋体"/>
                <w:sz w:val="24"/>
                <w:szCs w:val="24"/>
              </w:rPr>
              <w:t>1</w:t>
            </w:r>
            <w:r>
              <w:rPr>
                <w:rFonts w:hint="eastAsia" w:ascii="宋体" w:hAnsi="宋体" w:cs="宋体"/>
                <w:sz w:val="24"/>
                <w:szCs w:val="24"/>
              </w:rPr>
              <w:t>日以来承担过园林绿地管养，管养面积在</w:t>
            </w:r>
            <w:r>
              <w:rPr>
                <w:rFonts w:ascii="宋体" w:hAnsi="宋体" w:cs="宋体"/>
                <w:sz w:val="24"/>
                <w:szCs w:val="24"/>
              </w:rPr>
              <w:t xml:space="preserve"> 10</w:t>
            </w:r>
            <w:r>
              <w:rPr>
                <w:rFonts w:ascii="宋体" w:cs="宋体"/>
                <w:sz w:val="24"/>
                <w:szCs w:val="24"/>
              </w:rPr>
              <w:t>000</w:t>
            </w:r>
            <w:r>
              <w:rPr>
                <w:rFonts w:hint="eastAsia" w:ascii="宋体" w:hAnsi="宋体" w:cs="宋体"/>
                <w:sz w:val="24"/>
                <w:szCs w:val="24"/>
              </w:rPr>
              <w:t>㎡以上（含），</w:t>
            </w:r>
            <w:r>
              <w:rPr>
                <w:rFonts w:ascii="宋体" w:hAnsi="宋体" w:cs="宋体"/>
                <w:sz w:val="24"/>
                <w:szCs w:val="24"/>
              </w:rPr>
              <w:t>20000</w:t>
            </w:r>
            <w:r>
              <w:rPr>
                <w:rFonts w:hint="eastAsia" w:ascii="宋体" w:hAnsi="宋体" w:cs="宋体"/>
                <w:sz w:val="24"/>
                <w:szCs w:val="24"/>
              </w:rPr>
              <w:t>㎡以下（不含）（或金额</w:t>
            </w:r>
            <w:r>
              <w:rPr>
                <w:rFonts w:ascii="宋体" w:hAnsi="宋体" w:cs="宋体"/>
                <w:sz w:val="24"/>
                <w:szCs w:val="24"/>
              </w:rPr>
              <w:t>100</w:t>
            </w:r>
            <w:r>
              <w:rPr>
                <w:rFonts w:hint="eastAsia" w:ascii="宋体" w:hAnsi="宋体" w:cs="宋体"/>
                <w:sz w:val="24"/>
                <w:szCs w:val="24"/>
              </w:rPr>
              <w:t>万元及以上），每提供一项得</w:t>
            </w:r>
            <w:r>
              <w:rPr>
                <w:rFonts w:ascii="宋体" w:hAnsi="宋体" w:cs="宋体"/>
                <w:sz w:val="24"/>
                <w:szCs w:val="24"/>
              </w:rPr>
              <w:t xml:space="preserve"> 2</w:t>
            </w:r>
            <w:r>
              <w:rPr>
                <w:rFonts w:hint="eastAsia" w:ascii="宋体" w:hAnsi="宋体" w:cs="宋体"/>
                <w:sz w:val="24"/>
                <w:szCs w:val="24"/>
              </w:rPr>
              <w:t>分。</w:t>
            </w:r>
          </w:p>
          <w:p>
            <w:pPr>
              <w:widowControl w:val="0"/>
              <w:snapToGrid w:val="0"/>
              <w:spacing w:line="240" w:lineRule="auto"/>
              <w:rPr>
                <w:rFonts w:ascii="宋体" w:cs="宋体"/>
                <w:sz w:val="24"/>
                <w:szCs w:val="24"/>
              </w:rPr>
            </w:pPr>
            <w:r>
              <w:rPr>
                <w:rFonts w:ascii="宋体" w:hAnsi="宋体" w:cs="宋体"/>
                <w:sz w:val="24"/>
                <w:szCs w:val="24"/>
              </w:rPr>
              <w:t>2.</w:t>
            </w:r>
            <w:r>
              <w:rPr>
                <w:rFonts w:hint="eastAsia" w:ascii="宋体" w:hAnsi="宋体" w:cs="宋体"/>
                <w:sz w:val="24"/>
                <w:szCs w:val="24"/>
              </w:rPr>
              <w:t>投标人</w:t>
            </w:r>
            <w:r>
              <w:rPr>
                <w:rFonts w:ascii="宋体" w:hAnsi="宋体" w:cs="宋体"/>
                <w:sz w:val="24"/>
                <w:szCs w:val="24"/>
              </w:rPr>
              <w:t>2017</w:t>
            </w:r>
            <w:r>
              <w:rPr>
                <w:rFonts w:hint="eastAsia" w:ascii="宋体" w:hAnsi="宋体" w:cs="宋体"/>
                <w:sz w:val="24"/>
                <w:szCs w:val="24"/>
              </w:rPr>
              <w:t>年</w:t>
            </w:r>
            <w:r>
              <w:rPr>
                <w:rFonts w:ascii="宋体" w:hAnsi="宋体" w:cs="宋体"/>
                <w:sz w:val="24"/>
                <w:szCs w:val="24"/>
              </w:rPr>
              <w:t>10</w:t>
            </w:r>
            <w:r>
              <w:rPr>
                <w:rFonts w:hint="eastAsia" w:ascii="宋体" w:hAnsi="宋体" w:cs="宋体"/>
                <w:sz w:val="24"/>
                <w:szCs w:val="24"/>
              </w:rPr>
              <w:t>月</w:t>
            </w:r>
            <w:r>
              <w:rPr>
                <w:rFonts w:ascii="宋体" w:hAnsi="宋体" w:cs="宋体"/>
                <w:sz w:val="24"/>
                <w:szCs w:val="24"/>
              </w:rPr>
              <w:t>1</w:t>
            </w:r>
            <w:r>
              <w:rPr>
                <w:rFonts w:hint="eastAsia" w:ascii="宋体" w:hAnsi="宋体" w:cs="宋体"/>
                <w:sz w:val="24"/>
                <w:szCs w:val="24"/>
              </w:rPr>
              <w:t>日以来承担过园林绿地管养，管养面积在</w:t>
            </w:r>
            <w:r>
              <w:rPr>
                <w:rFonts w:ascii="宋体" w:hAnsi="宋体" w:cs="宋体"/>
                <w:sz w:val="24"/>
                <w:szCs w:val="24"/>
              </w:rPr>
              <w:t>20000</w:t>
            </w:r>
            <w:r>
              <w:rPr>
                <w:rFonts w:hint="eastAsia" w:ascii="宋体" w:hAnsi="宋体" w:cs="宋体"/>
                <w:sz w:val="24"/>
                <w:szCs w:val="24"/>
              </w:rPr>
              <w:t>㎡以上（含），</w:t>
            </w:r>
            <w:r>
              <w:rPr>
                <w:rFonts w:ascii="宋体" w:hAnsi="宋体" w:cs="宋体"/>
                <w:sz w:val="24"/>
                <w:szCs w:val="24"/>
              </w:rPr>
              <w:t>60000</w:t>
            </w:r>
            <w:r>
              <w:rPr>
                <w:rFonts w:hint="eastAsia" w:ascii="宋体" w:hAnsi="宋体" w:cs="宋体"/>
                <w:sz w:val="24"/>
                <w:szCs w:val="24"/>
              </w:rPr>
              <w:t>㎡以下（不含）（或金额</w:t>
            </w:r>
            <w:r>
              <w:rPr>
                <w:rFonts w:ascii="宋体" w:hAnsi="宋体" w:cs="宋体"/>
                <w:sz w:val="24"/>
                <w:szCs w:val="24"/>
              </w:rPr>
              <w:t>200</w:t>
            </w:r>
            <w:r>
              <w:rPr>
                <w:rFonts w:hint="eastAsia" w:ascii="宋体" w:hAnsi="宋体" w:cs="宋体"/>
                <w:sz w:val="24"/>
                <w:szCs w:val="24"/>
              </w:rPr>
              <w:t>万元及以上），每提供一项得</w:t>
            </w:r>
            <w:r>
              <w:rPr>
                <w:rFonts w:ascii="宋体" w:hAnsi="宋体" w:cs="宋体"/>
                <w:sz w:val="24"/>
                <w:szCs w:val="24"/>
              </w:rPr>
              <w:t xml:space="preserve"> 3</w:t>
            </w:r>
            <w:r>
              <w:rPr>
                <w:rFonts w:hint="eastAsia" w:ascii="宋体" w:hAnsi="宋体" w:cs="宋体"/>
                <w:sz w:val="24"/>
                <w:szCs w:val="24"/>
              </w:rPr>
              <w:t>分。</w:t>
            </w:r>
          </w:p>
          <w:p>
            <w:pPr>
              <w:widowControl w:val="0"/>
              <w:snapToGrid w:val="0"/>
              <w:spacing w:line="240" w:lineRule="auto"/>
              <w:rPr>
                <w:rFonts w:ascii="宋体" w:cs="宋体"/>
                <w:sz w:val="24"/>
                <w:szCs w:val="24"/>
              </w:rPr>
            </w:pPr>
            <w:r>
              <w:rPr>
                <w:rFonts w:ascii="宋体" w:hAnsi="宋体" w:cs="宋体"/>
                <w:sz w:val="24"/>
                <w:szCs w:val="24"/>
              </w:rPr>
              <w:t>3.</w:t>
            </w:r>
            <w:r>
              <w:rPr>
                <w:rFonts w:hint="eastAsia" w:ascii="宋体" w:hAnsi="宋体" w:cs="宋体"/>
                <w:sz w:val="24"/>
                <w:szCs w:val="24"/>
              </w:rPr>
              <w:t>投标人</w:t>
            </w:r>
            <w:r>
              <w:rPr>
                <w:rFonts w:ascii="宋体" w:hAnsi="宋体" w:cs="宋体"/>
                <w:sz w:val="24"/>
                <w:szCs w:val="24"/>
              </w:rPr>
              <w:t>2017</w:t>
            </w:r>
            <w:r>
              <w:rPr>
                <w:rFonts w:hint="eastAsia" w:ascii="宋体" w:hAnsi="宋体" w:cs="宋体"/>
                <w:sz w:val="24"/>
                <w:szCs w:val="24"/>
              </w:rPr>
              <w:t>年</w:t>
            </w:r>
            <w:r>
              <w:rPr>
                <w:rFonts w:ascii="宋体" w:hAnsi="宋体" w:cs="宋体"/>
                <w:sz w:val="24"/>
                <w:szCs w:val="24"/>
              </w:rPr>
              <w:t>10</w:t>
            </w:r>
            <w:r>
              <w:rPr>
                <w:rFonts w:hint="eastAsia" w:ascii="宋体" w:hAnsi="宋体" w:cs="宋体"/>
                <w:sz w:val="24"/>
                <w:szCs w:val="24"/>
              </w:rPr>
              <w:t>月</w:t>
            </w:r>
            <w:r>
              <w:rPr>
                <w:rFonts w:ascii="宋体" w:hAnsi="宋体" w:cs="宋体"/>
                <w:sz w:val="24"/>
                <w:szCs w:val="24"/>
              </w:rPr>
              <w:t>1</w:t>
            </w:r>
            <w:r>
              <w:rPr>
                <w:rFonts w:hint="eastAsia" w:ascii="宋体" w:hAnsi="宋体" w:cs="宋体"/>
                <w:sz w:val="24"/>
                <w:szCs w:val="24"/>
              </w:rPr>
              <w:t>日以来承担过园林绿地管养，管养面积在</w:t>
            </w:r>
            <w:r>
              <w:rPr>
                <w:rFonts w:ascii="宋体" w:hAnsi="宋体" w:cs="宋体"/>
                <w:sz w:val="24"/>
                <w:szCs w:val="24"/>
              </w:rPr>
              <w:t>60000</w:t>
            </w:r>
            <w:r>
              <w:rPr>
                <w:rFonts w:hint="eastAsia" w:ascii="宋体" w:hAnsi="宋体" w:cs="宋体"/>
                <w:sz w:val="24"/>
                <w:szCs w:val="24"/>
              </w:rPr>
              <w:t>㎡（含）（或金额</w:t>
            </w:r>
            <w:r>
              <w:rPr>
                <w:rFonts w:ascii="宋体" w:hAnsi="宋体" w:cs="宋体"/>
                <w:sz w:val="24"/>
                <w:szCs w:val="24"/>
              </w:rPr>
              <w:t>300</w:t>
            </w:r>
            <w:r>
              <w:rPr>
                <w:rFonts w:hint="eastAsia" w:ascii="宋体" w:hAnsi="宋体" w:cs="宋体"/>
                <w:sz w:val="24"/>
                <w:szCs w:val="24"/>
              </w:rPr>
              <w:t>万元及以上），每提供一项得</w:t>
            </w:r>
            <w:r>
              <w:rPr>
                <w:rFonts w:ascii="宋体" w:hAnsi="宋体" w:cs="宋体"/>
                <w:sz w:val="24"/>
                <w:szCs w:val="24"/>
              </w:rPr>
              <w:t xml:space="preserve"> 5</w:t>
            </w:r>
            <w:r>
              <w:rPr>
                <w:rFonts w:hint="eastAsia" w:ascii="宋体" w:hAnsi="宋体" w:cs="宋体"/>
                <w:sz w:val="24"/>
                <w:szCs w:val="24"/>
              </w:rPr>
              <w:t>分。</w:t>
            </w:r>
          </w:p>
          <w:p>
            <w:pPr>
              <w:widowControl w:val="0"/>
              <w:snapToGrid w:val="0"/>
              <w:spacing w:line="240" w:lineRule="auto"/>
              <w:rPr>
                <w:sz w:val="24"/>
                <w:szCs w:val="24"/>
              </w:rPr>
            </w:pPr>
            <w:r>
              <w:rPr>
                <w:rFonts w:hint="eastAsia" w:ascii="宋体" w:hAnsi="宋体" w:cs="宋体"/>
                <w:sz w:val="24"/>
                <w:szCs w:val="24"/>
              </w:rPr>
              <w:t>注：①</w:t>
            </w:r>
            <w:r>
              <w:rPr>
                <w:rFonts w:hint="eastAsia" w:ascii="宋体" w:hAnsi="宋体" w:cs="宋体"/>
                <w:b/>
                <w:bCs/>
                <w:sz w:val="24"/>
                <w:szCs w:val="24"/>
              </w:rPr>
              <w:t>以上三项须同时提供中标通知书、合同原件扫描件为准，未提供或提供不符合要求的不得分；②每个合同按上述标准计算一次得分，不可重复计算；③本条款最多</w:t>
            </w:r>
            <w:r>
              <w:rPr>
                <w:rFonts w:ascii="宋体" w:hAnsi="宋体" w:cs="宋体"/>
                <w:b/>
                <w:bCs/>
                <w:sz w:val="24"/>
                <w:szCs w:val="24"/>
              </w:rPr>
              <w:t>15</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2153" w:type="dxa"/>
            <w:gridSpan w:val="2"/>
            <w:vAlign w:val="center"/>
          </w:tcPr>
          <w:p>
            <w:pPr>
              <w:widowControl w:val="0"/>
              <w:snapToGrid w:val="0"/>
              <w:spacing w:line="240" w:lineRule="auto"/>
              <w:ind w:firstLine="361" w:firstLineChars="150"/>
              <w:jc w:val="center"/>
              <w:rPr>
                <w:b/>
                <w:color w:val="auto"/>
                <w:sz w:val="24"/>
                <w:szCs w:val="24"/>
              </w:rPr>
            </w:pPr>
            <w:r>
              <w:rPr>
                <w:rFonts w:hint="eastAsia"/>
                <w:b/>
                <w:color w:val="auto"/>
                <w:sz w:val="24"/>
                <w:szCs w:val="24"/>
              </w:rPr>
              <w:t>注</w:t>
            </w:r>
          </w:p>
        </w:tc>
        <w:tc>
          <w:tcPr>
            <w:tcW w:w="7877" w:type="dxa"/>
            <w:gridSpan w:val="2"/>
            <w:vAlign w:val="center"/>
          </w:tcPr>
          <w:p>
            <w:pPr>
              <w:rPr>
                <w:rFonts w:ascii="宋体" w:cs="宋体"/>
                <w:b/>
                <w:sz w:val="24"/>
                <w:szCs w:val="24"/>
              </w:rPr>
            </w:pPr>
            <w:r>
              <w:rPr>
                <w:rFonts w:ascii="宋体" w:hAnsi="宋体" w:cs="宋体"/>
                <w:b/>
                <w:sz w:val="24"/>
                <w:szCs w:val="24"/>
              </w:rPr>
              <w:t>1</w:t>
            </w:r>
            <w:r>
              <w:rPr>
                <w:rFonts w:hint="eastAsia" w:ascii="宋体" w:hAnsi="宋体" w:cs="宋体"/>
                <w:b/>
                <w:sz w:val="24"/>
                <w:szCs w:val="24"/>
              </w:rPr>
              <w:t>、以上所需证明材料均应为有效资料，按要求提供扫描件并加盖投标人电子签章，否则对应项不得分；投标人应自行承诺提供的相关材料真实有效，未承诺的视为未响应招标文件，按废标处理。</w:t>
            </w:r>
          </w:p>
        </w:tc>
      </w:tr>
    </w:tbl>
    <w:p>
      <w:pPr>
        <w:autoSpaceDE w:val="0"/>
        <w:autoSpaceDN w:val="0"/>
        <w:adjustRightInd w:val="0"/>
        <w:spacing w:line="360" w:lineRule="auto"/>
        <w:jc w:val="left"/>
        <w:rPr>
          <w:rFonts w:ascii="黑体" w:hAnsi="黑体" w:eastAsia="黑体" w:cs="楷体_GB2312"/>
          <w:b/>
          <w:bCs/>
          <w:color w:val="auto"/>
          <w:sz w:val="28"/>
          <w:szCs w:val="28"/>
          <w:lang w:val="zh-CN"/>
        </w:rPr>
      </w:pPr>
    </w:p>
    <w:p>
      <w:pPr>
        <w:spacing w:line="240" w:lineRule="auto"/>
        <w:jc w:val="left"/>
        <w:textAlignment w:val="auto"/>
        <w:rPr>
          <w:rFonts w:ascii="黑体" w:hAnsi="黑体" w:eastAsia="黑体" w:cs="楷体_GB2312"/>
          <w:b/>
          <w:bCs/>
          <w:color w:val="auto"/>
          <w:sz w:val="28"/>
          <w:szCs w:val="28"/>
          <w:lang w:val="zh-CN"/>
        </w:rPr>
      </w:pPr>
      <w:r>
        <w:rPr>
          <w:rFonts w:ascii="黑体" w:hAnsi="黑体" w:eastAsia="黑体" w:cs="楷体_GB2312"/>
          <w:b/>
          <w:bCs/>
          <w:color w:val="auto"/>
          <w:sz w:val="28"/>
          <w:szCs w:val="28"/>
          <w:lang w:val="zh-CN"/>
        </w:rPr>
        <w:br w:type="page"/>
      </w:r>
    </w:p>
    <w:p>
      <w:pPr>
        <w:autoSpaceDE w:val="0"/>
        <w:autoSpaceDN w:val="0"/>
        <w:adjustRightInd w:val="0"/>
        <w:snapToGrid w:val="0"/>
        <w:spacing w:beforeLines="50" w:line="300" w:lineRule="auto"/>
        <w:ind w:firstLine="562" w:firstLineChars="200"/>
        <w:jc w:val="left"/>
        <w:outlineLvl w:val="1"/>
        <w:rPr>
          <w:rFonts w:ascii="黑体" w:hAnsi="黑体" w:eastAsia="黑体" w:cs="楷体_GB2312"/>
          <w:b/>
          <w:bCs/>
          <w:color w:val="auto"/>
          <w:sz w:val="28"/>
          <w:szCs w:val="28"/>
        </w:rPr>
      </w:pPr>
      <w:bookmarkStart w:id="25" w:name="_Toc529805768"/>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评标方法</w:t>
      </w:r>
      <w:bookmarkEnd w:id="25"/>
      <w:r>
        <w:rPr>
          <w:rFonts w:ascii="黑体" w:hAnsi="黑体" w:eastAsia="黑体" w:cs="楷体_GB2312"/>
          <w:b/>
          <w:bCs/>
          <w:color w:val="auto"/>
          <w:sz w:val="28"/>
          <w:szCs w:val="28"/>
        </w:rPr>
        <w:t>(</w:t>
      </w:r>
      <w:r>
        <w:rPr>
          <w:rFonts w:hint="eastAsia" w:ascii="黑体" w:hAnsi="黑体" w:eastAsia="黑体" w:cs="楷体_GB2312"/>
          <w:b/>
          <w:bCs/>
          <w:color w:val="auto"/>
          <w:sz w:val="28"/>
          <w:szCs w:val="28"/>
        </w:rPr>
        <w:t>最低评标价法）</w:t>
      </w:r>
    </w:p>
    <w:p>
      <w:pPr>
        <w:autoSpaceDE w:val="0"/>
        <w:autoSpaceDN w:val="0"/>
        <w:adjustRightInd w:val="0"/>
        <w:snapToGrid w:val="0"/>
        <w:spacing w:beforeLines="50" w:line="300" w:lineRule="auto"/>
        <w:ind w:firstLine="619" w:firstLineChars="257"/>
        <w:jc w:val="left"/>
        <w:rPr>
          <w:b/>
          <w:color w:val="auto"/>
          <w:sz w:val="24"/>
          <w:szCs w:val="24"/>
        </w:rPr>
      </w:pPr>
      <w:bookmarkStart w:id="26" w:name="OLE_LINK33"/>
      <w:r>
        <w:rPr>
          <w:rFonts w:hint="eastAsia"/>
          <w:b/>
          <w:color w:val="auto"/>
          <w:sz w:val="24"/>
          <w:szCs w:val="24"/>
        </w:rPr>
        <w:t>本次政府招标项目按照综合评分法确定中标人，即按照投标文件满足招标文件全部实质性要求，且综合评审得分最高的原则确定该项目中标人。</w:t>
      </w:r>
    </w:p>
    <w:bookmarkEnd w:id="26"/>
    <w:p>
      <w:pPr>
        <w:pStyle w:val="67"/>
        <w:snapToGrid w:val="0"/>
        <w:spacing w:beforeLines="50" w:line="300" w:lineRule="auto"/>
        <w:ind w:firstLine="422" w:firstLineChars="150"/>
        <w:jc w:val="both"/>
        <w:outlineLvl w:val="1"/>
        <w:rPr>
          <w:rFonts w:ascii="黑体" w:hAnsi="黑体" w:eastAsia="黑体" w:cs="楷体_GB2312"/>
          <w:b/>
          <w:bCs/>
          <w:color w:val="auto"/>
          <w:sz w:val="28"/>
          <w:szCs w:val="28"/>
          <w:u w:color="000000"/>
          <w:lang w:val="zh-CN"/>
        </w:rPr>
      </w:pPr>
      <w:bookmarkStart w:id="27" w:name="_Toc427683953"/>
      <w:bookmarkStart w:id="28" w:name="_Toc423723403"/>
      <w:bookmarkStart w:id="29" w:name="_Toc427683910"/>
    </w:p>
    <w:p>
      <w:pPr>
        <w:pStyle w:val="67"/>
        <w:snapToGrid w:val="0"/>
        <w:spacing w:beforeLines="50" w:line="300" w:lineRule="auto"/>
        <w:ind w:firstLine="422" w:firstLineChars="150"/>
        <w:jc w:val="both"/>
        <w:outlineLvl w:val="1"/>
        <w:rPr>
          <w:rFonts w:ascii="黑体" w:hAnsi="黑体" w:eastAsia="黑体" w:cs="楷体_GB2312"/>
          <w:b/>
          <w:bCs/>
          <w:color w:val="auto"/>
          <w:sz w:val="28"/>
          <w:szCs w:val="28"/>
          <w:u w:color="000000"/>
          <w:lang w:val="zh-CN"/>
        </w:rPr>
      </w:pPr>
      <w:bookmarkStart w:id="30" w:name="_Toc529805769"/>
      <w:r>
        <w:rPr>
          <w:rFonts w:ascii="黑体" w:hAnsi="黑体" w:eastAsia="黑体" w:cs="楷体_GB2312"/>
          <w:b/>
          <w:bCs/>
          <w:color w:val="auto"/>
          <w:sz w:val="28"/>
          <w:szCs w:val="28"/>
          <w:u w:color="000000"/>
          <w:lang w:val="zh-CN"/>
        </w:rPr>
        <w:t xml:space="preserve">2. </w:t>
      </w:r>
      <w:r>
        <w:rPr>
          <w:rFonts w:hint="eastAsia" w:ascii="黑体" w:hAnsi="黑体" w:eastAsia="黑体" w:cs="楷体_GB2312"/>
          <w:b/>
          <w:bCs/>
          <w:color w:val="auto"/>
          <w:sz w:val="28"/>
          <w:szCs w:val="28"/>
          <w:u w:color="000000"/>
          <w:lang w:val="zh-CN"/>
        </w:rPr>
        <w:t>评审标准</w:t>
      </w:r>
      <w:bookmarkEnd w:id="27"/>
      <w:bookmarkEnd w:id="28"/>
      <w:bookmarkEnd w:id="29"/>
      <w:bookmarkEnd w:id="30"/>
    </w:p>
    <w:p>
      <w:pPr>
        <w:autoSpaceDE w:val="0"/>
        <w:autoSpaceDN w:val="0"/>
        <w:adjustRightInd w:val="0"/>
        <w:snapToGrid w:val="0"/>
        <w:spacing w:before="50" w:line="300" w:lineRule="auto"/>
        <w:ind w:firstLine="482" w:firstLineChars="200"/>
        <w:jc w:val="left"/>
        <w:rPr>
          <w:rFonts w:ascii="宋体"/>
          <w:color w:val="auto"/>
          <w:sz w:val="24"/>
        </w:rPr>
      </w:pPr>
      <w:r>
        <w:rPr>
          <w:rFonts w:ascii="黑体" w:hAnsi="黑体" w:eastAsia="黑体"/>
          <w:b/>
          <w:color w:val="auto"/>
          <w:sz w:val="24"/>
        </w:rPr>
        <w:t xml:space="preserve">2.1 </w:t>
      </w:r>
      <w:r>
        <w:rPr>
          <w:rFonts w:hint="eastAsia" w:ascii="黑体" w:hAnsi="黑体" w:eastAsia="黑体"/>
          <w:b/>
          <w:color w:val="auto"/>
          <w:sz w:val="24"/>
        </w:rPr>
        <w:t>符合性审查标准：</w:t>
      </w:r>
      <w:r>
        <w:rPr>
          <w:rFonts w:hint="eastAsia" w:ascii="宋体" w:hAnsi="宋体"/>
          <w:color w:val="auto"/>
          <w:sz w:val="24"/>
        </w:rPr>
        <w:t>见评标办法前附表</w:t>
      </w:r>
    </w:p>
    <w:p>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2.2 </w:t>
      </w:r>
      <w:r>
        <w:rPr>
          <w:rFonts w:hint="eastAsia" w:ascii="黑体" w:hAnsi="黑体" w:eastAsia="黑体"/>
          <w:b/>
          <w:color w:val="auto"/>
          <w:sz w:val="24"/>
        </w:rPr>
        <w:t>详细评审标准</w:t>
      </w:r>
      <w:r>
        <w:rPr>
          <w:rFonts w:hint="eastAsia" w:ascii="宋体" w:hAnsi="宋体"/>
          <w:color w:val="auto"/>
          <w:sz w:val="24"/>
        </w:rPr>
        <w:t>：见评标办法前附表</w:t>
      </w:r>
    </w:p>
    <w:p>
      <w:pPr>
        <w:autoSpaceDE w:val="0"/>
        <w:autoSpaceDN w:val="0"/>
        <w:adjustRightInd w:val="0"/>
        <w:snapToGrid w:val="0"/>
        <w:spacing w:beforeLines="50" w:line="300" w:lineRule="auto"/>
        <w:jc w:val="left"/>
        <w:rPr>
          <w:rFonts w:ascii="宋体"/>
          <w:color w:val="auto"/>
          <w:sz w:val="24"/>
        </w:rPr>
      </w:pPr>
    </w:p>
    <w:p>
      <w:pPr>
        <w:pStyle w:val="67"/>
        <w:snapToGrid w:val="0"/>
        <w:spacing w:beforeLines="50" w:line="300" w:lineRule="auto"/>
        <w:ind w:firstLine="562" w:firstLineChars="200"/>
        <w:jc w:val="both"/>
        <w:outlineLvl w:val="1"/>
        <w:rPr>
          <w:rFonts w:ascii="黑体" w:hAnsi="黑体" w:eastAsia="黑体" w:cs="楷体_GB2312"/>
          <w:b/>
          <w:bCs/>
          <w:color w:val="auto"/>
          <w:sz w:val="28"/>
          <w:szCs w:val="28"/>
          <w:u w:color="000000"/>
          <w:lang w:val="zh-CN"/>
        </w:rPr>
      </w:pPr>
      <w:bookmarkStart w:id="31" w:name="_Toc427683954"/>
      <w:bookmarkStart w:id="32" w:name="_Toc427683911"/>
      <w:bookmarkStart w:id="33" w:name="_Toc529805770"/>
      <w:bookmarkStart w:id="34" w:name="_Toc423723405"/>
      <w:r>
        <w:rPr>
          <w:rFonts w:ascii="黑体" w:hAnsi="黑体" w:eastAsia="黑体" w:cs="楷体_GB2312"/>
          <w:b/>
          <w:bCs/>
          <w:color w:val="auto"/>
          <w:sz w:val="28"/>
          <w:szCs w:val="28"/>
          <w:u w:color="000000"/>
          <w:lang w:val="zh-CN"/>
        </w:rPr>
        <w:t xml:space="preserve">3. </w:t>
      </w:r>
      <w:r>
        <w:rPr>
          <w:rFonts w:hint="eastAsia" w:ascii="黑体" w:hAnsi="黑体" w:eastAsia="黑体" w:cs="楷体_GB2312"/>
          <w:b/>
          <w:bCs/>
          <w:color w:val="auto"/>
          <w:sz w:val="28"/>
          <w:szCs w:val="28"/>
          <w:u w:color="000000"/>
          <w:lang w:val="zh-CN"/>
        </w:rPr>
        <w:t>评审程序</w:t>
      </w:r>
      <w:bookmarkEnd w:id="31"/>
      <w:bookmarkEnd w:id="32"/>
      <w:bookmarkEnd w:id="33"/>
      <w:bookmarkEnd w:id="34"/>
    </w:p>
    <w:p>
      <w:pPr>
        <w:autoSpaceDE w:val="0"/>
        <w:autoSpaceDN w:val="0"/>
        <w:adjustRightInd w:val="0"/>
        <w:snapToGrid w:val="0"/>
        <w:spacing w:beforeLines="50" w:line="30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评标委员会按标段进行评审</w:t>
      </w:r>
    </w:p>
    <w:p>
      <w:pPr>
        <w:autoSpaceDE w:val="0"/>
        <w:autoSpaceDN w:val="0"/>
        <w:adjustRightInd w:val="0"/>
        <w:snapToGrid w:val="0"/>
        <w:spacing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3.1 </w:t>
      </w:r>
      <w:r>
        <w:rPr>
          <w:rFonts w:hint="eastAsia" w:ascii="黑体" w:hAnsi="黑体" w:eastAsia="黑体"/>
          <w:b/>
          <w:color w:val="auto"/>
          <w:sz w:val="24"/>
        </w:rPr>
        <w:t>审阅招标文件</w:t>
      </w:r>
    </w:p>
    <w:p>
      <w:pPr>
        <w:pStyle w:val="67"/>
        <w:snapToGrid w:val="0"/>
        <w:spacing w:beforeLines="50" w:line="300" w:lineRule="auto"/>
        <w:ind w:firstLine="480" w:firstLineChars="200"/>
        <w:jc w:val="both"/>
        <w:rPr>
          <w:rFonts w:hAnsi="宋体"/>
          <w:color w:val="auto"/>
        </w:rPr>
      </w:pPr>
      <w:bookmarkStart w:id="35" w:name="_Toc427683955"/>
      <w:bookmarkStart w:id="36" w:name="_Toc427683912"/>
      <w:r>
        <w:rPr>
          <w:rFonts w:hAnsi="宋体"/>
          <w:color w:val="auto"/>
        </w:rPr>
        <w:t xml:space="preserve">3.1.1 </w:t>
      </w:r>
      <w:r>
        <w:rPr>
          <w:rFonts w:hint="eastAsia" w:hAnsi="宋体"/>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将修改招标文件，重新组织采购活动。</w:t>
      </w:r>
      <w:bookmarkEnd w:id="35"/>
      <w:bookmarkEnd w:id="36"/>
    </w:p>
    <w:p>
      <w:pPr>
        <w:pStyle w:val="67"/>
        <w:snapToGrid w:val="0"/>
        <w:spacing w:beforeLines="50" w:line="300" w:lineRule="auto"/>
        <w:ind w:firstLine="480" w:firstLineChars="200"/>
        <w:jc w:val="both"/>
        <w:rPr>
          <w:rFonts w:hAnsi="宋体"/>
          <w:color w:val="auto"/>
        </w:rPr>
      </w:pPr>
      <w:bookmarkStart w:id="37" w:name="_Toc427683913"/>
      <w:bookmarkStart w:id="38" w:name="_Toc427683956"/>
      <w:r>
        <w:rPr>
          <w:rFonts w:hAnsi="宋体"/>
          <w:color w:val="auto"/>
        </w:rPr>
        <w:t xml:space="preserve">3.1.2  </w:t>
      </w:r>
      <w:r>
        <w:rPr>
          <w:rFonts w:hint="eastAsia" w:hAnsi="宋体"/>
          <w:color w:val="auto"/>
        </w:rPr>
        <w:t>评标委员会</w:t>
      </w:r>
      <w:r>
        <w:rPr>
          <w:rFonts w:hint="eastAsia" w:ascii="??" w:hAnsi="??" w:cs="宋体"/>
          <w:color w:val="auto"/>
          <w:szCs w:val="21"/>
        </w:rPr>
        <w:t>要求解释</w:t>
      </w:r>
      <w:r>
        <w:rPr>
          <w:rFonts w:hint="eastAsia" w:hAnsi="宋体"/>
          <w:color w:val="auto"/>
        </w:rPr>
        <w:t>招标文件的，书面提出需解释的相关招标文件的具体内容后、由采购代理机构或者采购人进行书面解释。</w:t>
      </w:r>
      <w:bookmarkEnd w:id="37"/>
      <w:bookmarkEnd w:id="38"/>
    </w:p>
    <w:p>
      <w:pPr>
        <w:autoSpaceDE w:val="0"/>
        <w:autoSpaceDN w:val="0"/>
        <w:adjustRightInd w:val="0"/>
        <w:snapToGrid w:val="0"/>
        <w:spacing w:beforeLines="50" w:line="300" w:lineRule="auto"/>
        <w:ind w:firstLine="482" w:firstLineChars="200"/>
        <w:jc w:val="left"/>
        <w:rPr>
          <w:rFonts w:ascii="黑体" w:hAnsi="黑体" w:eastAsia="黑体"/>
          <w:b/>
          <w:color w:val="auto"/>
          <w:sz w:val="24"/>
        </w:rPr>
      </w:pPr>
      <w:bookmarkStart w:id="39" w:name="_Toc423723406"/>
      <w:r>
        <w:rPr>
          <w:rFonts w:ascii="黑体" w:hAnsi="黑体" w:eastAsia="黑体"/>
          <w:b/>
          <w:color w:val="auto"/>
          <w:sz w:val="24"/>
        </w:rPr>
        <w:t>3.2</w:t>
      </w:r>
      <w:bookmarkEnd w:id="39"/>
      <w:r>
        <w:rPr>
          <w:rFonts w:hint="eastAsia" w:ascii="黑体" w:hAnsi="黑体" w:eastAsia="黑体"/>
          <w:b/>
          <w:color w:val="auto"/>
          <w:sz w:val="24"/>
        </w:rPr>
        <w:t>符合性审查</w:t>
      </w:r>
    </w:p>
    <w:p>
      <w:pPr>
        <w:autoSpaceDE w:val="0"/>
        <w:autoSpaceDN w:val="0"/>
        <w:adjustRightInd w:val="0"/>
        <w:snapToGrid w:val="0"/>
        <w:spacing w:beforeLines="50" w:line="300" w:lineRule="auto"/>
        <w:ind w:firstLine="616" w:firstLineChars="257"/>
        <w:jc w:val="left"/>
        <w:rPr>
          <w:rFonts w:ascii="宋体"/>
          <w:color w:val="auto"/>
          <w:sz w:val="24"/>
        </w:rPr>
      </w:pPr>
      <w:r>
        <w:rPr>
          <w:rFonts w:ascii="宋体" w:hAnsi="宋体"/>
          <w:color w:val="auto"/>
          <w:sz w:val="24"/>
        </w:rPr>
        <w:t xml:space="preserve">3.2.1 </w:t>
      </w:r>
      <w:r>
        <w:rPr>
          <w:rFonts w:hint="eastAsia" w:ascii="宋体" w:hAnsi="宋体" w:cs="宋体"/>
          <w:color w:val="auto"/>
          <w:sz w:val="24"/>
        </w:rPr>
        <w:t>评标委员会对符合资格的投标人的投标文件进行符合性审查，以确定其是否满足招标文件的实质性要求。</w:t>
      </w:r>
    </w:p>
    <w:p>
      <w:pPr>
        <w:autoSpaceDE w:val="0"/>
        <w:autoSpaceDN w:val="0"/>
        <w:adjustRightInd w:val="0"/>
        <w:snapToGrid w:val="0"/>
        <w:spacing w:beforeLines="50" w:line="300" w:lineRule="auto"/>
        <w:ind w:firstLine="616" w:firstLineChars="257"/>
        <w:jc w:val="left"/>
        <w:rPr>
          <w:rFonts w:ascii="宋体"/>
          <w:color w:val="auto"/>
          <w:sz w:val="24"/>
        </w:rPr>
      </w:pPr>
      <w:r>
        <w:rPr>
          <w:rFonts w:hint="eastAsia" w:ascii="宋体" w:hAnsi="宋体"/>
          <w:color w:val="auto"/>
          <w:sz w:val="24"/>
        </w:rPr>
        <w:t>评标委员会依据本章第</w:t>
      </w:r>
      <w:r>
        <w:rPr>
          <w:rFonts w:ascii="宋体" w:hAnsi="宋体"/>
          <w:color w:val="auto"/>
          <w:sz w:val="24"/>
        </w:rPr>
        <w:t>2.1</w:t>
      </w:r>
      <w:r>
        <w:rPr>
          <w:rFonts w:hint="eastAsia" w:ascii="宋体" w:hAnsi="宋体"/>
          <w:color w:val="auto"/>
          <w:sz w:val="24"/>
        </w:rPr>
        <w:t>款规定的标准对投标文件进行符合性审查。有一项不符合评审标准的，作无效投标处理。</w:t>
      </w:r>
    </w:p>
    <w:p>
      <w:pPr>
        <w:autoSpaceDE w:val="0"/>
        <w:autoSpaceDN w:val="0"/>
        <w:adjustRightInd w:val="0"/>
        <w:snapToGrid w:val="0"/>
        <w:spacing w:beforeLines="50" w:line="300" w:lineRule="auto"/>
        <w:ind w:firstLine="616" w:firstLineChars="257"/>
        <w:jc w:val="left"/>
        <w:rPr>
          <w:rFonts w:ascii="宋体"/>
          <w:color w:val="auto"/>
          <w:sz w:val="24"/>
        </w:rPr>
      </w:pPr>
      <w:r>
        <w:rPr>
          <w:rFonts w:ascii="宋体" w:hAnsi="宋体"/>
          <w:color w:val="auto"/>
          <w:sz w:val="24"/>
        </w:rPr>
        <w:t xml:space="preserve">3.2.2 </w:t>
      </w:r>
      <w:r>
        <w:rPr>
          <w:rFonts w:hint="eastAsia" w:ascii="宋体" w:hAnsi="宋体"/>
          <w:color w:val="auto"/>
          <w:sz w:val="24"/>
        </w:rPr>
        <w:t>投标人有以下情形之一的，其投标作无效投标处理：</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）投标人不符合国家或者招标文件规定的资格条件；</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）投标联合体不符合招标文件规定；</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）投标文件的签字盖章不符合招标文件规定；</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）投标报价超过招标文件中规定的预算金额或者最高限价的；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）同一投标人提交两个以上不同的投标文件或者投标报价，投标文件的每种报价有两个报价或其他选择性报价的。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）投标文件没有对招标文件的实质性要求和条件作出实质性响应，或不符合招标文件的实质性要求和条件；</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8</w:t>
      </w:r>
      <w:r>
        <w:rPr>
          <w:rFonts w:hint="eastAsia" w:ascii="宋体" w:hAnsi="宋体"/>
          <w:color w:val="auto"/>
          <w:sz w:val="24"/>
        </w:rPr>
        <w:t>）投标文件附有招标项目不能接受的条件或不符合国家强制性规定的；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9</w:t>
      </w:r>
      <w:r>
        <w:rPr>
          <w:rFonts w:hint="eastAsia" w:ascii="宋体" w:hAnsi="宋体"/>
          <w:color w:val="auto"/>
          <w:sz w:val="24"/>
        </w:rPr>
        <w:t>）单位负责人为同一人或者存在控股、管理关系的不同单位，参加同一项目（标段）投标的；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10</w:t>
      </w:r>
      <w:r>
        <w:rPr>
          <w:rFonts w:hint="eastAsia" w:ascii="宋体" w:hAnsi="宋体"/>
          <w:color w:val="auto"/>
          <w:sz w:val="24"/>
        </w:rPr>
        <w:t>）为招标项目提供整体设计、规范编制或者项目管理、监理、检测等服务的供应商，不得再参加该招标项目的其他采购活动。</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11</w:t>
      </w:r>
      <w:r>
        <w:rPr>
          <w:rFonts w:hint="eastAsia" w:ascii="宋体" w:hAnsi="宋体"/>
          <w:color w:val="auto"/>
          <w:sz w:val="24"/>
        </w:rPr>
        <w:t>）提供虚假材料谋取中标的；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12</w:t>
      </w:r>
      <w:r>
        <w:rPr>
          <w:rFonts w:hint="eastAsia" w:ascii="宋体" w:hAnsi="宋体"/>
          <w:color w:val="auto"/>
          <w:sz w:val="24"/>
        </w:rPr>
        <w:t>）不确认本章</w:t>
      </w:r>
      <w:r>
        <w:rPr>
          <w:rFonts w:ascii="宋体" w:hAnsi="宋体"/>
          <w:color w:val="auto"/>
          <w:sz w:val="24"/>
        </w:rPr>
        <w:t>3.4.1</w:t>
      </w:r>
      <w:r>
        <w:rPr>
          <w:rFonts w:hint="eastAsia" w:ascii="宋体" w:hAnsi="宋体"/>
          <w:color w:val="auto"/>
          <w:sz w:val="24"/>
        </w:rPr>
        <w:t>项对投标报价的算术修正的；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13</w:t>
      </w:r>
      <w:r>
        <w:rPr>
          <w:rFonts w:hint="eastAsia" w:ascii="宋体" w:hAnsi="宋体"/>
          <w:color w:val="auto"/>
          <w:sz w:val="24"/>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14</w:t>
      </w:r>
      <w:r>
        <w:rPr>
          <w:rFonts w:hint="eastAsia" w:ascii="宋体" w:hAnsi="宋体"/>
          <w:color w:val="auto"/>
          <w:sz w:val="24"/>
        </w:rPr>
        <w:t>）投标人有串通投标、行贿等违法行为。其中，有下列情形之一的，视为投标人相互串通投标：</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◆不同投标人的投标文件由同一单位或者个人编制；</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◆不同投标人委托同一单位或者个人办理投标事宜；</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◆不同投标人的投标文件载明的项目管理成员为同一人；</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◆不同投标人的投标文件异常一致或者投标报价呈规律性差异；</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◆不同投标人的投标文件相互混装。</w:t>
      </w:r>
    </w:p>
    <w:p>
      <w:pPr>
        <w:autoSpaceDE w:val="0"/>
        <w:autoSpaceDN w:val="0"/>
        <w:adjustRightInd w:val="0"/>
        <w:snapToGrid w:val="0"/>
        <w:spacing w:beforeLines="50" w:line="300" w:lineRule="auto"/>
        <w:ind w:firstLine="566" w:firstLineChars="236"/>
        <w:jc w:val="left"/>
        <w:rPr>
          <w:rFonts w:ascii="宋体"/>
          <w:b/>
          <w:color w:val="auto"/>
          <w:sz w:val="24"/>
        </w:rPr>
      </w:pPr>
      <w:r>
        <w:rPr>
          <w:rFonts w:ascii="宋体" w:hAnsi="宋体"/>
          <w:color w:val="auto"/>
          <w:sz w:val="24"/>
        </w:rPr>
        <w:t>3.2.3</w:t>
      </w:r>
      <w:r>
        <w:rPr>
          <w:rFonts w:hint="eastAsia" w:ascii="宋体" w:hAnsi="宋体"/>
          <w:b/>
          <w:color w:val="auto"/>
          <w:sz w:val="24"/>
        </w:rPr>
        <w:t>未实质性响应招标文件的投标文件按无效处理，评标委员会应当通过评审界面的对话框告知有关供应商。</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3.2.4 </w:t>
      </w:r>
      <w:r>
        <w:rPr>
          <w:rFonts w:hint="eastAsia" w:ascii="宋体" w:hAnsi="宋体"/>
          <w:color w:val="auto"/>
          <w:sz w:val="24"/>
        </w:rPr>
        <w:t>评标委员会负责审查确定每一投标项目（标段）是否对招标文件的实质性要求作出了实质性的响应，而没有重大偏离和保留。实质性响应的投标是指投标符合招标文件的所有条款、条件和规定且没有重大偏离和保留（重大偏离和保留是指影响到招标文件和投标人的义务的规定，而纠正这些偏离将影响到其他提交实质性响应投标人的公平竞争地位）。</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3.2.5 </w:t>
      </w:r>
      <w:r>
        <w:rPr>
          <w:rFonts w:hint="eastAsia" w:ascii="宋体" w:hAnsi="宋体"/>
          <w:color w:val="auto"/>
          <w:sz w:val="24"/>
        </w:rPr>
        <w:t>评标委员会判断投标文件的响应性仅基于投标文件本身而不靠外部证据。</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3.2.6 </w:t>
      </w:r>
      <w:r>
        <w:rPr>
          <w:rFonts w:hint="eastAsia" w:ascii="宋体" w:hAnsi="宋体"/>
          <w:color w:val="auto"/>
          <w:sz w:val="24"/>
        </w:rPr>
        <w:t>评标委员会拒绝被确定为非实质性响应的投标人，投标人不得通过修正或撤销不符之处而使其投标成为实质性响应的投标。</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3.2.7 </w:t>
      </w:r>
      <w:r>
        <w:rPr>
          <w:rFonts w:hint="eastAsia" w:ascii="宋体" w:hAnsi="宋体"/>
          <w:color w:val="auto"/>
          <w:sz w:val="24"/>
        </w:rPr>
        <w:t>允许投标人修改投标中不构成重大偏离的、微小的、非正规、不一致或不规则的地方。</w:t>
      </w:r>
    </w:p>
    <w:p>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3.3 </w:t>
      </w:r>
      <w:r>
        <w:rPr>
          <w:rFonts w:hint="eastAsia" w:ascii="黑体" w:hAnsi="黑体" w:eastAsia="黑体"/>
          <w:b/>
          <w:color w:val="auto"/>
          <w:sz w:val="24"/>
        </w:rPr>
        <w:t>投标文件的澄清</w:t>
      </w:r>
    </w:p>
    <w:p>
      <w:pPr>
        <w:autoSpaceDE w:val="0"/>
        <w:autoSpaceDN w:val="0"/>
        <w:adjustRightInd w:val="0"/>
        <w:snapToGrid w:val="0"/>
        <w:spacing w:beforeLines="50" w:line="300" w:lineRule="auto"/>
        <w:ind w:firstLine="569" w:firstLineChars="236"/>
        <w:jc w:val="left"/>
        <w:rPr>
          <w:rFonts w:ascii="宋体"/>
          <w:b/>
          <w:color w:val="auto"/>
          <w:sz w:val="24"/>
        </w:rPr>
      </w:pPr>
      <w:r>
        <w:rPr>
          <w:rFonts w:hint="eastAsia" w:ascii="宋体" w:hAnsi="宋体"/>
          <w:b/>
          <w:color w:val="auto"/>
          <w:sz w:val="24"/>
        </w:rPr>
        <w:t>投标文件的澄清在招标公告所述网上电子交易系统进行。</w:t>
      </w:r>
    </w:p>
    <w:p>
      <w:pPr>
        <w:autoSpaceDE w:val="0"/>
        <w:autoSpaceDN w:val="0"/>
        <w:adjustRightInd w:val="0"/>
        <w:snapToGrid w:val="0"/>
        <w:spacing w:beforeLines="50" w:line="300" w:lineRule="auto"/>
        <w:ind w:firstLine="569" w:firstLineChars="236"/>
        <w:jc w:val="left"/>
        <w:rPr>
          <w:rFonts w:ascii="宋体"/>
          <w:b/>
          <w:color w:val="auto"/>
          <w:sz w:val="24"/>
        </w:rPr>
      </w:pPr>
      <w:r>
        <w:rPr>
          <w:rFonts w:ascii="宋体" w:hAnsi="宋体"/>
          <w:b/>
          <w:color w:val="auto"/>
          <w:sz w:val="24"/>
        </w:rPr>
        <w:t xml:space="preserve">3.3.1 </w:t>
      </w:r>
      <w:r>
        <w:rPr>
          <w:rFonts w:hint="eastAsia" w:ascii="宋体" w:hAnsi="宋体"/>
          <w:b/>
          <w:color w:val="auto"/>
          <w:sz w:val="24"/>
        </w:rPr>
        <w:t>评审期间，投标人法定代表人须时刻关注电子开标室并保持通讯畅通。如因通讯不畅导致投标人无法及时澄清而被认定为无效响应等后果的，由投标人自行承担。</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3.3.2</w:t>
      </w:r>
      <w:r>
        <w:rPr>
          <w:rFonts w:hint="eastAsia" w:ascii="宋体" w:hAnsi="宋体"/>
          <w:color w:val="auto"/>
          <w:sz w:val="24"/>
        </w:rPr>
        <w:t>　为有助于对投标文件进行审查、评估和比较，评标委员会有权个别的向投标人提出质疑，请投标人澄清其投标内容。</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3.3.3</w:t>
      </w:r>
      <w:r>
        <w:rPr>
          <w:rFonts w:hint="eastAsia" w:ascii="宋体" w:hAnsi="宋体"/>
          <w:color w:val="auto"/>
          <w:sz w:val="24"/>
        </w:rPr>
        <w:t>　评标委员会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pPr>
        <w:autoSpaceDE w:val="0"/>
        <w:autoSpaceDN w:val="0"/>
        <w:adjustRightInd w:val="0"/>
        <w:snapToGrid w:val="0"/>
        <w:spacing w:beforeLines="50" w:line="300" w:lineRule="auto"/>
        <w:ind w:firstLine="566" w:firstLineChars="236"/>
        <w:jc w:val="left"/>
        <w:rPr>
          <w:rFonts w:ascii="宋体"/>
          <w:b/>
          <w:color w:val="auto"/>
          <w:sz w:val="24"/>
        </w:rPr>
      </w:pPr>
      <w:r>
        <w:rPr>
          <w:rFonts w:ascii="宋体" w:hAnsi="宋体"/>
          <w:color w:val="auto"/>
          <w:sz w:val="24"/>
        </w:rPr>
        <w:t>3.3.4</w:t>
      </w:r>
      <w:r>
        <w:rPr>
          <w:rFonts w:hint="eastAsia" w:ascii="宋体" w:hAnsi="宋体"/>
          <w:color w:val="auto"/>
          <w:sz w:val="24"/>
        </w:rPr>
        <w:t>　</w:t>
      </w:r>
      <w:r>
        <w:rPr>
          <w:rFonts w:hint="eastAsia" w:ascii="宋体" w:hAnsi="宋体"/>
          <w:b/>
          <w:color w:val="auto"/>
          <w:sz w:val="24"/>
        </w:rPr>
        <w:t>投标人的澄清、说明或者更正应当采用书面形式，应加盖投标人电子签章或其法定代表人电子签名，并将澄清等内容作为附件上传至系统中。</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3.3.5</w:t>
      </w:r>
      <w:r>
        <w:rPr>
          <w:rFonts w:hint="eastAsia" w:ascii="宋体" w:hAnsi="宋体"/>
          <w:color w:val="auto"/>
          <w:sz w:val="24"/>
        </w:rPr>
        <w:t>　投标人的澄清文件是投标文件的组成部分，并取代投标文件中被澄清的部分。</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3.3.6</w:t>
      </w:r>
      <w:r>
        <w:rPr>
          <w:rFonts w:hint="eastAsia" w:ascii="宋体" w:hAnsi="宋体"/>
          <w:color w:val="auto"/>
          <w:sz w:val="24"/>
        </w:rPr>
        <w:t>　澄清文件应按评标委员会规定的时间提交。</w:t>
      </w:r>
    </w:p>
    <w:p>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3.4 </w:t>
      </w:r>
      <w:r>
        <w:rPr>
          <w:rFonts w:hint="eastAsia" w:ascii="黑体" w:hAnsi="黑体" w:eastAsia="黑体"/>
          <w:b/>
          <w:color w:val="auto"/>
          <w:sz w:val="24"/>
        </w:rPr>
        <w:t>详细评审</w:t>
      </w:r>
    </w:p>
    <w:p>
      <w:pPr>
        <w:autoSpaceDE w:val="0"/>
        <w:autoSpaceDN w:val="0"/>
        <w:adjustRightInd w:val="0"/>
        <w:snapToGrid w:val="0"/>
        <w:spacing w:beforeLines="50" w:line="300" w:lineRule="auto"/>
        <w:ind w:firstLine="569" w:firstLineChars="236"/>
        <w:jc w:val="left"/>
        <w:rPr>
          <w:rFonts w:ascii="宋体"/>
          <w:color w:val="auto"/>
          <w:sz w:val="24"/>
        </w:rPr>
      </w:pPr>
      <w:r>
        <w:rPr>
          <w:rFonts w:ascii="黑体" w:hAnsi="黑体" w:eastAsia="黑体"/>
          <w:b/>
          <w:color w:val="auto"/>
          <w:sz w:val="24"/>
        </w:rPr>
        <w:t xml:space="preserve">3.4.1  </w:t>
      </w:r>
      <w:r>
        <w:rPr>
          <w:rFonts w:hint="eastAsia" w:ascii="宋体" w:hAnsi="宋体"/>
          <w:color w:val="auto"/>
          <w:sz w:val="24"/>
        </w:rPr>
        <w:t>投标文件报价出现前后不一致的，按照下列规定修正：</w:t>
      </w:r>
    </w:p>
    <w:p>
      <w:pPr>
        <w:autoSpaceDE w:val="0"/>
        <w:autoSpaceDN w:val="0"/>
        <w:adjustRightInd w:val="0"/>
        <w:snapToGrid w:val="0"/>
        <w:spacing w:beforeLines="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w:t>
      </w:r>
      <w:r>
        <w:rPr>
          <w:rFonts w:hint="eastAsia" w:ascii="宋体" w:hAnsi="宋体"/>
          <w:color w:val="auto"/>
          <w:sz w:val="24"/>
          <w:szCs w:val="24"/>
        </w:rPr>
        <w:t>“安阳市公共资源交易中心电子交易平台”系统</w:t>
      </w:r>
      <w:r>
        <w:rPr>
          <w:rFonts w:hint="eastAsia" w:ascii="宋体" w:hAnsi="宋体"/>
          <w:color w:val="auto"/>
          <w:sz w:val="24"/>
        </w:rPr>
        <w:t>中开标一览表（报价表）内容与投标文件中相应内容不一致的，以开标一览表（报价表）为准；</w:t>
      </w:r>
    </w:p>
    <w:p>
      <w:pPr>
        <w:autoSpaceDE w:val="0"/>
        <w:autoSpaceDN w:val="0"/>
        <w:adjustRightInd w:val="0"/>
        <w:snapToGrid w:val="0"/>
        <w:spacing w:beforeLines="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）大写金额和小写金额不一致的，以大写金额为准；</w:t>
      </w:r>
    </w:p>
    <w:p>
      <w:pPr>
        <w:autoSpaceDE w:val="0"/>
        <w:autoSpaceDN w:val="0"/>
        <w:adjustRightInd w:val="0"/>
        <w:snapToGrid w:val="0"/>
        <w:spacing w:beforeLines="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）单价金额小数点或者百分比有明显错位的，以开标一览表的总价为准，并修改单价；</w:t>
      </w:r>
    </w:p>
    <w:p>
      <w:pPr>
        <w:autoSpaceDE w:val="0"/>
        <w:autoSpaceDN w:val="0"/>
        <w:adjustRightInd w:val="0"/>
        <w:snapToGrid w:val="0"/>
        <w:spacing w:beforeLines="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）总价金额与按单价汇总金额不一致的，以单价金额计算结果为准。</w:t>
      </w:r>
    </w:p>
    <w:p>
      <w:pPr>
        <w:autoSpaceDE w:val="0"/>
        <w:autoSpaceDN w:val="0"/>
        <w:adjustRightInd w:val="0"/>
        <w:snapToGrid w:val="0"/>
        <w:spacing w:beforeLines="50" w:line="300" w:lineRule="auto"/>
        <w:ind w:firstLine="566" w:firstLineChars="236"/>
        <w:jc w:val="left"/>
        <w:rPr>
          <w:rFonts w:ascii="宋体"/>
          <w:color w:val="auto"/>
          <w:sz w:val="24"/>
        </w:rPr>
      </w:pPr>
      <w:r>
        <w:rPr>
          <w:rFonts w:hint="eastAsia" w:ascii="宋体" w:hAnsi="宋体"/>
          <w:color w:val="auto"/>
          <w:sz w:val="24"/>
        </w:rPr>
        <w:t>同时出现两种以上不一致的，按照前款规定的顺序修正。修正后的报价按照本章</w:t>
      </w:r>
      <w:r>
        <w:rPr>
          <w:rFonts w:ascii="宋体" w:hAnsi="宋体"/>
          <w:color w:val="auto"/>
          <w:sz w:val="24"/>
        </w:rPr>
        <w:t>3.3.4</w:t>
      </w:r>
      <w:r>
        <w:rPr>
          <w:rFonts w:hint="eastAsia" w:ascii="宋体" w:hAnsi="宋体"/>
          <w:color w:val="auto"/>
          <w:sz w:val="24"/>
        </w:rPr>
        <w:t>项规定经投标人确认后产生约束力，投标人不确认的，其投标无效。</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 xml:space="preserve">2 </w:t>
      </w:r>
      <w:r>
        <w:rPr>
          <w:rFonts w:hint="eastAsia" w:ascii="宋体" w:hAnsi="宋体"/>
          <w:color w:val="auto"/>
          <w:sz w:val="24"/>
        </w:rPr>
        <w:t>按本章第</w:t>
      </w:r>
      <w:r>
        <w:rPr>
          <w:rFonts w:ascii="宋体" w:hAnsi="宋体"/>
          <w:color w:val="auto"/>
          <w:sz w:val="24"/>
        </w:rPr>
        <w:t xml:space="preserve">4 </w:t>
      </w:r>
      <w:r>
        <w:rPr>
          <w:rFonts w:hint="eastAsia" w:ascii="宋体" w:hAnsi="宋体"/>
          <w:color w:val="auto"/>
          <w:sz w:val="24"/>
        </w:rPr>
        <w:t>条规定执行促进中小企业发展扶持政策，用扣除后的价格参与评审。</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3.4.3 </w:t>
      </w:r>
      <w:r>
        <w:rPr>
          <w:rFonts w:hint="eastAsia" w:ascii="宋体" w:hAnsi="宋体"/>
          <w:color w:val="auto"/>
          <w:sz w:val="24"/>
        </w:rPr>
        <w:t>提供相同品牌产品的不同投标人参加同一合同项下投标的，以其中通过资格审查、符合性审查且报价最低的参加评标；报价相同的，由评标委员会按照随机抽取方式确定一个参加评标的投标人，其他投标无效。</w:t>
      </w:r>
    </w:p>
    <w:p>
      <w:pPr>
        <w:adjustRightInd w:val="0"/>
        <w:snapToGrid w:val="0"/>
        <w:spacing w:line="300" w:lineRule="auto"/>
        <w:ind w:firstLine="480"/>
        <w:jc w:val="left"/>
        <w:rPr>
          <w:rFonts w:ascii="宋体" w:cs="宋体"/>
          <w:color w:val="auto"/>
          <w:sz w:val="24"/>
        </w:rPr>
      </w:pPr>
      <w:r>
        <w:rPr>
          <w:rFonts w:hint="eastAsia" w:ascii="宋体" w:hAnsi="宋体" w:cs="宋体"/>
          <w:color w:val="auto"/>
          <w:sz w:val="24"/>
        </w:rPr>
        <w:t>多家投标人提供的核心产品品牌相同的，按前项规定处理。</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 xml:space="preserve">4 </w:t>
      </w:r>
      <w:r>
        <w:rPr>
          <w:rFonts w:hint="eastAsia" w:ascii="宋体" w:hAnsi="宋体"/>
          <w:color w:val="auto"/>
          <w:sz w:val="24"/>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3.4.5 </w:t>
      </w:r>
      <w:r>
        <w:rPr>
          <w:rFonts w:hint="eastAsia" w:ascii="宋体" w:hAnsi="宋体"/>
          <w:color w:val="auto"/>
          <w:sz w:val="24"/>
        </w:rPr>
        <w:t>除了算术修正和落实政府采购政策需进行的价格扣除外，评标委员会不对投标人的投标价格进行任何调整。</w:t>
      </w:r>
    </w:p>
    <w:p>
      <w:pPr>
        <w:autoSpaceDE w:val="0"/>
        <w:autoSpaceDN w:val="0"/>
        <w:adjustRightInd w:val="0"/>
        <w:snapToGrid w:val="0"/>
        <w:spacing w:line="360" w:lineRule="auto"/>
        <w:ind w:firstLine="569" w:firstLineChars="236"/>
        <w:rPr>
          <w:rFonts w:ascii="宋体"/>
          <w:color w:val="auto"/>
          <w:sz w:val="24"/>
        </w:rPr>
      </w:pPr>
      <w:r>
        <w:rPr>
          <w:rFonts w:ascii="黑体" w:hAnsi="黑体" w:eastAsia="黑体"/>
          <w:b/>
          <w:color w:val="auto"/>
          <w:sz w:val="24"/>
        </w:rPr>
        <w:t xml:space="preserve">3.5 </w:t>
      </w:r>
      <w:r>
        <w:rPr>
          <w:rFonts w:hint="eastAsia" w:ascii="黑体" w:hAnsi="黑体" w:eastAsia="黑体"/>
          <w:b/>
          <w:color w:val="auto"/>
          <w:sz w:val="24"/>
        </w:rPr>
        <w:t>复核</w:t>
      </w:r>
      <w:r>
        <w:rPr>
          <w:rFonts w:hint="eastAsia" w:ascii="宋体" w:hAnsi="宋体"/>
          <w:color w:val="auto"/>
          <w:sz w:val="24"/>
        </w:rPr>
        <w:t>：</w:t>
      </w:r>
      <w:bookmarkStart w:id="40" w:name="_Toc423723408"/>
    </w:p>
    <w:p>
      <w:pPr>
        <w:autoSpaceDE w:val="0"/>
        <w:autoSpaceDN w:val="0"/>
        <w:adjustRightInd w:val="0"/>
        <w:snapToGrid w:val="0"/>
        <w:spacing w:line="360" w:lineRule="auto"/>
        <w:ind w:firstLine="566" w:firstLineChars="236"/>
        <w:rPr>
          <w:rFonts w:ascii="宋体"/>
          <w:color w:val="auto"/>
          <w:sz w:val="24"/>
        </w:rPr>
      </w:pPr>
      <w:r>
        <w:rPr>
          <w:rFonts w:ascii="宋体" w:hAnsi="宋体"/>
          <w:color w:val="auto"/>
          <w:sz w:val="24"/>
        </w:rPr>
        <w:t xml:space="preserve">3.5.1  </w:t>
      </w:r>
      <w:r>
        <w:rPr>
          <w:rFonts w:hint="eastAsia" w:ascii="宋体" w:hAnsi="宋体"/>
          <w:color w:val="auto"/>
          <w:sz w:val="24"/>
        </w:rPr>
        <w:t>评标委员会对供应商的价格分等客观评分项的评分应当一致，对其他需要借助专业知识评判的主观评分项，应当严格按照评分细则公正评分，不得超出评分标准范围，对畸高、畸低的重大差异评分书面说明理由。</w:t>
      </w:r>
    </w:p>
    <w:p>
      <w:pPr>
        <w:autoSpaceDE w:val="0"/>
        <w:autoSpaceDN w:val="0"/>
        <w:adjustRightInd w:val="0"/>
        <w:snapToGrid w:val="0"/>
        <w:spacing w:line="360" w:lineRule="auto"/>
        <w:ind w:firstLine="566" w:firstLineChars="236"/>
        <w:rPr>
          <w:rFonts w:ascii="宋体"/>
          <w:color w:val="auto"/>
          <w:sz w:val="24"/>
        </w:rPr>
      </w:pPr>
      <w:r>
        <w:rPr>
          <w:rFonts w:ascii="宋体" w:hAnsi="宋体"/>
          <w:color w:val="auto"/>
          <w:sz w:val="24"/>
        </w:rPr>
        <w:t xml:space="preserve">3.5.2 </w:t>
      </w:r>
      <w:r>
        <w:rPr>
          <w:rFonts w:hint="eastAsia" w:ascii="宋体" w:hAnsi="宋体"/>
          <w:color w:val="auto"/>
          <w:sz w:val="24"/>
        </w:rPr>
        <w:t>评标委员会要对评分汇总情况进行复核，特别是对排名第一的、报价最低的、投标或相应文件被认定为无效的情形进行重点复核。评标结果汇总完成后评标报告签署前，经评标委员会复核存在分值汇总计算错误的、分项评分超出评分标准范围的、评标委员会成员对客观评审因素评分不一致的、经评标委员会认定评分畸高、畸低的，有前述情形之一的，评标委员会应当当场修改评标结果，并在评标报告中记载。</w:t>
      </w:r>
    </w:p>
    <w:p>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3.6 </w:t>
      </w:r>
      <w:r>
        <w:rPr>
          <w:rFonts w:hint="eastAsia" w:ascii="黑体" w:hAnsi="黑体" w:eastAsia="黑体"/>
          <w:b/>
          <w:color w:val="auto"/>
          <w:sz w:val="24"/>
        </w:rPr>
        <w:t>评审结果</w:t>
      </w:r>
      <w:bookmarkEnd w:id="40"/>
    </w:p>
    <w:p>
      <w:pPr>
        <w:autoSpaceDE w:val="0"/>
        <w:autoSpaceDN w:val="0"/>
        <w:adjustRightInd w:val="0"/>
        <w:snapToGrid w:val="0"/>
        <w:spacing w:beforeLines="50" w:line="300" w:lineRule="auto"/>
        <w:ind w:firstLine="616" w:firstLineChars="257"/>
        <w:jc w:val="left"/>
        <w:rPr>
          <w:rFonts w:ascii="宋体"/>
          <w:color w:val="auto"/>
          <w:sz w:val="24"/>
        </w:rPr>
      </w:pPr>
      <w:r>
        <w:rPr>
          <w:rFonts w:ascii="宋体" w:hAnsi="宋体"/>
          <w:color w:val="auto"/>
          <w:sz w:val="24"/>
        </w:rPr>
        <w:t>3.6.1</w:t>
      </w:r>
      <w:r>
        <w:rPr>
          <w:rFonts w:hint="eastAsia" w:ascii="宋体" w:hAnsi="宋体"/>
          <w:color w:val="auto"/>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utoSpaceDE w:val="0"/>
        <w:autoSpaceDN w:val="0"/>
        <w:adjustRightInd w:val="0"/>
        <w:snapToGrid w:val="0"/>
        <w:spacing w:beforeLines="50" w:line="300" w:lineRule="auto"/>
        <w:ind w:firstLine="616" w:firstLineChars="257"/>
        <w:jc w:val="left"/>
        <w:rPr>
          <w:rFonts w:ascii="宋体"/>
          <w:color w:val="auto"/>
          <w:sz w:val="24"/>
        </w:rPr>
      </w:pPr>
      <w:r>
        <w:rPr>
          <w:rFonts w:ascii="宋体" w:hAnsi="宋体"/>
          <w:color w:val="auto"/>
          <w:sz w:val="24"/>
        </w:rPr>
        <w:t xml:space="preserve">3.6.2 </w:t>
      </w:r>
      <w:r>
        <w:rPr>
          <w:rFonts w:hint="eastAsia" w:ascii="宋体" w:hAnsi="宋体"/>
          <w:color w:val="auto"/>
          <w:sz w:val="24"/>
        </w:rPr>
        <w:t>评标委员会从投标文件满足招标文件全部实质性要求的投标人中，按照综合得分由高到低的顺序提出</w:t>
      </w:r>
      <w:r>
        <w:rPr>
          <w:rFonts w:ascii="宋体" w:hAnsi="宋体"/>
          <w:color w:val="auto"/>
          <w:sz w:val="24"/>
        </w:rPr>
        <w:t>3</w:t>
      </w:r>
      <w:r>
        <w:rPr>
          <w:rFonts w:hint="eastAsia" w:ascii="宋体" w:hAnsi="宋体"/>
          <w:color w:val="auto"/>
          <w:sz w:val="24"/>
        </w:rPr>
        <w:t>名以上中标候选人，并确定排名第一的为中标人，并编写书面评标报告。</w:t>
      </w:r>
    </w:p>
    <w:p>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3.6.3 </w:t>
      </w:r>
      <w:r>
        <w:rPr>
          <w:rFonts w:hint="eastAsia" w:ascii="宋体" w:hAnsi="宋体"/>
          <w:color w:val="auto"/>
          <w:sz w:val="24"/>
        </w:rPr>
        <w:t>确定中标人：按第三章“投标人须知前”</w:t>
      </w:r>
      <w:r>
        <w:rPr>
          <w:rFonts w:ascii="宋体" w:hAnsi="宋体"/>
          <w:color w:val="auto"/>
          <w:sz w:val="24"/>
        </w:rPr>
        <w:t>7.1</w:t>
      </w:r>
      <w:r>
        <w:rPr>
          <w:rFonts w:hint="eastAsia" w:ascii="宋体" w:hAnsi="宋体"/>
          <w:color w:val="auto"/>
          <w:sz w:val="24"/>
        </w:rPr>
        <w:t>款规定及本章第</w:t>
      </w:r>
      <w:r>
        <w:rPr>
          <w:rFonts w:ascii="宋体" w:hAnsi="宋体"/>
          <w:color w:val="auto"/>
          <w:sz w:val="24"/>
        </w:rPr>
        <w:t>1</w:t>
      </w:r>
      <w:r>
        <w:rPr>
          <w:rFonts w:hint="eastAsia" w:ascii="宋体" w:hAnsi="宋体"/>
          <w:color w:val="auto"/>
          <w:sz w:val="24"/>
        </w:rPr>
        <w:t>条规定。</w:t>
      </w:r>
    </w:p>
    <w:p>
      <w:pPr>
        <w:autoSpaceDE w:val="0"/>
        <w:autoSpaceDN w:val="0"/>
        <w:adjustRightInd w:val="0"/>
        <w:snapToGrid w:val="0"/>
        <w:spacing w:before="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3.7 </w:t>
      </w:r>
      <w:r>
        <w:rPr>
          <w:rFonts w:hint="eastAsia" w:ascii="黑体" w:hAnsi="黑体" w:eastAsia="黑体"/>
          <w:b/>
          <w:color w:val="auto"/>
          <w:sz w:val="24"/>
        </w:rPr>
        <w:t>废标</w:t>
      </w:r>
    </w:p>
    <w:p>
      <w:pPr>
        <w:autoSpaceDE w:val="0"/>
        <w:autoSpaceDN w:val="0"/>
        <w:adjustRightInd w:val="0"/>
        <w:snapToGrid w:val="0"/>
        <w:spacing w:before="50" w:line="300" w:lineRule="auto"/>
        <w:ind w:firstLine="566" w:firstLineChars="236"/>
        <w:jc w:val="left"/>
        <w:rPr>
          <w:rFonts w:ascii="宋体"/>
          <w:color w:val="auto"/>
          <w:sz w:val="24"/>
        </w:rPr>
      </w:pPr>
      <w:r>
        <w:rPr>
          <w:rFonts w:ascii="宋体" w:hAnsi="宋体"/>
          <w:color w:val="auto"/>
          <w:sz w:val="24"/>
        </w:rPr>
        <w:t xml:space="preserve">3.7.1 </w:t>
      </w:r>
      <w:r>
        <w:rPr>
          <w:rFonts w:hint="eastAsia" w:ascii="宋体" w:hAnsi="宋体"/>
          <w:color w:val="auto"/>
          <w:sz w:val="24"/>
        </w:rPr>
        <w:t>出现下列情形之一的，应予废标：</w:t>
      </w:r>
    </w:p>
    <w:p>
      <w:pPr>
        <w:autoSpaceDE w:val="0"/>
        <w:autoSpaceDN w:val="0"/>
        <w:adjustRightInd w:val="0"/>
        <w:snapToGrid w:val="0"/>
        <w:spacing w:before="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）符合专业条件的供应商或者对招标文件作实质响应的供应商不足三家的；</w:t>
      </w:r>
    </w:p>
    <w:p>
      <w:pPr>
        <w:autoSpaceDE w:val="0"/>
        <w:autoSpaceDN w:val="0"/>
        <w:adjustRightInd w:val="0"/>
        <w:snapToGrid w:val="0"/>
        <w:spacing w:before="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）出现影响采购公正的违法、违规行为的；</w:t>
      </w:r>
    </w:p>
    <w:p>
      <w:pPr>
        <w:autoSpaceDE w:val="0"/>
        <w:autoSpaceDN w:val="0"/>
        <w:adjustRightInd w:val="0"/>
        <w:snapToGrid w:val="0"/>
        <w:spacing w:before="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）未超过最高限价的供应商不足</w:t>
      </w:r>
      <w:r>
        <w:rPr>
          <w:rFonts w:ascii="宋体" w:hAnsi="宋体"/>
          <w:color w:val="auto"/>
          <w:sz w:val="24"/>
        </w:rPr>
        <w:t>3</w:t>
      </w:r>
      <w:r>
        <w:rPr>
          <w:rFonts w:hint="eastAsia" w:ascii="宋体" w:hAnsi="宋体"/>
          <w:color w:val="auto"/>
          <w:sz w:val="24"/>
        </w:rPr>
        <w:t>家的</w:t>
      </w:r>
    </w:p>
    <w:p>
      <w:pPr>
        <w:autoSpaceDE w:val="0"/>
        <w:autoSpaceDN w:val="0"/>
        <w:adjustRightInd w:val="0"/>
        <w:snapToGrid w:val="0"/>
        <w:spacing w:before="50"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）因重大变故，采购任务取消的。</w:t>
      </w:r>
    </w:p>
    <w:p>
      <w:pPr>
        <w:rPr>
          <w:rFonts w:ascii="黑体" w:hAnsi="黑体" w:eastAsia="黑体" w:cs="楷体_GB2312"/>
          <w:b/>
          <w:bCs/>
          <w:color w:val="auto"/>
          <w:sz w:val="28"/>
          <w:szCs w:val="28"/>
        </w:rPr>
      </w:pPr>
      <w:r>
        <w:rPr>
          <w:rFonts w:ascii="宋体" w:hAnsi="宋体"/>
          <w:color w:val="auto"/>
          <w:sz w:val="24"/>
        </w:rPr>
        <w:t xml:space="preserve">3.7.2 </w:t>
      </w:r>
      <w:r>
        <w:rPr>
          <w:rFonts w:hint="eastAsia" w:ascii="宋体" w:hAnsi="宋体"/>
          <w:color w:val="auto"/>
          <w:sz w:val="24"/>
        </w:rPr>
        <w:t>评标委员会要在废标时，出具招标文件是否存在不合理条款的论证意见，要协助采购人、采购代理机构、财政部门答复质疑或处理投诉事项。　</w:t>
      </w:r>
    </w:p>
    <w:p>
      <w:pPr>
        <w:widowControl w:val="0"/>
        <w:adjustRightInd w:val="0"/>
        <w:snapToGrid w:val="0"/>
        <w:spacing w:beforeLines="50" w:line="300" w:lineRule="auto"/>
        <w:ind w:left="23" w:firstLine="556"/>
        <w:jc w:val="left"/>
        <w:outlineLvl w:val="1"/>
        <w:rPr>
          <w:rFonts w:ascii="黑体" w:hAnsi="黑体" w:eastAsia="黑体" w:cs="楷体_GB2312"/>
          <w:b/>
          <w:bCs/>
          <w:color w:val="auto"/>
          <w:sz w:val="28"/>
          <w:szCs w:val="28"/>
          <w:lang w:val="zh-CN"/>
        </w:rPr>
      </w:pPr>
      <w:bookmarkStart w:id="41" w:name="_Toc529805771"/>
      <w:r>
        <w:rPr>
          <w:rFonts w:ascii="黑体" w:hAnsi="黑体" w:eastAsia="黑体" w:cs="楷体_GB2312"/>
          <w:b/>
          <w:bCs/>
          <w:color w:val="auto"/>
          <w:sz w:val="28"/>
          <w:szCs w:val="28"/>
        </w:rPr>
        <w:t>4</w:t>
      </w:r>
      <w:r>
        <w:rPr>
          <w:rFonts w:ascii="黑体" w:hAnsi="黑体" w:eastAsia="黑体" w:cs="楷体_GB2312"/>
          <w:b/>
          <w:bCs/>
          <w:color w:val="auto"/>
          <w:sz w:val="28"/>
          <w:szCs w:val="28"/>
          <w:lang w:val="zh-CN"/>
        </w:rPr>
        <w:t xml:space="preserve">. </w:t>
      </w:r>
      <w:r>
        <w:rPr>
          <w:rFonts w:hint="eastAsia" w:ascii="黑体" w:hAnsi="黑体" w:eastAsia="黑体" w:cs="楷体_GB2312"/>
          <w:b/>
          <w:bCs/>
          <w:color w:val="auto"/>
          <w:sz w:val="28"/>
          <w:szCs w:val="28"/>
          <w:lang w:val="zh-CN"/>
        </w:rPr>
        <w:t>政府采购促进中小企业发展扶持政策</w:t>
      </w:r>
      <w:bookmarkEnd w:id="41"/>
    </w:p>
    <w:p>
      <w:pPr>
        <w:widowControl w:val="0"/>
        <w:adjustRightInd w:val="0"/>
        <w:snapToGrid w:val="0"/>
        <w:spacing w:beforeLines="50" w:line="300" w:lineRule="auto"/>
        <w:ind w:firstLine="480" w:firstLineChars="200"/>
        <w:textAlignment w:val="auto"/>
        <w:rPr>
          <w:color w:val="auto"/>
          <w:sz w:val="24"/>
          <w:szCs w:val="24"/>
        </w:rPr>
      </w:pPr>
      <w:r>
        <w:rPr>
          <w:color w:val="auto"/>
          <w:sz w:val="24"/>
          <w:szCs w:val="24"/>
        </w:rPr>
        <w:t xml:space="preserve">4.1 </w:t>
      </w:r>
      <w:r>
        <w:rPr>
          <w:rFonts w:hint="eastAsia"/>
          <w:color w:val="auto"/>
          <w:sz w:val="24"/>
          <w:szCs w:val="24"/>
        </w:rPr>
        <w:t>本次政府招标项目对小型和微型企业产品的价格给予</w:t>
      </w:r>
      <w:r>
        <w:rPr>
          <w:color w:val="auto"/>
          <w:sz w:val="24"/>
          <w:szCs w:val="24"/>
        </w:rPr>
        <w:t>6%</w:t>
      </w:r>
      <w:r>
        <w:rPr>
          <w:rFonts w:hint="eastAsia"/>
          <w:color w:val="auto"/>
          <w:sz w:val="24"/>
          <w:szCs w:val="24"/>
        </w:rPr>
        <w:t>的扣除，用扣除后的价格参与评审。</w:t>
      </w:r>
    </w:p>
    <w:p>
      <w:pPr>
        <w:adjustRightInd w:val="0"/>
        <w:snapToGrid w:val="0"/>
        <w:spacing w:beforeLines="50" w:line="300" w:lineRule="auto"/>
        <w:ind w:firstLine="480" w:firstLineChars="200"/>
        <w:rPr>
          <w:color w:val="auto"/>
          <w:sz w:val="24"/>
          <w:szCs w:val="24"/>
        </w:rPr>
      </w:pPr>
      <w:r>
        <w:rPr>
          <w:color w:val="auto"/>
          <w:sz w:val="24"/>
          <w:szCs w:val="24"/>
        </w:rPr>
        <w:t xml:space="preserve">4.2 </w:t>
      </w:r>
      <w:r>
        <w:rPr>
          <w:rFonts w:hint="eastAsia"/>
          <w:color w:val="auto"/>
          <w:sz w:val="24"/>
          <w:szCs w:val="24"/>
        </w:rPr>
        <w:t>本次政府招标项目对小型和微型企业产品价格扣除的对象应当同时符合以下条件：</w:t>
      </w:r>
    </w:p>
    <w:p>
      <w:pPr>
        <w:adjustRightInd w:val="0"/>
        <w:snapToGrid w:val="0"/>
        <w:spacing w:beforeLines="50" w:line="300" w:lineRule="auto"/>
        <w:ind w:firstLine="600" w:firstLineChars="250"/>
        <w:rPr>
          <w:color w:val="auto"/>
          <w:sz w:val="24"/>
          <w:szCs w:val="24"/>
        </w:rPr>
      </w:pPr>
      <w:r>
        <w:rPr>
          <w:rFonts w:hint="eastAsia"/>
          <w:color w:val="auto"/>
          <w:sz w:val="24"/>
          <w:szCs w:val="24"/>
        </w:rPr>
        <w:t>（</w:t>
      </w:r>
      <w:r>
        <w:rPr>
          <w:color w:val="auto"/>
          <w:sz w:val="24"/>
          <w:szCs w:val="24"/>
        </w:rPr>
        <w:t>1</w:t>
      </w:r>
      <w:r>
        <w:rPr>
          <w:rFonts w:hint="eastAsia"/>
          <w:color w:val="auto"/>
          <w:sz w:val="24"/>
          <w:szCs w:val="24"/>
        </w:rPr>
        <w:t>）投标人为小型和微型企业；</w:t>
      </w:r>
    </w:p>
    <w:p>
      <w:pPr>
        <w:adjustRightInd w:val="0"/>
        <w:snapToGrid w:val="0"/>
        <w:spacing w:beforeLines="50" w:line="300" w:lineRule="auto"/>
        <w:ind w:firstLine="600"/>
        <w:rPr>
          <w:color w:val="auto"/>
          <w:sz w:val="24"/>
          <w:szCs w:val="24"/>
        </w:rPr>
      </w:pPr>
      <w:r>
        <w:rPr>
          <w:rFonts w:hint="eastAsia"/>
          <w:color w:val="auto"/>
          <w:sz w:val="24"/>
          <w:szCs w:val="24"/>
        </w:rPr>
        <w:t>（</w:t>
      </w:r>
      <w:r>
        <w:rPr>
          <w:color w:val="auto"/>
          <w:sz w:val="24"/>
          <w:szCs w:val="24"/>
        </w:rPr>
        <w:t>2</w:t>
      </w:r>
      <w:r>
        <w:rPr>
          <w:rFonts w:hint="eastAsia"/>
          <w:color w:val="auto"/>
          <w:sz w:val="24"/>
          <w:szCs w:val="24"/>
        </w:rPr>
        <w:t>）提供本企业制造的货物、承担的工程或者服务，或者提供其他小型和微型企业制造的货物。本项所称货物不包括使用大型企业注册商标的货物。</w:t>
      </w:r>
    </w:p>
    <w:p>
      <w:pPr>
        <w:widowControl w:val="0"/>
        <w:adjustRightInd w:val="0"/>
        <w:snapToGrid w:val="0"/>
        <w:spacing w:beforeLines="50" w:line="300" w:lineRule="auto"/>
        <w:ind w:firstLine="480" w:firstLineChars="200"/>
        <w:textAlignment w:val="auto"/>
        <w:rPr>
          <w:color w:val="auto"/>
          <w:sz w:val="24"/>
          <w:szCs w:val="24"/>
        </w:rPr>
      </w:pPr>
      <w:r>
        <w:rPr>
          <w:color w:val="auto"/>
          <w:sz w:val="24"/>
          <w:szCs w:val="24"/>
        </w:rPr>
        <w:t>8.3</w:t>
      </w:r>
      <w:r>
        <w:rPr>
          <w:rFonts w:hint="eastAsia"/>
          <w:color w:val="auto"/>
          <w:sz w:val="24"/>
          <w:szCs w:val="24"/>
        </w:rPr>
        <w:t>本次政府招标项目对小型和微型企业产品的价格扣除的界定依据（未按要求提供相关资料的，不享受价格扣除扶持政策）：</w:t>
      </w:r>
    </w:p>
    <w:p>
      <w:pPr>
        <w:widowControl w:val="0"/>
        <w:adjustRightInd w:val="0"/>
        <w:snapToGrid w:val="0"/>
        <w:spacing w:beforeLines="50" w:line="300" w:lineRule="auto"/>
        <w:ind w:firstLine="480" w:firstLineChars="200"/>
        <w:textAlignment w:val="auto"/>
        <w:rPr>
          <w:color w:val="auto"/>
          <w:sz w:val="24"/>
          <w:szCs w:val="24"/>
        </w:rPr>
      </w:pPr>
      <w:r>
        <w:rPr>
          <w:rFonts w:hint="eastAsia"/>
          <w:color w:val="auto"/>
          <w:sz w:val="24"/>
          <w:szCs w:val="24"/>
        </w:rPr>
        <w:t>（</w:t>
      </w:r>
      <w:r>
        <w:rPr>
          <w:color w:val="auto"/>
          <w:sz w:val="24"/>
          <w:szCs w:val="24"/>
        </w:rPr>
        <w:t>1</w:t>
      </w:r>
      <w:r>
        <w:rPr>
          <w:rFonts w:hint="eastAsia"/>
          <w:color w:val="auto"/>
          <w:sz w:val="24"/>
          <w:szCs w:val="24"/>
        </w:rPr>
        <w:t>）参加本次政府采购活动的中小企业应按附件格式提供《中小企业声明函》；</w:t>
      </w:r>
    </w:p>
    <w:p>
      <w:pPr>
        <w:widowControl w:val="0"/>
        <w:adjustRightInd w:val="0"/>
        <w:snapToGrid w:val="0"/>
        <w:spacing w:beforeLines="50" w:line="300" w:lineRule="auto"/>
        <w:ind w:firstLine="480" w:firstLineChars="200"/>
        <w:textAlignment w:val="auto"/>
        <w:rPr>
          <w:color w:val="auto"/>
          <w:sz w:val="24"/>
          <w:szCs w:val="24"/>
        </w:rPr>
      </w:pPr>
      <w:r>
        <w:rPr>
          <w:rFonts w:hint="eastAsia"/>
          <w:color w:val="auto"/>
          <w:sz w:val="24"/>
          <w:szCs w:val="24"/>
        </w:rPr>
        <w:t>（</w:t>
      </w:r>
      <w:r>
        <w:rPr>
          <w:color w:val="auto"/>
          <w:sz w:val="24"/>
          <w:szCs w:val="24"/>
        </w:rPr>
        <w:t>2</w:t>
      </w:r>
      <w:r>
        <w:rPr>
          <w:rFonts w:hint="eastAsia"/>
          <w:color w:val="auto"/>
          <w:sz w:val="24"/>
          <w:szCs w:val="24"/>
        </w:rPr>
        <w:t>）提供其他小型和微型企业制造的货物的投标人，应同时提供产品制造企业《中小企业声明函》复印件（加盖投标人公章）</w:t>
      </w:r>
    </w:p>
    <w:p>
      <w:pPr>
        <w:widowControl w:val="0"/>
        <w:adjustRightInd w:val="0"/>
        <w:snapToGrid w:val="0"/>
        <w:spacing w:beforeLines="50" w:line="300" w:lineRule="auto"/>
        <w:ind w:firstLine="480" w:firstLineChars="200"/>
        <w:textAlignment w:val="auto"/>
        <w:rPr>
          <w:color w:val="auto"/>
          <w:sz w:val="24"/>
          <w:szCs w:val="24"/>
        </w:rPr>
      </w:pPr>
      <w:r>
        <w:rPr>
          <w:rFonts w:hint="eastAsia"/>
          <w:color w:val="auto"/>
          <w:sz w:val="24"/>
          <w:szCs w:val="24"/>
        </w:rPr>
        <w:t>注：产品制造企业《中小企业声明函》自开出之日起至投标截止日应在</w:t>
      </w:r>
      <w:r>
        <w:rPr>
          <w:color w:val="auto"/>
          <w:sz w:val="24"/>
          <w:szCs w:val="24"/>
        </w:rPr>
        <w:t>1</w:t>
      </w:r>
      <w:r>
        <w:rPr>
          <w:rFonts w:hint="eastAsia"/>
          <w:color w:val="auto"/>
          <w:sz w:val="24"/>
          <w:szCs w:val="24"/>
        </w:rPr>
        <w:t>年内，超出期限的将不被认可。投标截止日产品制造企业规模发生变化的，应如实陈述，否则将视为提供虚假材料。</w:t>
      </w:r>
    </w:p>
    <w:p>
      <w:pPr>
        <w:widowControl w:val="0"/>
        <w:adjustRightInd w:val="0"/>
        <w:snapToGrid w:val="0"/>
        <w:spacing w:beforeLines="50" w:line="300" w:lineRule="auto"/>
        <w:ind w:firstLine="480" w:firstLineChars="200"/>
        <w:textAlignment w:val="auto"/>
        <w:rPr>
          <w:color w:val="auto"/>
          <w:sz w:val="24"/>
          <w:szCs w:val="24"/>
        </w:rPr>
      </w:pPr>
      <w:r>
        <w:rPr>
          <w:rFonts w:hint="eastAsia"/>
          <w:color w:val="auto"/>
          <w:sz w:val="24"/>
          <w:szCs w:val="24"/>
        </w:rPr>
        <w:t>（</w:t>
      </w:r>
      <w:r>
        <w:rPr>
          <w:color w:val="auto"/>
          <w:sz w:val="24"/>
          <w:szCs w:val="24"/>
        </w:rPr>
        <w:t>3</w:t>
      </w:r>
      <w:r>
        <w:rPr>
          <w:rFonts w:hint="eastAsia"/>
          <w:color w:val="auto"/>
          <w:sz w:val="24"/>
          <w:szCs w:val="24"/>
        </w:rPr>
        <w:t>）联合体各方均为小型、微型企业的，联合体视同为小型、微型企业，享受本次政府招标项目的扶持政策。联合体各方均应按附件格式提供《中小企业声明函》。</w:t>
      </w:r>
    </w:p>
    <w:p>
      <w:pPr>
        <w:widowControl w:val="0"/>
        <w:adjustRightInd w:val="0"/>
        <w:snapToGrid w:val="0"/>
        <w:spacing w:beforeLines="50" w:line="300" w:lineRule="auto"/>
        <w:ind w:firstLine="555"/>
        <w:rPr>
          <w:color w:val="auto"/>
          <w:sz w:val="24"/>
          <w:szCs w:val="24"/>
        </w:rPr>
      </w:pPr>
      <w:r>
        <w:rPr>
          <w:rFonts w:hint="eastAsia"/>
          <w:color w:val="auto"/>
          <w:sz w:val="24"/>
          <w:szCs w:val="24"/>
        </w:rPr>
        <w:t>（</w:t>
      </w:r>
      <w:r>
        <w:rPr>
          <w:color w:val="auto"/>
          <w:sz w:val="24"/>
          <w:szCs w:val="24"/>
        </w:rPr>
        <w:t>4</w:t>
      </w:r>
      <w:r>
        <w:rPr>
          <w:rFonts w:hint="eastAsia"/>
          <w:color w:val="auto"/>
          <w:sz w:val="24"/>
          <w:szCs w:val="24"/>
        </w:rPr>
        <w:t>）投标人对申报的小型和微型企业产品的价格扣除事项在报价表如实认真填列。</w:t>
      </w:r>
    </w:p>
    <w:p>
      <w:pPr>
        <w:widowControl w:val="0"/>
        <w:adjustRightInd w:val="0"/>
        <w:snapToGrid w:val="0"/>
        <w:spacing w:beforeLines="50" w:line="300" w:lineRule="auto"/>
        <w:ind w:firstLine="510"/>
        <w:rPr>
          <w:rFonts w:ascii="宋体"/>
          <w:color w:val="auto"/>
          <w:sz w:val="24"/>
          <w:szCs w:val="24"/>
        </w:rPr>
      </w:pPr>
      <w:r>
        <w:rPr>
          <w:color w:val="auto"/>
          <w:sz w:val="24"/>
          <w:szCs w:val="24"/>
        </w:rPr>
        <w:t xml:space="preserve">4.4 </w:t>
      </w:r>
      <w:r>
        <w:rPr>
          <w:rFonts w:hint="eastAsia" w:ascii="宋体" w:hAnsi="宋体"/>
          <w:color w:val="auto"/>
          <w:sz w:val="24"/>
          <w:szCs w:val="24"/>
        </w:rPr>
        <w:t>招标文件允许联合体投时，大中型企业和其他自然人、法人或者其他组织与小型、微型企业组成联合体共同参加非专门面向中小企业的政府采购活动的，联合协议中约定，小型、微型企业的协议合同金额占到联合体协议合同总金额</w:t>
      </w:r>
      <w:r>
        <w:rPr>
          <w:rFonts w:ascii="宋体" w:hAnsi="宋体"/>
          <w:color w:val="auto"/>
          <w:sz w:val="24"/>
          <w:szCs w:val="24"/>
        </w:rPr>
        <w:t>30%</w:t>
      </w:r>
      <w:r>
        <w:rPr>
          <w:rFonts w:hint="eastAsia" w:ascii="宋体" w:hAnsi="宋体"/>
          <w:color w:val="auto"/>
          <w:sz w:val="24"/>
          <w:szCs w:val="24"/>
        </w:rPr>
        <w:t>以上的，给予联合体</w:t>
      </w:r>
      <w:r>
        <w:rPr>
          <w:rFonts w:ascii="宋体" w:hAnsi="宋体"/>
          <w:color w:val="auto"/>
          <w:sz w:val="24"/>
          <w:szCs w:val="24"/>
        </w:rPr>
        <w:t>2%</w:t>
      </w:r>
      <w:r>
        <w:rPr>
          <w:rFonts w:hint="eastAsia" w:ascii="宋体" w:hAnsi="宋体"/>
          <w:color w:val="auto"/>
          <w:sz w:val="24"/>
          <w:szCs w:val="24"/>
        </w:rPr>
        <w:t>的价格扣除。</w:t>
      </w:r>
    </w:p>
    <w:p>
      <w:pPr>
        <w:widowControl w:val="0"/>
        <w:adjustRightInd w:val="0"/>
        <w:snapToGrid w:val="0"/>
        <w:spacing w:beforeLines="50" w:line="300" w:lineRule="auto"/>
        <w:ind w:firstLine="555"/>
        <w:rPr>
          <w:rFonts w:ascii="宋体" w:cs="宋体"/>
          <w:color w:val="auto"/>
          <w:sz w:val="24"/>
          <w:szCs w:val="24"/>
        </w:rPr>
      </w:pPr>
      <w:r>
        <w:rPr>
          <w:color w:val="auto"/>
          <w:sz w:val="24"/>
          <w:szCs w:val="24"/>
        </w:rPr>
        <w:t>4.5</w:t>
      </w:r>
      <w:r>
        <w:rPr>
          <w:rFonts w:hint="eastAsia"/>
          <w:color w:val="auto"/>
          <w:sz w:val="24"/>
          <w:szCs w:val="24"/>
        </w:rPr>
        <w:t>监狱企业</w:t>
      </w:r>
      <w:r>
        <w:rPr>
          <w:rFonts w:hint="eastAsia" w:ascii="宋体" w:hAnsi="宋体"/>
          <w:color w:val="auto"/>
          <w:sz w:val="24"/>
          <w:szCs w:val="24"/>
        </w:rPr>
        <w:t>、</w:t>
      </w:r>
      <w:r>
        <w:rPr>
          <w:rFonts w:hint="eastAsia" w:ascii="宋体" w:hAnsi="宋体" w:cs="宋体"/>
          <w:color w:val="auto"/>
          <w:sz w:val="24"/>
          <w:szCs w:val="24"/>
        </w:rPr>
        <w:t>符合法定条件的残疾人福利性单位</w:t>
      </w:r>
      <w:r>
        <w:rPr>
          <w:rFonts w:hint="eastAsia" w:ascii="宋体" w:hAnsi="宋体"/>
          <w:color w:val="auto"/>
          <w:sz w:val="24"/>
          <w:szCs w:val="24"/>
        </w:rPr>
        <w:t>视</w:t>
      </w:r>
      <w:r>
        <w:rPr>
          <w:rFonts w:hint="eastAsia"/>
          <w:color w:val="auto"/>
          <w:sz w:val="24"/>
          <w:szCs w:val="24"/>
        </w:rPr>
        <w:t>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r>
        <w:rPr>
          <w:rFonts w:hint="eastAsia" w:ascii="宋体" w:hAnsi="宋体" w:cs="宋体"/>
          <w:color w:val="auto"/>
          <w:sz w:val="24"/>
          <w:szCs w:val="24"/>
        </w:rPr>
        <w:t>符合法定条件的残疾人福利性单位提供财库〔</w:t>
      </w:r>
      <w:r>
        <w:rPr>
          <w:rFonts w:ascii="宋体" w:hAnsi="宋体" w:cs="宋体"/>
          <w:color w:val="auto"/>
          <w:sz w:val="24"/>
          <w:szCs w:val="24"/>
        </w:rPr>
        <w:t>2017</w:t>
      </w:r>
      <w:r>
        <w:rPr>
          <w:rFonts w:hint="eastAsia" w:ascii="宋体" w:hAnsi="宋体" w:cs="宋体"/>
          <w:color w:val="auto"/>
          <w:sz w:val="24"/>
          <w:szCs w:val="24"/>
        </w:rPr>
        <w:t>〕</w:t>
      </w:r>
      <w:r>
        <w:rPr>
          <w:rFonts w:ascii="宋体" w:hAnsi="宋体" w:cs="宋体"/>
          <w:color w:val="auto"/>
          <w:sz w:val="24"/>
          <w:szCs w:val="24"/>
        </w:rPr>
        <w:t>141</w:t>
      </w:r>
      <w:r>
        <w:rPr>
          <w:rFonts w:hint="eastAsia" w:ascii="宋体" w:hAnsi="宋体" w:cs="宋体"/>
          <w:color w:val="auto"/>
          <w:sz w:val="24"/>
          <w:szCs w:val="24"/>
        </w:rPr>
        <w:t>号规定的《残疾人福利性单位声明函》，残疾人福利性单位属于小型、微型企业的，不重复享受政策。</w:t>
      </w:r>
    </w:p>
    <w:p>
      <w:pPr>
        <w:widowControl w:val="0"/>
        <w:adjustRightInd w:val="0"/>
        <w:snapToGrid w:val="0"/>
        <w:spacing w:beforeLines="50" w:line="300" w:lineRule="auto"/>
        <w:ind w:firstLine="555"/>
        <w:rPr>
          <w:rFonts w:ascii="宋体" w:cs="宋体"/>
          <w:color w:val="auto"/>
          <w:sz w:val="24"/>
          <w:szCs w:val="24"/>
        </w:rPr>
      </w:pPr>
      <w:r>
        <w:rPr>
          <w:color w:val="auto"/>
          <w:sz w:val="24"/>
          <w:szCs w:val="24"/>
        </w:rPr>
        <w:t>4.5.1</w:t>
      </w:r>
      <w:r>
        <w:rPr>
          <w:rFonts w:ascii="宋体" w:hAnsi="宋体" w:cs="宋体"/>
          <w:color w:val="auto"/>
          <w:sz w:val="24"/>
          <w:szCs w:val="24"/>
        </w:rPr>
        <w:t xml:space="preserve"> </w:t>
      </w:r>
      <w:r>
        <w:rPr>
          <w:rFonts w:hint="eastAsia" w:ascii="宋体" w:hAnsi="宋体" w:cs="宋体"/>
          <w:color w:val="auto"/>
          <w:sz w:val="24"/>
          <w:szCs w:val="24"/>
        </w:rPr>
        <w:t>享受政府采购支持政策的残疾人福利性单位应当同时满足以下条件：</w:t>
      </w:r>
    </w:p>
    <w:p>
      <w:pPr>
        <w:widowControl w:val="0"/>
        <w:adjustRightInd w:val="0"/>
        <w:snapToGrid w:val="0"/>
        <w:spacing w:beforeLines="50" w:line="300" w:lineRule="auto"/>
        <w:ind w:firstLine="555"/>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）安置的残疾人占本单位在职职工人数的比例不低于</w:t>
      </w:r>
      <w:r>
        <w:rPr>
          <w:rFonts w:ascii="宋体" w:hAnsi="宋体" w:cs="宋体"/>
          <w:color w:val="auto"/>
          <w:sz w:val="24"/>
          <w:szCs w:val="24"/>
        </w:rPr>
        <w:t>25%</w:t>
      </w:r>
      <w:r>
        <w:rPr>
          <w:rFonts w:hint="eastAsia" w:ascii="宋体" w:hAnsi="宋体" w:cs="宋体"/>
          <w:color w:val="auto"/>
          <w:sz w:val="24"/>
          <w:szCs w:val="24"/>
        </w:rPr>
        <w:t>（含</w:t>
      </w:r>
      <w:r>
        <w:rPr>
          <w:rFonts w:ascii="宋体" w:hAnsi="宋体" w:cs="宋体"/>
          <w:color w:val="auto"/>
          <w:sz w:val="24"/>
          <w:szCs w:val="24"/>
        </w:rPr>
        <w:t>25%</w:t>
      </w:r>
      <w:r>
        <w:rPr>
          <w:rFonts w:hint="eastAsia" w:ascii="宋体" w:hAnsi="宋体" w:cs="宋体"/>
          <w:color w:val="auto"/>
          <w:sz w:val="24"/>
          <w:szCs w:val="24"/>
        </w:rPr>
        <w:t>），并且安置的残疾人人数不少于</w:t>
      </w:r>
      <w:r>
        <w:rPr>
          <w:rFonts w:ascii="宋体" w:hAnsi="宋体" w:cs="宋体"/>
          <w:color w:val="auto"/>
          <w:sz w:val="24"/>
          <w:szCs w:val="24"/>
        </w:rPr>
        <w:t>10</w:t>
      </w:r>
      <w:r>
        <w:rPr>
          <w:rFonts w:hint="eastAsia" w:ascii="宋体" w:hAnsi="宋体" w:cs="宋体"/>
          <w:color w:val="auto"/>
          <w:sz w:val="24"/>
          <w:szCs w:val="24"/>
        </w:rPr>
        <w:t>人（含</w:t>
      </w:r>
      <w:r>
        <w:rPr>
          <w:rFonts w:ascii="宋体" w:hAnsi="宋体" w:cs="宋体"/>
          <w:color w:val="auto"/>
          <w:sz w:val="24"/>
          <w:szCs w:val="24"/>
        </w:rPr>
        <w:t>10</w:t>
      </w:r>
      <w:r>
        <w:rPr>
          <w:rFonts w:hint="eastAsia" w:ascii="宋体" w:hAnsi="宋体" w:cs="宋体"/>
          <w:color w:val="auto"/>
          <w:sz w:val="24"/>
          <w:szCs w:val="24"/>
        </w:rPr>
        <w:t>人）；</w:t>
      </w:r>
    </w:p>
    <w:p>
      <w:pPr>
        <w:widowControl w:val="0"/>
        <w:adjustRightInd w:val="0"/>
        <w:snapToGrid w:val="0"/>
        <w:spacing w:beforeLines="50" w:line="300" w:lineRule="auto"/>
        <w:ind w:firstLine="555"/>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）依法与安置的每位残疾人签订了一年以上（含一年）的劳动合同或服务协议；</w:t>
      </w:r>
    </w:p>
    <w:p>
      <w:pPr>
        <w:widowControl w:val="0"/>
        <w:adjustRightInd w:val="0"/>
        <w:snapToGrid w:val="0"/>
        <w:spacing w:beforeLines="50" w:line="300" w:lineRule="auto"/>
        <w:ind w:firstLine="555"/>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）为安置的每位残疾人按月足额缴纳了基本养老保险、基本医疗保险、失业保险、工伤保险和生育保险等社会保险费；</w:t>
      </w:r>
    </w:p>
    <w:p>
      <w:pPr>
        <w:widowControl w:val="0"/>
        <w:adjustRightInd w:val="0"/>
        <w:snapToGrid w:val="0"/>
        <w:spacing w:beforeLines="50" w:line="300" w:lineRule="auto"/>
        <w:ind w:firstLine="555"/>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）通过银行等金融机构向安置的每位残疾人，按月支付了不低于单位所在区县适用的经省级人民政府批准的月最低工资标准的工资；</w:t>
      </w:r>
    </w:p>
    <w:p>
      <w:pPr>
        <w:widowControl w:val="0"/>
        <w:adjustRightInd w:val="0"/>
        <w:snapToGrid w:val="0"/>
        <w:spacing w:beforeLines="50" w:line="300" w:lineRule="auto"/>
        <w:ind w:firstLine="555"/>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）提供本单位制造的货物、承担的工程或者服务（以下简称产品），或者提供其他残疾人福利性单位制造的货物（不包括使用非残疾人福利性单位注册商标的货物）。</w:t>
      </w:r>
    </w:p>
    <w:p>
      <w:pPr>
        <w:widowControl w:val="0"/>
        <w:adjustRightInd w:val="0"/>
        <w:snapToGrid w:val="0"/>
        <w:spacing w:beforeLines="50" w:line="300" w:lineRule="auto"/>
        <w:ind w:firstLine="555"/>
        <w:rPr>
          <w:rFonts w:ascii="宋体" w:cs="宋体"/>
          <w:color w:val="auto"/>
          <w:sz w:val="24"/>
          <w:szCs w:val="24"/>
        </w:rPr>
      </w:pPr>
      <w:r>
        <w:rPr>
          <w:rFonts w:hint="eastAsia" w:ascii="宋体" w:hAnsi="宋体" w:cs="宋体"/>
          <w:color w:val="auto"/>
          <w:sz w:val="24"/>
          <w:szCs w:val="24"/>
        </w:rPr>
        <w:t>前款所称残疾人是指法定劳动年龄内，持有《中华人民共和国残疾人证》或者《中华人民共和国残疾军人证（</w:t>
      </w:r>
      <w:r>
        <w:rPr>
          <w:rFonts w:ascii="宋体" w:hAnsi="宋体" w:cs="宋体"/>
          <w:color w:val="auto"/>
          <w:sz w:val="24"/>
          <w:szCs w:val="24"/>
        </w:rPr>
        <w:t>1</w:t>
      </w:r>
      <w:r>
        <w:rPr>
          <w:rFonts w:hint="eastAsia" w:ascii="宋体" w:hAnsi="宋体" w:cs="宋体"/>
          <w:color w:val="auto"/>
          <w:sz w:val="24"/>
          <w:szCs w:val="24"/>
        </w:rPr>
        <w:t>至</w:t>
      </w:r>
      <w:r>
        <w:rPr>
          <w:rFonts w:ascii="宋体" w:hAnsi="宋体" w:cs="宋体"/>
          <w:color w:val="auto"/>
          <w:sz w:val="24"/>
          <w:szCs w:val="24"/>
        </w:rPr>
        <w:t>8</w:t>
      </w:r>
      <w:r>
        <w:rPr>
          <w:rFonts w:hint="eastAsia" w:ascii="宋体" w:hAnsi="宋体" w:cs="宋体"/>
          <w:color w:val="auto"/>
          <w:sz w:val="24"/>
          <w:szCs w:val="24"/>
        </w:rPr>
        <w:t>级）》的自然人，包括具有劳动条件和劳动意愿的精神残疾人。在职职工人数是指与残疾人福利性单位建立劳动关系并依法签订劳动合同或者服务协议的雇员人数。</w:t>
      </w:r>
    </w:p>
    <w:p>
      <w:pPr>
        <w:widowControl w:val="0"/>
        <w:adjustRightInd w:val="0"/>
        <w:snapToGrid w:val="0"/>
        <w:spacing w:beforeLines="50" w:line="300" w:lineRule="auto"/>
        <w:ind w:firstLine="555"/>
        <w:rPr>
          <w:color w:val="auto"/>
          <w:sz w:val="24"/>
          <w:szCs w:val="24"/>
        </w:rPr>
      </w:pPr>
      <w:r>
        <w:rPr>
          <w:color w:val="auto"/>
          <w:sz w:val="24"/>
          <w:szCs w:val="24"/>
        </w:rPr>
        <w:t>4.6</w:t>
      </w:r>
      <w:r>
        <w:rPr>
          <w:rFonts w:hint="eastAsia"/>
          <w:color w:val="auto"/>
          <w:sz w:val="24"/>
          <w:szCs w:val="24"/>
        </w:rPr>
        <w:t>评标委员会对投标人申报的小型和微型企业产品的价格扣除事项（开标递交的投标文件中开标一览表及相关明细表等）进行评审。鉴于小微企业价格扣除政策与合同执行价格无关，为避免投标人申报价格扣除事项的随意性，故特别规定</w:t>
      </w:r>
    </w:p>
    <w:p>
      <w:pPr>
        <w:widowControl w:val="0"/>
        <w:adjustRightInd w:val="0"/>
        <w:snapToGrid w:val="0"/>
        <w:spacing w:beforeLines="50" w:line="300" w:lineRule="auto"/>
        <w:ind w:firstLine="555"/>
        <w:rPr>
          <w:color w:val="auto"/>
          <w:sz w:val="24"/>
          <w:szCs w:val="24"/>
        </w:rPr>
      </w:pPr>
      <w:r>
        <w:rPr>
          <w:rFonts w:hint="eastAsia"/>
          <w:color w:val="auto"/>
          <w:sz w:val="24"/>
          <w:szCs w:val="24"/>
        </w:rPr>
        <w:t>（</w:t>
      </w:r>
      <w:r>
        <w:rPr>
          <w:color w:val="auto"/>
          <w:sz w:val="24"/>
          <w:szCs w:val="24"/>
        </w:rPr>
        <w:t>1</w:t>
      </w:r>
      <w:r>
        <w:rPr>
          <w:rFonts w:hint="eastAsia"/>
          <w:color w:val="auto"/>
          <w:sz w:val="24"/>
          <w:szCs w:val="24"/>
        </w:rPr>
        <w:t>）评标委员会对投标人申报的小型和微型企业产品的价格扣除事项的评审结论，分为合格与不合格，</w:t>
      </w:r>
    </w:p>
    <w:p>
      <w:pPr>
        <w:widowControl w:val="0"/>
        <w:adjustRightInd w:val="0"/>
        <w:snapToGrid w:val="0"/>
        <w:spacing w:beforeLines="50" w:line="300" w:lineRule="auto"/>
        <w:ind w:firstLine="555"/>
        <w:rPr>
          <w:color w:val="auto"/>
          <w:sz w:val="24"/>
          <w:szCs w:val="24"/>
        </w:rPr>
      </w:pPr>
      <w:r>
        <w:rPr>
          <w:rFonts w:hint="eastAsia"/>
          <w:color w:val="auto"/>
          <w:sz w:val="24"/>
          <w:szCs w:val="24"/>
        </w:rPr>
        <w:t>（</w:t>
      </w:r>
      <w:r>
        <w:rPr>
          <w:color w:val="auto"/>
          <w:sz w:val="24"/>
          <w:szCs w:val="24"/>
        </w:rPr>
        <w:t>2</w:t>
      </w:r>
      <w:r>
        <w:rPr>
          <w:rFonts w:hint="eastAsia"/>
          <w:color w:val="auto"/>
          <w:sz w:val="24"/>
          <w:szCs w:val="24"/>
        </w:rPr>
        <w:t>）经评审、申报的价格扣除事项如有计算错误（明细金额或总金额有元以上计算错误）、多报产品、错报产品、明细报价不合理对价格扣除产生重要影响、缺失声明函等任一不符合政策要求及不准确的事项，评标委员会均将评审为不合格，该投标人申报的价格扣除事项不予接受、为</w:t>
      </w:r>
      <w:r>
        <w:rPr>
          <w:color w:val="auto"/>
          <w:sz w:val="24"/>
          <w:szCs w:val="24"/>
        </w:rPr>
        <w:t>0</w:t>
      </w:r>
      <w:r>
        <w:rPr>
          <w:rFonts w:hint="eastAsia"/>
          <w:color w:val="auto"/>
          <w:sz w:val="24"/>
          <w:szCs w:val="24"/>
        </w:rPr>
        <w:t>；评标委员会应当告知相关投标人。提供虚假材料的为无效投标、并承担相应的法律责任。</w:t>
      </w:r>
    </w:p>
    <w:p>
      <w:pPr>
        <w:widowControl w:val="0"/>
        <w:adjustRightInd w:val="0"/>
        <w:snapToGrid w:val="0"/>
        <w:spacing w:beforeLines="50" w:line="300" w:lineRule="auto"/>
        <w:ind w:firstLine="555"/>
        <w:rPr>
          <w:color w:val="auto"/>
          <w:sz w:val="24"/>
          <w:szCs w:val="24"/>
        </w:rPr>
      </w:pPr>
      <w:r>
        <w:rPr>
          <w:rFonts w:hint="eastAsia"/>
          <w:color w:val="auto"/>
          <w:sz w:val="24"/>
          <w:szCs w:val="24"/>
        </w:rPr>
        <w:t>（</w:t>
      </w:r>
      <w:r>
        <w:rPr>
          <w:color w:val="auto"/>
          <w:sz w:val="24"/>
          <w:szCs w:val="24"/>
        </w:rPr>
        <w:t>3</w:t>
      </w:r>
      <w:r>
        <w:rPr>
          <w:rFonts w:hint="eastAsia"/>
          <w:color w:val="auto"/>
          <w:sz w:val="24"/>
          <w:szCs w:val="24"/>
        </w:rPr>
        <w:t>）评审合格的，接受其申报的小型和微型企业产品的价格扣除</w:t>
      </w:r>
      <w:r>
        <w:rPr>
          <w:rFonts w:hint="eastAsia"/>
          <w:color w:val="auto"/>
        </w:rPr>
        <w:t>总</w:t>
      </w:r>
      <w:r>
        <w:rPr>
          <w:rFonts w:hint="eastAsia"/>
          <w:color w:val="auto"/>
          <w:sz w:val="24"/>
          <w:szCs w:val="24"/>
        </w:rPr>
        <w:t>金额，用扣除后的价格参与评审。</w:t>
      </w:r>
    </w:p>
    <w:p>
      <w:pPr>
        <w:widowControl w:val="0"/>
        <w:adjustRightInd w:val="0"/>
        <w:snapToGrid w:val="0"/>
        <w:spacing w:beforeLines="50" w:line="300" w:lineRule="auto"/>
        <w:ind w:firstLine="555"/>
        <w:rPr>
          <w:color w:val="auto"/>
          <w:sz w:val="24"/>
          <w:szCs w:val="24"/>
        </w:rPr>
      </w:pPr>
      <w:r>
        <w:rPr>
          <w:rFonts w:hint="eastAsia"/>
          <w:color w:val="auto"/>
          <w:sz w:val="24"/>
          <w:szCs w:val="24"/>
        </w:rPr>
        <w:t>注：小微企业价格扣除，仅作为价格评审的依据，并不影响合同执行价格，合同执行价格为中标人的投标报价。</w:t>
      </w:r>
    </w:p>
    <w:p>
      <w:pPr>
        <w:spacing w:line="240" w:lineRule="auto"/>
        <w:jc w:val="left"/>
        <w:textAlignment w:val="auto"/>
        <w:rPr>
          <w:color w:val="auto"/>
          <w:sz w:val="24"/>
          <w:szCs w:val="24"/>
        </w:rPr>
      </w:pPr>
    </w:p>
    <w:p>
      <w:pPr>
        <w:widowControl w:val="0"/>
        <w:adjustRightInd w:val="0"/>
        <w:snapToGrid w:val="0"/>
        <w:spacing w:beforeLines="50" w:line="300" w:lineRule="auto"/>
        <w:rPr>
          <w:color w:val="auto"/>
          <w:sz w:val="24"/>
          <w:szCs w:val="24"/>
        </w:rPr>
      </w:pPr>
      <w:r>
        <w:rPr>
          <w:color w:val="auto"/>
          <w:sz w:val="24"/>
          <w:szCs w:val="24"/>
        </w:rPr>
        <w:br w:type="page"/>
      </w:r>
    </w:p>
    <w:p>
      <w:pPr>
        <w:widowControl w:val="0"/>
        <w:snapToGrid w:val="0"/>
        <w:spacing w:line="657" w:lineRule="atLeast"/>
        <w:jc w:val="center"/>
        <w:outlineLvl w:val="0"/>
        <w:rPr>
          <w:rFonts w:ascii="黑体" w:eastAsia="黑体"/>
          <w:b/>
          <w:color w:val="auto"/>
          <w:sz w:val="36"/>
          <w:szCs w:val="36"/>
        </w:rPr>
      </w:pPr>
      <w:bookmarkStart w:id="42" w:name="_Toc529805772"/>
      <w:r>
        <w:rPr>
          <w:rFonts w:hint="eastAsia" w:ascii="黑体" w:eastAsia="黑体"/>
          <w:b/>
          <w:color w:val="auto"/>
          <w:sz w:val="36"/>
          <w:szCs w:val="36"/>
        </w:rPr>
        <w:t>第五章合同主要条款</w:t>
      </w:r>
      <w:bookmarkEnd w:id="42"/>
    </w:p>
    <w:p>
      <w:pPr>
        <w:widowControl w:val="0"/>
        <w:snapToGrid w:val="0"/>
        <w:spacing w:line="657" w:lineRule="atLeast"/>
        <w:jc w:val="center"/>
        <w:rPr>
          <w:rFonts w:ascii="黑体" w:eastAsia="黑体"/>
          <w:b/>
          <w:color w:val="auto"/>
          <w:spacing w:val="20"/>
          <w:sz w:val="36"/>
          <w:szCs w:val="36"/>
        </w:rPr>
      </w:pPr>
    </w:p>
    <w:p>
      <w:pPr>
        <w:widowControl w:val="0"/>
        <w:snapToGrid w:val="0"/>
        <w:spacing w:line="657" w:lineRule="atLeast"/>
        <w:jc w:val="center"/>
        <w:rPr>
          <w:rFonts w:ascii="黑体" w:eastAsia="黑体"/>
          <w:b/>
          <w:color w:val="auto"/>
          <w:spacing w:val="20"/>
          <w:sz w:val="36"/>
          <w:szCs w:val="36"/>
        </w:rPr>
      </w:pPr>
      <w:r>
        <w:rPr>
          <w:rFonts w:hint="eastAsia" w:ascii="黑体" w:eastAsia="黑体"/>
          <w:b/>
          <w:color w:val="auto"/>
          <w:spacing w:val="20"/>
          <w:sz w:val="36"/>
          <w:szCs w:val="36"/>
        </w:rPr>
        <w:t>服务合同（仅供参考）</w:t>
      </w:r>
    </w:p>
    <w:p>
      <w:pPr>
        <w:widowControl w:val="0"/>
        <w:snapToGrid w:val="0"/>
        <w:spacing w:before="56" w:after="56" w:line="360" w:lineRule="auto"/>
        <w:ind w:right="85"/>
        <w:jc w:val="left"/>
        <w:textAlignment w:val="top"/>
        <w:rPr>
          <w:color w:val="auto"/>
          <w:sz w:val="24"/>
          <w:szCs w:val="24"/>
        </w:rPr>
      </w:pPr>
      <w:r>
        <w:rPr>
          <w:rFonts w:hint="eastAsia"/>
          <w:color w:val="auto"/>
          <w:sz w:val="24"/>
          <w:szCs w:val="24"/>
        </w:rPr>
        <w:t>合同编号：</w:t>
      </w:r>
    </w:p>
    <w:p>
      <w:pPr>
        <w:widowControl w:val="0"/>
        <w:snapToGrid w:val="0"/>
        <w:spacing w:before="56" w:after="56" w:line="360" w:lineRule="auto"/>
        <w:ind w:right="85"/>
        <w:jc w:val="left"/>
        <w:textAlignment w:val="top"/>
        <w:rPr>
          <w:color w:val="auto"/>
          <w:sz w:val="24"/>
          <w:szCs w:val="24"/>
        </w:rPr>
      </w:pPr>
      <w:r>
        <w:rPr>
          <w:rFonts w:hint="eastAsia"/>
          <w:color w:val="auto"/>
          <w:sz w:val="24"/>
          <w:szCs w:val="24"/>
        </w:rPr>
        <w:t>甲方：（采购人）</w:t>
      </w:r>
    </w:p>
    <w:p>
      <w:pPr>
        <w:widowControl w:val="0"/>
        <w:snapToGrid w:val="0"/>
        <w:spacing w:before="56" w:after="56" w:line="360" w:lineRule="auto"/>
        <w:ind w:right="85"/>
        <w:jc w:val="left"/>
        <w:textAlignment w:val="top"/>
        <w:rPr>
          <w:color w:val="auto"/>
          <w:sz w:val="24"/>
          <w:szCs w:val="24"/>
        </w:rPr>
      </w:pPr>
      <w:r>
        <w:rPr>
          <w:rFonts w:hint="eastAsia"/>
          <w:color w:val="auto"/>
          <w:sz w:val="24"/>
          <w:szCs w:val="24"/>
        </w:rPr>
        <w:t>乙方：（供应商）</w:t>
      </w:r>
    </w:p>
    <w:p>
      <w:pPr>
        <w:widowControl w:val="0"/>
        <w:snapToGrid w:val="0"/>
        <w:spacing w:line="360" w:lineRule="auto"/>
        <w:ind w:right="85" w:firstLine="460" w:firstLineChars="192"/>
        <w:rPr>
          <w:color w:val="auto"/>
          <w:spacing w:val="20"/>
          <w:sz w:val="24"/>
          <w:szCs w:val="24"/>
        </w:rPr>
      </w:pPr>
      <w:r>
        <w:rPr>
          <w:rFonts w:hint="eastAsia"/>
          <w:color w:val="auto"/>
          <w:sz w:val="24"/>
          <w:szCs w:val="24"/>
        </w:rPr>
        <w:t>甲、乙双方持中资国际工程咨询集团有限责任公司</w:t>
      </w:r>
      <w:r>
        <w:rPr>
          <w:color w:val="auto"/>
          <w:sz w:val="24"/>
          <w:szCs w:val="24"/>
        </w:rPr>
        <w:t>2020</w:t>
      </w:r>
      <w:r>
        <w:rPr>
          <w:rFonts w:hint="eastAsia"/>
          <w:color w:val="auto"/>
          <w:sz w:val="24"/>
          <w:szCs w:val="24"/>
        </w:rPr>
        <w:t>年月日签发的</w:t>
      </w:r>
      <w:r>
        <w:rPr>
          <w:rFonts w:hint="eastAsia"/>
          <w:color w:val="auto"/>
          <w:sz w:val="24"/>
          <w:szCs w:val="24"/>
          <w:u w:val="single"/>
        </w:rPr>
        <w:t>（采购人及项目名称）</w:t>
      </w:r>
      <w:r>
        <w:rPr>
          <w:rFonts w:hint="eastAsia"/>
          <w:color w:val="auto"/>
          <w:sz w:val="24"/>
          <w:szCs w:val="24"/>
        </w:rPr>
        <w:t>〔采购编号：〕成交通知书，根据招标文件</w:t>
      </w:r>
      <w:r>
        <w:rPr>
          <w:rFonts w:hint="eastAsia"/>
          <w:color w:val="auto"/>
          <w:spacing w:val="20"/>
          <w:sz w:val="24"/>
          <w:szCs w:val="24"/>
        </w:rPr>
        <w:t>及其修改补充澄清、投标文件及其修改补充澄清的内容，经双方平等协商一致，达成以下合同条款：</w:t>
      </w:r>
    </w:p>
    <w:p>
      <w:pPr>
        <w:widowControl w:val="0"/>
        <w:snapToGrid w:val="0"/>
        <w:spacing w:line="360" w:lineRule="auto"/>
        <w:ind w:right="85" w:firstLine="460" w:firstLineChars="192"/>
        <w:rPr>
          <w:color w:val="auto"/>
          <w:sz w:val="24"/>
          <w:szCs w:val="24"/>
        </w:rPr>
      </w:pPr>
      <w:r>
        <w:rPr>
          <w:rFonts w:hint="eastAsia"/>
          <w:color w:val="auto"/>
          <w:sz w:val="24"/>
          <w:szCs w:val="24"/>
        </w:rPr>
        <w:t>一、本合同所指服务为此次公开招标的服务，包括</w:t>
      </w:r>
      <w:r>
        <w:rPr>
          <w:rFonts w:hint="eastAsia"/>
          <w:color w:val="auto"/>
          <w:sz w:val="24"/>
          <w:szCs w:val="24"/>
          <w:u w:val="single"/>
        </w:rPr>
        <w:t>（详细注明内容）</w:t>
      </w:r>
      <w:r>
        <w:rPr>
          <w:rFonts w:hint="eastAsia"/>
          <w:color w:val="auto"/>
          <w:sz w:val="24"/>
          <w:szCs w:val="24"/>
        </w:rPr>
        <w:t>，合同总价款为元（大写：）。</w:t>
      </w:r>
    </w:p>
    <w:p>
      <w:pPr>
        <w:widowControl w:val="0"/>
        <w:snapToGrid w:val="0"/>
        <w:spacing w:line="360" w:lineRule="auto"/>
        <w:ind w:right="85" w:firstLine="537" w:firstLineChars="192"/>
        <w:rPr>
          <w:color w:val="auto"/>
          <w:sz w:val="24"/>
          <w:szCs w:val="24"/>
        </w:rPr>
      </w:pPr>
      <w:r>
        <w:rPr>
          <w:rFonts w:hint="eastAsia"/>
          <w:color w:val="auto"/>
          <w:spacing w:val="20"/>
          <w:sz w:val="24"/>
          <w:szCs w:val="24"/>
        </w:rPr>
        <w:t>本合同为固定总价合同，不因人工、费用、材料和设备等价格的波动而影响合同价格。</w:t>
      </w:r>
    </w:p>
    <w:p>
      <w:pPr>
        <w:widowControl w:val="0"/>
        <w:snapToGrid w:val="0"/>
        <w:spacing w:before="56" w:after="56" w:line="360" w:lineRule="auto"/>
        <w:ind w:right="85" w:firstLine="555"/>
        <w:rPr>
          <w:color w:val="auto"/>
          <w:sz w:val="24"/>
          <w:szCs w:val="24"/>
        </w:rPr>
      </w:pPr>
      <w:r>
        <w:rPr>
          <w:rFonts w:hint="eastAsia"/>
          <w:color w:val="auto"/>
          <w:sz w:val="24"/>
          <w:szCs w:val="24"/>
        </w:rPr>
        <w:t>二、服务质量要求及乙方对质量负责条件和期限：</w:t>
      </w:r>
    </w:p>
    <w:p>
      <w:pPr>
        <w:widowControl w:val="0"/>
        <w:snapToGrid w:val="0"/>
        <w:spacing w:before="56" w:after="56" w:line="360" w:lineRule="auto"/>
        <w:ind w:right="85" w:firstLine="555"/>
        <w:rPr>
          <w:color w:val="auto"/>
          <w:sz w:val="24"/>
          <w:szCs w:val="24"/>
        </w:rPr>
      </w:pPr>
      <w:r>
        <w:rPr>
          <w:rFonts w:hint="eastAsia"/>
          <w:color w:val="auto"/>
          <w:sz w:val="24"/>
          <w:szCs w:val="24"/>
        </w:rPr>
        <w:t>按国家及行业标准、招标文件及投标文件等相应条款制订</w:t>
      </w:r>
    </w:p>
    <w:p>
      <w:pPr>
        <w:widowControl w:val="0"/>
        <w:snapToGrid w:val="0"/>
        <w:spacing w:before="56" w:after="56" w:line="360" w:lineRule="auto"/>
        <w:ind w:right="85" w:firstLine="555"/>
        <w:rPr>
          <w:color w:val="auto"/>
          <w:sz w:val="24"/>
          <w:szCs w:val="24"/>
        </w:rPr>
      </w:pPr>
      <w:r>
        <w:rPr>
          <w:rFonts w:hint="eastAsia"/>
          <w:color w:val="auto"/>
          <w:sz w:val="24"/>
          <w:szCs w:val="24"/>
        </w:rPr>
        <w:t>三、服务时间、地点、方式：</w:t>
      </w:r>
    </w:p>
    <w:p>
      <w:pPr>
        <w:widowControl w:val="0"/>
        <w:snapToGrid w:val="0"/>
        <w:spacing w:before="56" w:after="56" w:line="360" w:lineRule="auto"/>
        <w:ind w:right="85" w:firstLine="555"/>
        <w:rPr>
          <w:color w:val="auto"/>
          <w:sz w:val="24"/>
          <w:szCs w:val="24"/>
        </w:rPr>
      </w:pPr>
      <w:r>
        <w:rPr>
          <w:rFonts w:hint="eastAsia"/>
          <w:color w:val="auto"/>
          <w:sz w:val="24"/>
          <w:szCs w:val="24"/>
        </w:rPr>
        <w:t>按国家及行业标准、招标文件及投标文件等相应条款制订</w:t>
      </w:r>
    </w:p>
    <w:p>
      <w:pPr>
        <w:widowControl w:val="0"/>
        <w:snapToGrid w:val="0"/>
        <w:spacing w:before="56" w:after="56" w:line="360" w:lineRule="auto"/>
        <w:ind w:right="85" w:firstLine="555"/>
        <w:rPr>
          <w:color w:val="auto"/>
          <w:sz w:val="24"/>
          <w:szCs w:val="24"/>
        </w:rPr>
      </w:pPr>
      <w:r>
        <w:rPr>
          <w:rFonts w:hint="eastAsia"/>
          <w:color w:val="auto"/>
          <w:sz w:val="24"/>
          <w:szCs w:val="24"/>
        </w:rPr>
        <w:t>四、验收程序和要求</w:t>
      </w:r>
    </w:p>
    <w:p>
      <w:pPr>
        <w:widowControl w:val="0"/>
        <w:spacing w:line="360" w:lineRule="auto"/>
        <w:ind w:firstLine="555"/>
        <w:rPr>
          <w:rFonts w:ascii="宋体"/>
          <w:color w:val="auto"/>
          <w:sz w:val="24"/>
          <w:szCs w:val="24"/>
        </w:rPr>
      </w:pPr>
      <w:r>
        <w:rPr>
          <w:rFonts w:ascii="宋体" w:hAnsi="宋体"/>
          <w:color w:val="auto"/>
          <w:sz w:val="24"/>
          <w:szCs w:val="24"/>
        </w:rPr>
        <w:t>1</w:t>
      </w:r>
      <w:r>
        <w:rPr>
          <w:rFonts w:hint="eastAsia" w:ascii="宋体" w:hAnsi="宋体"/>
          <w:color w:val="auto"/>
          <w:sz w:val="24"/>
          <w:szCs w:val="24"/>
        </w:rPr>
        <w:t>、验收时间：项目具备验收条件时，由甲方成立的验收工作组负责验收。</w:t>
      </w:r>
    </w:p>
    <w:p>
      <w:pPr>
        <w:widowControl w:val="0"/>
        <w:spacing w:line="360" w:lineRule="auto"/>
        <w:ind w:firstLine="555"/>
        <w:rPr>
          <w:rFonts w:ascii="宋体"/>
          <w:color w:val="auto"/>
          <w:sz w:val="24"/>
          <w:szCs w:val="24"/>
        </w:rPr>
      </w:pPr>
      <w:r>
        <w:rPr>
          <w:rFonts w:ascii="宋体" w:hAnsi="宋体"/>
          <w:color w:val="auto"/>
          <w:sz w:val="24"/>
          <w:szCs w:val="24"/>
        </w:rPr>
        <w:t>2</w:t>
      </w:r>
      <w:r>
        <w:rPr>
          <w:rFonts w:hint="eastAsia" w:ascii="宋体" w:hAnsi="宋体"/>
          <w:color w:val="auto"/>
          <w:sz w:val="24"/>
          <w:szCs w:val="24"/>
        </w:rPr>
        <w:t>、验收工作组：合同履约验收工作由甲方成立的验收工作组专门负责。</w:t>
      </w:r>
    </w:p>
    <w:p>
      <w:pPr>
        <w:widowControl w:val="0"/>
        <w:spacing w:line="360" w:lineRule="auto"/>
        <w:ind w:firstLine="555"/>
        <w:rPr>
          <w:rFonts w:ascii="宋体"/>
          <w:color w:val="auto"/>
          <w:sz w:val="24"/>
          <w:szCs w:val="24"/>
        </w:rPr>
      </w:pPr>
      <w:r>
        <w:rPr>
          <w:rFonts w:hint="eastAsia" w:ascii="宋体" w:hAnsi="宋体"/>
          <w:color w:val="auto"/>
          <w:sz w:val="24"/>
          <w:szCs w:val="24"/>
        </w:rPr>
        <w:t>政府采购合同金额</w:t>
      </w:r>
      <w:r>
        <w:rPr>
          <w:rFonts w:ascii="宋体" w:hAnsi="宋体"/>
          <w:color w:val="auto"/>
          <w:sz w:val="24"/>
          <w:szCs w:val="24"/>
        </w:rPr>
        <w:t>50</w:t>
      </w:r>
      <w:r>
        <w:rPr>
          <w:rFonts w:hint="eastAsia" w:ascii="宋体" w:hAnsi="宋体"/>
          <w:color w:val="auto"/>
          <w:sz w:val="24"/>
          <w:szCs w:val="24"/>
        </w:rPr>
        <w:t>万元以下的（含</w:t>
      </w:r>
      <w:r>
        <w:rPr>
          <w:rFonts w:ascii="宋体" w:hAnsi="宋体"/>
          <w:color w:val="auto"/>
          <w:sz w:val="24"/>
          <w:szCs w:val="24"/>
        </w:rPr>
        <w:t>50</w:t>
      </w:r>
      <w:r>
        <w:rPr>
          <w:rFonts w:hint="eastAsia" w:ascii="宋体" w:hAnsi="宋体"/>
          <w:color w:val="auto"/>
          <w:sz w:val="24"/>
          <w:szCs w:val="24"/>
        </w:rPr>
        <w:t>万元）的项目，验收工作组应不少于三人中标（成交）金额</w:t>
      </w:r>
      <w:r>
        <w:rPr>
          <w:rFonts w:ascii="宋体" w:hAnsi="宋体"/>
          <w:color w:val="auto"/>
          <w:sz w:val="24"/>
          <w:szCs w:val="24"/>
        </w:rPr>
        <w:t>10</w:t>
      </w:r>
      <w:r>
        <w:rPr>
          <w:rFonts w:hint="eastAsia" w:ascii="宋体" w:hAnsi="宋体"/>
          <w:color w:val="auto"/>
          <w:sz w:val="24"/>
          <w:szCs w:val="24"/>
        </w:rPr>
        <w:t>万元以下项目的验收工作组成员应由甲方代表、评审专家组成，甲方代表必须含甲方纪检人员。</w:t>
      </w:r>
    </w:p>
    <w:p>
      <w:pPr>
        <w:widowControl w:val="0"/>
        <w:spacing w:line="360" w:lineRule="auto"/>
        <w:ind w:firstLine="555"/>
        <w:rPr>
          <w:rFonts w:ascii="宋体"/>
          <w:color w:val="auto"/>
          <w:sz w:val="24"/>
          <w:szCs w:val="24"/>
        </w:rPr>
      </w:pPr>
      <w:r>
        <w:rPr>
          <w:rFonts w:hint="eastAsia" w:ascii="宋体" w:hAnsi="宋体"/>
          <w:color w:val="auto"/>
          <w:sz w:val="24"/>
          <w:szCs w:val="24"/>
        </w:rPr>
        <w:t>政府采购合同金额</w:t>
      </w:r>
      <w:r>
        <w:rPr>
          <w:rFonts w:ascii="宋体" w:hAnsi="宋体"/>
          <w:color w:val="auto"/>
          <w:sz w:val="24"/>
          <w:szCs w:val="24"/>
        </w:rPr>
        <w:t>50</w:t>
      </w:r>
      <w:r>
        <w:rPr>
          <w:rFonts w:hint="eastAsia" w:ascii="宋体" w:hAnsi="宋体"/>
          <w:color w:val="auto"/>
          <w:sz w:val="24"/>
          <w:szCs w:val="24"/>
        </w:rPr>
        <w:t>万元以上的项目，验收工作组应由甲方领导牵头，财务、审计、监察、资产管理、技术等部门人员参与，成员不少于五人。验收工作应当邀请采购项目评审专家参加验收；大型、复杂或者技术性很强的政府采购项目，应当邀请国家认可的质量检测机构参加验收工作；国家规定强制性检测的采购项目，甲方必须委托国家认可专业检测机构进行验收。</w:t>
      </w:r>
    </w:p>
    <w:p>
      <w:pPr>
        <w:widowControl w:val="0"/>
        <w:snapToGrid w:val="0"/>
        <w:spacing w:before="56" w:after="56" w:line="360" w:lineRule="auto"/>
        <w:ind w:right="85" w:firstLine="555"/>
        <w:rPr>
          <w:color w:val="auto"/>
          <w:sz w:val="24"/>
          <w:szCs w:val="24"/>
        </w:rPr>
      </w:pPr>
      <w:r>
        <w:rPr>
          <w:color w:val="auto"/>
          <w:sz w:val="24"/>
          <w:szCs w:val="24"/>
        </w:rPr>
        <w:t>3</w:t>
      </w:r>
      <w:r>
        <w:rPr>
          <w:rFonts w:hint="eastAsia"/>
          <w:color w:val="auto"/>
          <w:sz w:val="24"/>
          <w:szCs w:val="24"/>
        </w:rPr>
        <w:t>、验收报告：验收后，由甲方及专家等出具检测验收报告，国家规定强制性检测的采购项目应附国家认可的专业检测机构出具的验收报告。</w:t>
      </w:r>
    </w:p>
    <w:p>
      <w:pPr>
        <w:widowControl w:val="0"/>
        <w:snapToGrid w:val="0"/>
        <w:spacing w:before="56" w:after="56" w:line="360" w:lineRule="auto"/>
        <w:ind w:right="85" w:firstLine="555"/>
        <w:rPr>
          <w:color w:val="auto"/>
          <w:sz w:val="24"/>
          <w:szCs w:val="24"/>
        </w:rPr>
      </w:pPr>
      <w:r>
        <w:rPr>
          <w:rFonts w:hint="eastAsia"/>
          <w:color w:val="auto"/>
          <w:sz w:val="24"/>
          <w:szCs w:val="24"/>
        </w:rPr>
        <w:t>验收中发现成交单位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widowControl w:val="0"/>
        <w:snapToGrid w:val="0"/>
        <w:spacing w:before="56" w:after="56" w:line="360" w:lineRule="auto"/>
        <w:ind w:right="85" w:firstLine="555"/>
        <w:rPr>
          <w:color w:val="auto"/>
          <w:sz w:val="24"/>
          <w:szCs w:val="24"/>
        </w:rPr>
      </w:pPr>
      <w:r>
        <w:rPr>
          <w:rFonts w:hint="eastAsia"/>
          <w:color w:val="auto"/>
          <w:sz w:val="24"/>
          <w:szCs w:val="24"/>
        </w:rPr>
        <w:t>注：验收时需要进行破坏性试验的，乙方应进行充分的配合并提供备品备件。</w:t>
      </w:r>
    </w:p>
    <w:p>
      <w:pPr>
        <w:widowControl w:val="0"/>
        <w:snapToGrid w:val="0"/>
        <w:spacing w:before="56" w:after="56" w:line="360" w:lineRule="auto"/>
        <w:ind w:right="85" w:firstLine="555"/>
        <w:rPr>
          <w:color w:val="auto"/>
          <w:sz w:val="24"/>
          <w:szCs w:val="24"/>
        </w:rPr>
      </w:pPr>
      <w:r>
        <w:rPr>
          <w:rFonts w:hint="eastAsia"/>
          <w:color w:val="auto"/>
          <w:sz w:val="24"/>
          <w:szCs w:val="24"/>
        </w:rPr>
        <w:t>五、履约保证金：</w:t>
      </w:r>
      <w:r>
        <w:rPr>
          <w:color w:val="auto"/>
          <w:sz w:val="24"/>
          <w:szCs w:val="24"/>
          <w:u w:val="single"/>
        </w:rPr>
        <w:t xml:space="preserve"> </w:t>
      </w:r>
      <w:r>
        <w:rPr>
          <w:rFonts w:hint="eastAsia"/>
          <w:color w:val="auto"/>
          <w:sz w:val="24"/>
          <w:szCs w:val="24"/>
          <w:u w:val="single"/>
        </w:rPr>
        <w:t>无</w:t>
      </w:r>
      <w:r>
        <w:rPr>
          <w:color w:val="auto"/>
          <w:sz w:val="24"/>
          <w:szCs w:val="24"/>
          <w:u w:val="single"/>
        </w:rPr>
        <w:t xml:space="preserve">  </w:t>
      </w:r>
      <w:r>
        <w:rPr>
          <w:rFonts w:hint="eastAsia"/>
          <w:color w:val="auto"/>
          <w:sz w:val="24"/>
          <w:szCs w:val="24"/>
        </w:rPr>
        <w:t>。</w:t>
      </w:r>
    </w:p>
    <w:p>
      <w:pPr>
        <w:widowControl w:val="0"/>
        <w:snapToGrid w:val="0"/>
        <w:spacing w:before="56" w:after="56" w:line="360" w:lineRule="auto"/>
        <w:ind w:right="85" w:firstLine="555"/>
        <w:rPr>
          <w:color w:val="auto"/>
          <w:sz w:val="24"/>
          <w:szCs w:val="24"/>
        </w:rPr>
      </w:pPr>
      <w:r>
        <w:rPr>
          <w:rFonts w:hint="eastAsia"/>
          <w:color w:val="auto"/>
          <w:sz w:val="24"/>
          <w:szCs w:val="24"/>
        </w:rPr>
        <w:t>六、付款程序：按投标人须知相关条款编列。</w:t>
      </w:r>
    </w:p>
    <w:p>
      <w:pPr>
        <w:widowControl w:val="0"/>
        <w:snapToGrid w:val="0"/>
        <w:spacing w:before="56" w:after="56" w:line="360" w:lineRule="auto"/>
        <w:ind w:right="85" w:firstLine="555"/>
        <w:rPr>
          <w:color w:val="auto"/>
          <w:sz w:val="24"/>
          <w:szCs w:val="24"/>
        </w:rPr>
      </w:pPr>
      <w:r>
        <w:rPr>
          <w:rFonts w:hint="eastAsia"/>
          <w:color w:val="auto"/>
          <w:sz w:val="24"/>
          <w:szCs w:val="24"/>
        </w:rPr>
        <w:t>七、责任和义务</w:t>
      </w:r>
    </w:p>
    <w:p>
      <w:pPr>
        <w:widowControl w:val="0"/>
        <w:snapToGrid w:val="0"/>
        <w:spacing w:before="56" w:after="56" w:line="360" w:lineRule="auto"/>
        <w:ind w:right="85" w:firstLine="555"/>
        <w:rPr>
          <w:color w:val="auto"/>
          <w:sz w:val="24"/>
          <w:szCs w:val="24"/>
        </w:rPr>
      </w:pPr>
      <w:r>
        <w:rPr>
          <w:color w:val="auto"/>
          <w:sz w:val="24"/>
          <w:szCs w:val="24"/>
        </w:rPr>
        <w:t>1</w:t>
      </w:r>
      <w:r>
        <w:rPr>
          <w:rFonts w:hint="eastAsia"/>
          <w:color w:val="auto"/>
          <w:sz w:val="24"/>
          <w:szCs w:val="24"/>
        </w:rPr>
        <w:t>、甲方的责任和义务</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1</w:t>
      </w:r>
      <w:r>
        <w:rPr>
          <w:rFonts w:hint="eastAsia"/>
          <w:color w:val="auto"/>
          <w:sz w:val="24"/>
          <w:szCs w:val="24"/>
        </w:rPr>
        <w:t>）对乙方给予必要的协助。</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2</w:t>
      </w:r>
      <w:r>
        <w:rPr>
          <w:rFonts w:hint="eastAsia"/>
          <w:color w:val="auto"/>
          <w:sz w:val="24"/>
          <w:szCs w:val="24"/>
        </w:rPr>
        <w:t>）按时验收、及时支付资金；</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3</w:t>
      </w:r>
      <w:r>
        <w:rPr>
          <w:rFonts w:hint="eastAsia"/>
          <w:color w:val="auto"/>
          <w:sz w:val="24"/>
          <w:szCs w:val="24"/>
        </w:rPr>
        <w:t>）遵守国家法律法规，不得要求乙方虚开发票，不得向乙方索要“好处”、“回扣”、“礼品”，或要求乙方提供合同以外的其他物品或服务；</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4</w:t>
      </w:r>
      <w:r>
        <w:rPr>
          <w:rFonts w:hint="eastAsia"/>
          <w:color w:val="auto"/>
          <w:sz w:val="24"/>
          <w:szCs w:val="24"/>
        </w:rPr>
        <w:t>）对乙方未按合同约定履约在验收报告中注明违约情形和事项，并应及时通知财政部门。违反相关法规的向相关行政执法部门举报。</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5</w:t>
      </w:r>
      <w:r>
        <w:rPr>
          <w:rFonts w:hint="eastAsia"/>
          <w:color w:val="auto"/>
          <w:sz w:val="24"/>
          <w:szCs w:val="24"/>
        </w:rPr>
        <w:t>）其他法律法规规定应尽的义务。</w:t>
      </w:r>
    </w:p>
    <w:p>
      <w:pPr>
        <w:widowControl w:val="0"/>
        <w:snapToGrid w:val="0"/>
        <w:spacing w:before="56" w:after="56" w:line="360" w:lineRule="auto"/>
        <w:ind w:right="85" w:firstLine="555"/>
        <w:rPr>
          <w:color w:val="auto"/>
          <w:sz w:val="24"/>
          <w:szCs w:val="24"/>
        </w:rPr>
      </w:pPr>
      <w:r>
        <w:rPr>
          <w:color w:val="auto"/>
          <w:sz w:val="24"/>
          <w:szCs w:val="24"/>
        </w:rPr>
        <w:t>2</w:t>
      </w:r>
      <w:r>
        <w:rPr>
          <w:rFonts w:hint="eastAsia"/>
          <w:color w:val="auto"/>
          <w:sz w:val="24"/>
          <w:szCs w:val="24"/>
        </w:rPr>
        <w:t>、乙方的责任和义务</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1</w:t>
      </w:r>
      <w:r>
        <w:rPr>
          <w:rFonts w:hint="eastAsia"/>
          <w:color w:val="auto"/>
          <w:sz w:val="24"/>
          <w:szCs w:val="24"/>
        </w:rPr>
        <w:t>）严格按招标文件要求与投标文件的质量及服务承诺执行，保质、按期履行。</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2</w:t>
      </w:r>
      <w:r>
        <w:rPr>
          <w:rFonts w:hint="eastAsia"/>
          <w:color w:val="auto"/>
          <w:sz w:val="24"/>
          <w:szCs w:val="24"/>
        </w:rPr>
        <w:t>）不得将合同权利义务全部或部分转让给第三人。</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3</w:t>
      </w:r>
      <w:r>
        <w:rPr>
          <w:rFonts w:hint="eastAsia"/>
          <w:color w:val="auto"/>
          <w:sz w:val="24"/>
          <w:szCs w:val="24"/>
        </w:rPr>
        <w:t>）验收合格前，对货物和人员的安全负责，应采取安全措施，确保人员、材料、设备和设施的安全，防止货物验收合格前的人身伤害和财产损失；应对其履行合同所雇佣的全部人员的工伤事故承担责任。</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4</w:t>
      </w:r>
      <w:r>
        <w:rPr>
          <w:rFonts w:hint="eastAsia"/>
          <w:color w:val="auto"/>
          <w:sz w:val="24"/>
          <w:szCs w:val="24"/>
        </w:rPr>
        <w:t>）遵守法律、依法纳税</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5</w:t>
      </w:r>
      <w:r>
        <w:rPr>
          <w:rFonts w:hint="eastAsia"/>
          <w:color w:val="auto"/>
          <w:sz w:val="24"/>
          <w:szCs w:val="24"/>
        </w:rPr>
        <w:t>）遵守职业道德和行业规范，坚决杜绝送礼、回扣、报销费用等一切不正当竞争行为和商业贿赂行为；对甲方索要回扣、礼品等违规行为，向安阳市财政局政府采购监督管理科及相关执法机关举报。</w:t>
      </w:r>
    </w:p>
    <w:p>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6</w:t>
      </w:r>
      <w:r>
        <w:rPr>
          <w:rFonts w:hint="eastAsia"/>
          <w:color w:val="auto"/>
          <w:sz w:val="24"/>
          <w:szCs w:val="24"/>
        </w:rPr>
        <w:t>）其他法律法规规定应尽的义务。</w:t>
      </w:r>
    </w:p>
    <w:p>
      <w:pPr>
        <w:widowControl w:val="0"/>
        <w:snapToGrid w:val="0"/>
        <w:spacing w:before="56" w:after="56" w:line="360" w:lineRule="auto"/>
        <w:ind w:right="85" w:firstLine="555"/>
        <w:rPr>
          <w:color w:val="auto"/>
          <w:sz w:val="24"/>
          <w:szCs w:val="24"/>
        </w:rPr>
      </w:pPr>
      <w:r>
        <w:rPr>
          <w:rFonts w:hint="eastAsia"/>
          <w:color w:val="auto"/>
          <w:sz w:val="24"/>
          <w:szCs w:val="24"/>
        </w:rPr>
        <w:t>八、违约责任：</w:t>
      </w:r>
    </w:p>
    <w:p>
      <w:pPr>
        <w:widowControl w:val="0"/>
        <w:snapToGrid w:val="0"/>
        <w:spacing w:before="56" w:after="56" w:line="360" w:lineRule="auto"/>
        <w:ind w:right="85" w:firstLine="555"/>
        <w:rPr>
          <w:color w:val="auto"/>
          <w:sz w:val="24"/>
          <w:szCs w:val="24"/>
        </w:rPr>
      </w:pPr>
      <w:r>
        <w:rPr>
          <w:color w:val="auto"/>
          <w:sz w:val="24"/>
          <w:szCs w:val="24"/>
        </w:rPr>
        <w:t>1</w:t>
      </w:r>
      <w:r>
        <w:rPr>
          <w:rFonts w:hint="eastAsia"/>
          <w:color w:val="auto"/>
          <w:sz w:val="24"/>
          <w:szCs w:val="24"/>
        </w:rPr>
        <w:t>、甲方无正当理由拒付款项的，向乙方偿付拒收拒付部分款项总额</w:t>
      </w:r>
      <w:r>
        <w:rPr>
          <w:color w:val="auto"/>
          <w:sz w:val="24"/>
          <w:szCs w:val="24"/>
        </w:rPr>
        <w:t xml:space="preserve">  %</w:t>
      </w:r>
      <w:r>
        <w:rPr>
          <w:rFonts w:hint="eastAsia"/>
          <w:color w:val="auto"/>
          <w:sz w:val="24"/>
          <w:szCs w:val="24"/>
        </w:rPr>
        <w:t>的违约金。</w:t>
      </w:r>
    </w:p>
    <w:p>
      <w:pPr>
        <w:widowControl w:val="0"/>
        <w:snapToGrid w:val="0"/>
        <w:spacing w:before="56" w:after="56" w:line="360" w:lineRule="auto"/>
        <w:ind w:right="85" w:firstLine="555"/>
        <w:rPr>
          <w:color w:val="auto"/>
          <w:sz w:val="24"/>
          <w:szCs w:val="24"/>
        </w:rPr>
      </w:pPr>
      <w:r>
        <w:rPr>
          <w:color w:val="auto"/>
          <w:sz w:val="24"/>
          <w:szCs w:val="24"/>
        </w:rPr>
        <w:t>2</w:t>
      </w:r>
      <w:r>
        <w:rPr>
          <w:rFonts w:hint="eastAsia"/>
          <w:color w:val="auto"/>
          <w:sz w:val="24"/>
          <w:szCs w:val="24"/>
        </w:rPr>
        <w:t>、乙方提供服务不符合合同规定，甲方有权拒付相关款项。</w:t>
      </w:r>
    </w:p>
    <w:p>
      <w:pPr>
        <w:widowControl w:val="0"/>
        <w:snapToGrid w:val="0"/>
        <w:spacing w:before="56" w:after="56" w:line="360" w:lineRule="auto"/>
        <w:ind w:right="85" w:firstLine="555"/>
        <w:rPr>
          <w:color w:val="auto"/>
          <w:sz w:val="24"/>
          <w:szCs w:val="24"/>
        </w:rPr>
      </w:pPr>
      <w:r>
        <w:rPr>
          <w:color w:val="auto"/>
          <w:sz w:val="24"/>
          <w:szCs w:val="24"/>
        </w:rPr>
        <w:t>3</w:t>
      </w:r>
      <w:r>
        <w:rPr>
          <w:rFonts w:hint="eastAsia"/>
          <w:color w:val="auto"/>
          <w:sz w:val="24"/>
          <w:szCs w:val="24"/>
        </w:rPr>
        <w:t>、乙方逾期，乙方向甲方每日偿付</w:t>
      </w:r>
      <w:r>
        <w:rPr>
          <w:color w:val="auto"/>
          <w:sz w:val="24"/>
          <w:szCs w:val="24"/>
        </w:rPr>
        <w:t xml:space="preserve">     %</w:t>
      </w:r>
      <w:r>
        <w:rPr>
          <w:rFonts w:hint="eastAsia"/>
          <w:color w:val="auto"/>
          <w:sz w:val="24"/>
          <w:szCs w:val="24"/>
        </w:rPr>
        <w:t>赔偿费。</w:t>
      </w:r>
    </w:p>
    <w:p>
      <w:pPr>
        <w:widowControl w:val="0"/>
        <w:snapToGrid w:val="0"/>
        <w:spacing w:before="56" w:after="56" w:line="360" w:lineRule="auto"/>
        <w:ind w:right="85" w:firstLine="555"/>
        <w:rPr>
          <w:color w:val="auto"/>
          <w:sz w:val="24"/>
          <w:szCs w:val="24"/>
        </w:rPr>
      </w:pPr>
      <w:r>
        <w:rPr>
          <w:rFonts w:hint="eastAsia"/>
          <w:color w:val="auto"/>
          <w:sz w:val="24"/>
          <w:szCs w:val="24"/>
        </w:rPr>
        <w:t>九、《招标文件》及其修改补充、投标文件及其修改补充澄清均为本合同的组成部分。</w:t>
      </w:r>
    </w:p>
    <w:p>
      <w:pPr>
        <w:widowControl w:val="0"/>
        <w:snapToGrid w:val="0"/>
        <w:spacing w:before="56" w:after="56" w:line="360" w:lineRule="auto"/>
        <w:ind w:right="85" w:firstLine="555"/>
        <w:rPr>
          <w:color w:val="auto"/>
          <w:sz w:val="24"/>
          <w:szCs w:val="24"/>
        </w:rPr>
      </w:pPr>
      <w:r>
        <w:rPr>
          <w:rFonts w:hint="eastAsia"/>
          <w:color w:val="auto"/>
          <w:sz w:val="24"/>
          <w:szCs w:val="24"/>
        </w:rPr>
        <w:t>十、本合同发生争议时双方应按合同条款协商解决。双方协商不成的，可以根据仲裁协议向当地仲裁机构申请仲裁。当事人没有订立仲裁协议或者仲裁协议无效的，可以向当地人民法院起诉。</w:t>
      </w:r>
    </w:p>
    <w:p>
      <w:pPr>
        <w:widowControl w:val="0"/>
        <w:snapToGrid w:val="0"/>
        <w:spacing w:before="56" w:after="56" w:line="360" w:lineRule="auto"/>
        <w:ind w:right="85" w:firstLine="555"/>
        <w:rPr>
          <w:color w:val="auto"/>
          <w:sz w:val="24"/>
          <w:szCs w:val="24"/>
        </w:rPr>
      </w:pPr>
      <w:r>
        <w:rPr>
          <w:rFonts w:hint="eastAsia"/>
          <w:color w:val="auto"/>
          <w:sz w:val="24"/>
          <w:szCs w:val="24"/>
        </w:rPr>
        <w:t>十一、合同生效及其它：</w:t>
      </w:r>
    </w:p>
    <w:p>
      <w:pPr>
        <w:widowControl w:val="0"/>
        <w:snapToGrid w:val="0"/>
        <w:spacing w:before="56" w:after="56" w:line="360" w:lineRule="auto"/>
        <w:ind w:right="85" w:firstLine="555"/>
        <w:rPr>
          <w:color w:val="auto"/>
          <w:sz w:val="24"/>
          <w:szCs w:val="24"/>
        </w:rPr>
      </w:pPr>
      <w:r>
        <w:rPr>
          <w:rFonts w:hint="eastAsia"/>
          <w:color w:val="auto"/>
          <w:sz w:val="24"/>
          <w:szCs w:val="24"/>
        </w:rPr>
        <w:t>本合同经甲乙双方代表签字、加盖公章和骑缝章后生效。本合同一式六份，甲乙双方各持两份、报</w:t>
      </w:r>
      <w:r>
        <w:rPr>
          <w:rFonts w:hint="eastAsia"/>
          <w:color w:val="auto"/>
          <w:sz w:val="24"/>
          <w:szCs w:val="24"/>
          <w:u w:val="single"/>
        </w:rPr>
        <w:t>（</w:t>
      </w:r>
      <w:r>
        <w:rPr>
          <w:rFonts w:hint="eastAsia"/>
          <w:color w:val="auto"/>
          <w:sz w:val="18"/>
          <w:szCs w:val="18"/>
          <w:u w:val="single"/>
        </w:rPr>
        <w:t>财政局政府采购监督管理科）</w:t>
      </w:r>
      <w:r>
        <w:rPr>
          <w:rFonts w:hint="eastAsia"/>
          <w:color w:val="auto"/>
          <w:sz w:val="24"/>
          <w:szCs w:val="24"/>
        </w:rPr>
        <w:t>备案一份。</w:t>
      </w:r>
    </w:p>
    <w:p>
      <w:pPr>
        <w:widowControl w:val="0"/>
        <w:snapToGrid w:val="0"/>
        <w:spacing w:before="56" w:after="56" w:line="360" w:lineRule="auto"/>
        <w:ind w:right="85" w:firstLine="555"/>
        <w:rPr>
          <w:color w:val="auto"/>
          <w:sz w:val="24"/>
          <w:szCs w:val="24"/>
        </w:rPr>
      </w:pPr>
    </w:p>
    <w:p>
      <w:pPr>
        <w:widowControl w:val="0"/>
        <w:snapToGrid w:val="0"/>
        <w:spacing w:before="56" w:after="56" w:line="360" w:lineRule="auto"/>
        <w:ind w:right="85" w:firstLine="555"/>
        <w:rPr>
          <w:color w:val="auto"/>
          <w:sz w:val="24"/>
          <w:szCs w:val="24"/>
        </w:rPr>
      </w:pPr>
      <w:r>
        <w:rPr>
          <w:rFonts w:hint="eastAsia"/>
          <w:color w:val="auto"/>
          <w:sz w:val="24"/>
          <w:szCs w:val="24"/>
        </w:rPr>
        <w:t>甲方：</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乙方：</w:t>
      </w:r>
    </w:p>
    <w:p>
      <w:pPr>
        <w:widowControl w:val="0"/>
        <w:snapToGrid w:val="0"/>
        <w:spacing w:before="56" w:after="56" w:line="360" w:lineRule="auto"/>
        <w:ind w:right="85" w:firstLine="555"/>
        <w:rPr>
          <w:color w:val="auto"/>
          <w:sz w:val="24"/>
          <w:szCs w:val="24"/>
        </w:rPr>
      </w:pPr>
      <w:r>
        <w:rPr>
          <w:rFonts w:hint="eastAsia"/>
          <w:color w:val="auto"/>
          <w:sz w:val="24"/>
          <w:szCs w:val="24"/>
        </w:rPr>
        <w:t>地址：</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地址：</w:t>
      </w:r>
    </w:p>
    <w:p>
      <w:pPr>
        <w:widowControl w:val="0"/>
        <w:snapToGrid w:val="0"/>
        <w:spacing w:before="56" w:after="56" w:line="360" w:lineRule="auto"/>
        <w:ind w:right="85" w:firstLine="555"/>
        <w:rPr>
          <w:color w:val="auto"/>
          <w:sz w:val="24"/>
          <w:szCs w:val="24"/>
        </w:rPr>
      </w:pPr>
      <w:r>
        <w:rPr>
          <w:rFonts w:hint="eastAsia"/>
          <w:color w:val="auto"/>
          <w:sz w:val="24"/>
          <w:szCs w:val="24"/>
        </w:rPr>
        <w:t>法定代表人：</w:t>
      </w:r>
      <w:r>
        <w:rPr>
          <w:color w:val="auto"/>
          <w:sz w:val="24"/>
          <w:szCs w:val="24"/>
        </w:rPr>
        <w:tab/>
      </w:r>
      <w:r>
        <w:rPr>
          <w:color w:val="auto"/>
          <w:sz w:val="24"/>
          <w:szCs w:val="24"/>
        </w:rPr>
        <w:tab/>
      </w:r>
      <w:r>
        <w:rPr>
          <w:color w:val="auto"/>
          <w:sz w:val="24"/>
          <w:szCs w:val="24"/>
        </w:rPr>
        <w:tab/>
      </w:r>
      <w:r>
        <w:rPr>
          <w:rFonts w:hint="eastAsia"/>
          <w:color w:val="auto"/>
          <w:sz w:val="24"/>
          <w:szCs w:val="24"/>
        </w:rPr>
        <w:t>法定代表人：</w:t>
      </w:r>
    </w:p>
    <w:p>
      <w:pPr>
        <w:widowControl w:val="0"/>
        <w:snapToGrid w:val="0"/>
        <w:spacing w:before="56" w:after="56" w:line="360" w:lineRule="auto"/>
        <w:ind w:right="85" w:firstLine="555"/>
        <w:rPr>
          <w:color w:val="auto"/>
          <w:sz w:val="24"/>
          <w:szCs w:val="24"/>
        </w:rPr>
      </w:pPr>
      <w:r>
        <w:rPr>
          <w:rFonts w:hint="eastAsia"/>
          <w:color w:val="auto"/>
          <w:sz w:val="24"/>
          <w:szCs w:val="24"/>
        </w:rPr>
        <w:t>委托代理人：</w:t>
      </w:r>
      <w:r>
        <w:rPr>
          <w:color w:val="auto"/>
          <w:sz w:val="24"/>
          <w:szCs w:val="24"/>
        </w:rPr>
        <w:tab/>
      </w:r>
      <w:r>
        <w:rPr>
          <w:color w:val="auto"/>
          <w:sz w:val="24"/>
          <w:szCs w:val="24"/>
        </w:rPr>
        <w:tab/>
      </w:r>
      <w:r>
        <w:rPr>
          <w:color w:val="auto"/>
          <w:sz w:val="24"/>
          <w:szCs w:val="24"/>
        </w:rPr>
        <w:tab/>
      </w:r>
      <w:r>
        <w:rPr>
          <w:rFonts w:hint="eastAsia"/>
          <w:color w:val="auto"/>
          <w:sz w:val="24"/>
          <w:szCs w:val="24"/>
        </w:rPr>
        <w:t>委托代理人：</w:t>
      </w:r>
    </w:p>
    <w:p>
      <w:pPr>
        <w:widowControl w:val="0"/>
        <w:snapToGrid w:val="0"/>
        <w:spacing w:before="56" w:after="56" w:line="360" w:lineRule="auto"/>
        <w:ind w:right="85" w:firstLine="555"/>
        <w:rPr>
          <w:color w:val="auto"/>
          <w:sz w:val="24"/>
          <w:szCs w:val="24"/>
        </w:rPr>
      </w:pPr>
      <w:r>
        <w:rPr>
          <w:rFonts w:hint="eastAsia"/>
          <w:color w:val="auto"/>
          <w:sz w:val="24"/>
          <w:szCs w:val="24"/>
        </w:rPr>
        <w:t>电话：</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电话：</w:t>
      </w:r>
    </w:p>
    <w:p>
      <w:pPr>
        <w:widowControl w:val="0"/>
        <w:snapToGrid w:val="0"/>
        <w:spacing w:before="56" w:after="56" w:line="360" w:lineRule="auto"/>
        <w:ind w:right="85" w:firstLine="555"/>
        <w:rPr>
          <w:color w:val="auto"/>
          <w:sz w:val="24"/>
          <w:szCs w:val="24"/>
        </w:rPr>
      </w:pPr>
      <w:r>
        <w:rPr>
          <w:rFonts w:hint="eastAsia"/>
          <w:color w:val="auto"/>
          <w:sz w:val="24"/>
          <w:szCs w:val="24"/>
        </w:rPr>
        <w:t>开户银行：</w:t>
      </w:r>
      <w:r>
        <w:rPr>
          <w:color w:val="auto"/>
          <w:sz w:val="24"/>
          <w:szCs w:val="24"/>
        </w:rPr>
        <w:tab/>
      </w:r>
      <w:r>
        <w:rPr>
          <w:color w:val="auto"/>
          <w:sz w:val="24"/>
          <w:szCs w:val="24"/>
        </w:rPr>
        <w:tab/>
      </w:r>
      <w:r>
        <w:rPr>
          <w:color w:val="auto"/>
          <w:sz w:val="24"/>
          <w:szCs w:val="24"/>
        </w:rPr>
        <w:tab/>
      </w:r>
      <w:r>
        <w:rPr>
          <w:rFonts w:hint="eastAsia"/>
          <w:color w:val="auto"/>
          <w:sz w:val="24"/>
          <w:szCs w:val="24"/>
        </w:rPr>
        <w:t>开户银行：</w:t>
      </w:r>
    </w:p>
    <w:p>
      <w:pPr>
        <w:widowControl w:val="0"/>
        <w:snapToGrid w:val="0"/>
        <w:spacing w:before="56" w:after="56" w:line="360" w:lineRule="auto"/>
        <w:ind w:right="85" w:firstLine="555"/>
        <w:rPr>
          <w:color w:val="auto"/>
          <w:sz w:val="24"/>
          <w:szCs w:val="24"/>
        </w:rPr>
      </w:pPr>
      <w:r>
        <w:rPr>
          <w:rFonts w:hint="eastAsia"/>
          <w:color w:val="auto"/>
          <w:sz w:val="24"/>
          <w:szCs w:val="24"/>
        </w:rPr>
        <w:t>银行账号：</w:t>
      </w:r>
      <w:r>
        <w:rPr>
          <w:color w:val="auto"/>
          <w:sz w:val="24"/>
          <w:szCs w:val="24"/>
        </w:rPr>
        <w:tab/>
      </w:r>
      <w:r>
        <w:rPr>
          <w:color w:val="auto"/>
          <w:sz w:val="24"/>
          <w:szCs w:val="24"/>
        </w:rPr>
        <w:tab/>
      </w:r>
      <w:r>
        <w:rPr>
          <w:color w:val="auto"/>
          <w:sz w:val="24"/>
          <w:szCs w:val="24"/>
        </w:rPr>
        <w:tab/>
      </w:r>
      <w:r>
        <w:rPr>
          <w:rFonts w:hint="eastAsia"/>
          <w:color w:val="auto"/>
          <w:sz w:val="24"/>
          <w:szCs w:val="24"/>
        </w:rPr>
        <w:t>银行账号：</w:t>
      </w:r>
    </w:p>
    <w:p>
      <w:pPr>
        <w:widowControl w:val="0"/>
        <w:tabs>
          <w:tab w:val="left" w:pos="4678"/>
        </w:tabs>
        <w:snapToGrid w:val="0"/>
        <w:spacing w:before="56" w:after="56" w:line="360" w:lineRule="auto"/>
        <w:ind w:right="85" w:firstLine="555"/>
        <w:rPr>
          <w:color w:val="auto"/>
          <w:sz w:val="24"/>
          <w:szCs w:val="24"/>
        </w:rPr>
      </w:pPr>
      <w:r>
        <w:rPr>
          <w:rFonts w:hint="eastAsia"/>
          <w:color w:val="auto"/>
          <w:sz w:val="24"/>
          <w:szCs w:val="24"/>
        </w:rPr>
        <w:t>签约时间：</w:t>
      </w:r>
      <w:r>
        <w:rPr>
          <w:color w:val="auto"/>
          <w:sz w:val="24"/>
          <w:szCs w:val="24"/>
        </w:rPr>
        <w:t xml:space="preserve">          </w:t>
      </w:r>
      <w:r>
        <w:rPr>
          <w:rFonts w:hint="eastAsia"/>
          <w:color w:val="auto"/>
          <w:sz w:val="24"/>
          <w:szCs w:val="24"/>
        </w:rPr>
        <w:t>签约地点：</w:t>
      </w:r>
    </w:p>
    <w:p>
      <w:pPr>
        <w:widowControl w:val="0"/>
        <w:snapToGrid w:val="0"/>
        <w:spacing w:line="360" w:lineRule="auto"/>
        <w:ind w:firstLine="480" w:firstLineChars="200"/>
        <w:rPr>
          <w:color w:val="auto"/>
          <w:sz w:val="24"/>
          <w:szCs w:val="24"/>
          <w:u w:val="single"/>
        </w:rPr>
      </w:pPr>
    </w:p>
    <w:p>
      <w:pPr>
        <w:widowControl w:val="0"/>
        <w:snapToGrid w:val="0"/>
        <w:spacing w:line="540" w:lineRule="exact"/>
        <w:ind w:right="476"/>
        <w:rPr>
          <w:color w:val="auto"/>
          <w:sz w:val="24"/>
          <w:szCs w:val="24"/>
        </w:rPr>
      </w:pPr>
    </w:p>
    <w:p>
      <w:pPr>
        <w:spacing w:line="240" w:lineRule="auto"/>
        <w:jc w:val="left"/>
        <w:textAlignment w:val="auto"/>
        <w:rPr>
          <w:color w:val="auto"/>
        </w:rPr>
      </w:pPr>
    </w:p>
    <w:p>
      <w:pPr>
        <w:widowControl w:val="0"/>
        <w:snapToGrid w:val="0"/>
        <w:spacing w:line="360" w:lineRule="auto"/>
        <w:rPr>
          <w:color w:val="auto"/>
          <w:sz w:val="24"/>
          <w:szCs w:val="24"/>
        </w:rPr>
      </w:pPr>
    </w:p>
    <w:p>
      <w:pPr>
        <w:autoSpaceDE w:val="0"/>
        <w:autoSpaceDN w:val="0"/>
        <w:adjustRightInd w:val="0"/>
        <w:spacing w:line="360" w:lineRule="auto"/>
        <w:jc w:val="center"/>
        <w:outlineLvl w:val="0"/>
        <w:rPr>
          <w:rFonts w:ascii="黑体" w:hAnsi="黑体" w:eastAsia="黑体"/>
          <w:b/>
          <w:color w:val="auto"/>
          <w:sz w:val="36"/>
          <w:szCs w:val="36"/>
          <w:lang w:val="zh-CN"/>
        </w:rPr>
      </w:pPr>
      <w:r>
        <w:rPr>
          <w:rFonts w:ascii="宋体"/>
          <w:b/>
          <w:color w:val="auto"/>
          <w:sz w:val="36"/>
          <w:szCs w:val="36"/>
          <w:lang w:val="zh-CN"/>
        </w:rPr>
        <w:br w:type="page"/>
      </w:r>
      <w:bookmarkStart w:id="43" w:name="_Toc529805773"/>
      <w:bookmarkStart w:id="44" w:name="_Toc519783173"/>
      <w:r>
        <w:rPr>
          <w:rFonts w:hint="eastAsia" w:ascii="黑体" w:hAnsi="黑体" w:eastAsia="黑体"/>
          <w:b/>
          <w:color w:val="auto"/>
          <w:sz w:val="36"/>
          <w:szCs w:val="36"/>
          <w:lang w:val="zh-CN"/>
        </w:rPr>
        <w:t>第六章投标文件格式</w:t>
      </w:r>
      <w:bookmarkEnd w:id="43"/>
      <w:bookmarkEnd w:id="44"/>
    </w:p>
    <w:p>
      <w:pPr>
        <w:autoSpaceDE w:val="0"/>
        <w:autoSpaceDN w:val="0"/>
        <w:adjustRightInd w:val="0"/>
        <w:spacing w:line="276" w:lineRule="auto"/>
        <w:ind w:firstLine="514" w:firstLineChars="245"/>
        <w:jc w:val="left"/>
        <w:rPr>
          <w:rFonts w:ascii="宋体"/>
          <w:color w:val="auto"/>
          <w:sz w:val="36"/>
          <w:szCs w:val="36"/>
          <w:lang w:val="zh-CN"/>
        </w:rPr>
      </w:pPr>
      <w:r>
        <w:rPr>
          <w:rFonts w:hint="eastAsia" w:ascii="宋体" w:hAnsi="宋体"/>
          <w:color w:val="auto"/>
          <w:szCs w:val="21"/>
          <w:lang w:val="zh-CN"/>
        </w:rPr>
        <w:t>投标人应按“投标人须知</w:t>
      </w:r>
      <w:r>
        <w:rPr>
          <w:rFonts w:ascii="宋体"/>
          <w:color w:val="auto"/>
          <w:szCs w:val="21"/>
          <w:lang w:val="zh-CN"/>
        </w:rPr>
        <w:t>--</w:t>
      </w:r>
      <w:r>
        <w:rPr>
          <w:rFonts w:hint="eastAsia" w:ascii="宋体" w:hAnsi="宋体"/>
          <w:color w:val="auto"/>
          <w:szCs w:val="21"/>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lang w:val="zh-CN"/>
        </w:rPr>
        <w:t>。</w:t>
      </w:r>
    </w:p>
    <w:p>
      <w:pPr>
        <w:autoSpaceDE w:val="0"/>
        <w:autoSpaceDN w:val="0"/>
        <w:adjustRightInd w:val="0"/>
        <w:spacing w:line="360" w:lineRule="auto"/>
        <w:jc w:val="center"/>
        <w:outlineLvl w:val="0"/>
        <w:rPr>
          <w:rFonts w:ascii="黑体" w:hAnsi="黑体" w:eastAsia="黑体"/>
          <w:b/>
          <w:color w:val="auto"/>
          <w:sz w:val="36"/>
          <w:szCs w:val="36"/>
          <w:lang w:val="zh-CN"/>
        </w:rPr>
      </w:pPr>
    </w:p>
    <w:p>
      <w:pPr>
        <w:spacing w:beforeLines="300" w:afterLines="100" w:line="360" w:lineRule="auto"/>
        <w:ind w:firstLine="3907" w:firstLineChars="696"/>
        <w:rPr>
          <w:rFonts w:ascii="宋体"/>
          <w:b/>
          <w:color w:val="auto"/>
          <w:spacing w:val="60"/>
          <w:sz w:val="36"/>
          <w:szCs w:val="36"/>
        </w:rPr>
      </w:pPr>
      <w:r>
        <w:rPr>
          <w:rFonts w:hint="eastAsia" w:ascii="宋体" w:hAnsi="宋体"/>
          <w:b/>
          <w:bCs/>
          <w:color w:val="auto"/>
          <w:spacing w:val="100"/>
          <w:sz w:val="36"/>
          <w:szCs w:val="36"/>
        </w:rPr>
        <w:t>项目名称</w:t>
      </w:r>
    </w:p>
    <w:p>
      <w:pPr>
        <w:spacing w:afterLines="200" w:line="360" w:lineRule="auto"/>
        <w:ind w:left="5678" w:leftChars="299" w:hanging="5050" w:hangingChars="466"/>
        <w:jc w:val="center"/>
        <w:rPr>
          <w:rFonts w:ascii="黑体" w:hAnsi="黑体" w:eastAsia="黑体"/>
          <w:b/>
          <w:color w:val="auto"/>
          <w:spacing w:val="60"/>
          <w:sz w:val="96"/>
          <w:szCs w:val="96"/>
        </w:rPr>
      </w:pPr>
      <w:r>
        <w:rPr>
          <w:rFonts w:hint="eastAsia" w:ascii="黑体" w:hAnsi="黑体" w:eastAsia="黑体"/>
          <w:b/>
          <w:color w:val="auto"/>
          <w:spacing w:val="60"/>
          <w:sz w:val="96"/>
          <w:szCs w:val="96"/>
        </w:rPr>
        <w:t>符合性响应文件</w:t>
      </w:r>
    </w:p>
    <w:p>
      <w:pPr>
        <w:spacing w:beforeLines="50" w:afterLines="50" w:line="360" w:lineRule="auto"/>
        <w:ind w:firstLine="1744" w:firstLineChars="545"/>
        <w:rPr>
          <w:rFonts w:ascii="宋体"/>
          <w:b/>
          <w:color w:val="auto"/>
          <w:sz w:val="36"/>
          <w:szCs w:val="36"/>
        </w:rPr>
      </w:pPr>
      <w:r>
        <w:rPr>
          <w:rFonts w:hint="eastAsia" w:ascii="宋体" w:hAnsi="宋体"/>
          <w:color w:val="auto"/>
          <w:sz w:val="32"/>
          <w:szCs w:val="32"/>
        </w:rPr>
        <w:t>招标编号：</w:t>
      </w:r>
    </w:p>
    <w:p>
      <w:pPr>
        <w:spacing w:line="360" w:lineRule="auto"/>
        <w:rPr>
          <w:rFonts w:ascii="宋体"/>
          <w:b/>
          <w:color w:val="auto"/>
          <w:sz w:val="36"/>
          <w:szCs w:val="36"/>
        </w:rPr>
      </w:pPr>
    </w:p>
    <w:p>
      <w:pPr>
        <w:spacing w:line="360" w:lineRule="auto"/>
        <w:rPr>
          <w:rFonts w:ascii="宋体"/>
          <w:b/>
          <w:color w:val="auto"/>
          <w:sz w:val="36"/>
          <w:szCs w:val="36"/>
        </w:rPr>
      </w:pPr>
    </w:p>
    <w:p>
      <w:pPr>
        <w:spacing w:line="360" w:lineRule="auto"/>
        <w:rPr>
          <w:rFonts w:ascii="宋体"/>
          <w:b/>
          <w:color w:val="auto"/>
          <w:sz w:val="36"/>
          <w:szCs w:val="36"/>
        </w:rPr>
      </w:pPr>
    </w:p>
    <w:p>
      <w:pPr>
        <w:pStyle w:val="67"/>
        <w:spacing w:beforeLines="150" w:afterLines="150" w:line="360" w:lineRule="auto"/>
        <w:jc w:val="both"/>
        <w:rPr>
          <w:rFonts w:hAnsi="宋体"/>
          <w:color w:val="auto"/>
          <w:sz w:val="28"/>
          <w:szCs w:val="28"/>
        </w:rPr>
      </w:pPr>
      <w:r>
        <w:rPr>
          <w:rFonts w:hint="eastAsia" w:hAnsi="宋体"/>
          <w:color w:val="auto"/>
          <w:sz w:val="28"/>
          <w:szCs w:val="28"/>
        </w:rPr>
        <w:t>投标人：（加盖电子签章）</w:t>
      </w:r>
    </w:p>
    <w:p>
      <w:pPr>
        <w:pStyle w:val="67"/>
        <w:spacing w:beforeLines="150" w:afterLines="150" w:line="360" w:lineRule="auto"/>
        <w:jc w:val="both"/>
        <w:rPr>
          <w:rFonts w:hAnsi="宋体"/>
          <w:color w:val="auto"/>
          <w:sz w:val="28"/>
          <w:szCs w:val="28"/>
          <w:u w:val="single"/>
        </w:rPr>
      </w:pPr>
      <w:r>
        <w:rPr>
          <w:rFonts w:hint="eastAsia" w:hAnsi="宋体"/>
          <w:color w:val="auto"/>
          <w:sz w:val="28"/>
          <w:szCs w:val="28"/>
        </w:rPr>
        <w:t>法定代表人：（加盖电子签名）</w:t>
      </w:r>
    </w:p>
    <w:p>
      <w:pPr>
        <w:spacing w:beforeLines="150" w:afterLines="150" w:line="586" w:lineRule="atLeast"/>
        <w:rPr>
          <w:rFonts w:ascii="宋体"/>
          <w:color w:val="auto"/>
          <w:sz w:val="28"/>
          <w:szCs w:val="28"/>
        </w:rPr>
      </w:pPr>
      <w:r>
        <w:rPr>
          <w:rFonts w:hint="eastAsia" w:ascii="宋体" w:hAnsi="宋体"/>
          <w:color w:val="auto"/>
          <w:sz w:val="28"/>
          <w:szCs w:val="28"/>
        </w:rPr>
        <w:t>投标日期：年月日</w:t>
      </w:r>
    </w:p>
    <w:p>
      <w:pPr>
        <w:autoSpaceDE w:val="0"/>
        <w:autoSpaceDN w:val="0"/>
        <w:adjustRightInd w:val="0"/>
        <w:spacing w:line="360" w:lineRule="auto"/>
        <w:jc w:val="center"/>
        <w:outlineLvl w:val="0"/>
        <w:rPr>
          <w:rFonts w:ascii="黑体" w:hAnsi="黑体" w:eastAsia="黑体"/>
          <w:b/>
          <w:color w:val="auto"/>
          <w:sz w:val="36"/>
          <w:szCs w:val="36"/>
          <w:lang w:val="zh-CN"/>
        </w:rPr>
      </w:pPr>
    </w:p>
    <w:p>
      <w:pPr>
        <w:widowControl w:val="0"/>
        <w:snapToGrid w:val="0"/>
        <w:spacing w:line="560" w:lineRule="exact"/>
        <w:jc w:val="center"/>
        <w:rPr>
          <w:rFonts w:eastAsia="方正黑体简体"/>
          <w:b/>
          <w:color w:val="auto"/>
          <w:sz w:val="30"/>
          <w:szCs w:val="30"/>
        </w:rPr>
      </w:pPr>
      <w:r>
        <w:rPr>
          <w:rFonts w:eastAsia="方正黑体简体"/>
          <w:b/>
          <w:color w:val="auto"/>
          <w:sz w:val="30"/>
          <w:szCs w:val="30"/>
        </w:rPr>
        <w:br w:type="page"/>
      </w:r>
    </w:p>
    <w:p>
      <w:pPr>
        <w:widowControl w:val="0"/>
        <w:snapToGrid w:val="0"/>
        <w:spacing w:line="560" w:lineRule="exact"/>
        <w:jc w:val="center"/>
        <w:rPr>
          <w:rFonts w:eastAsia="方正黑体简体"/>
          <w:b/>
          <w:color w:val="auto"/>
          <w:sz w:val="30"/>
          <w:szCs w:val="30"/>
        </w:rPr>
      </w:pPr>
    </w:p>
    <w:p>
      <w:pPr>
        <w:spacing w:line="351" w:lineRule="atLeast"/>
        <w:ind w:left="419"/>
        <w:jc w:val="center"/>
        <w:rPr>
          <w:rFonts w:ascii="黑体" w:eastAsia="黑体"/>
          <w:b/>
          <w:color w:val="auto"/>
          <w:spacing w:val="60"/>
          <w:sz w:val="36"/>
          <w:szCs w:val="36"/>
        </w:rPr>
      </w:pPr>
      <w:r>
        <w:rPr>
          <w:rFonts w:hint="eastAsia" w:ascii="黑体" w:eastAsia="黑体"/>
          <w:b/>
          <w:color w:val="auto"/>
          <w:spacing w:val="60"/>
          <w:sz w:val="36"/>
          <w:szCs w:val="36"/>
        </w:rPr>
        <w:t>目录</w:t>
      </w:r>
    </w:p>
    <w:p>
      <w:pPr>
        <w:snapToGrid w:val="0"/>
        <w:spacing w:line="560" w:lineRule="atLeast"/>
        <w:textAlignment w:val="top"/>
        <w:rPr>
          <w:rFonts w:ascii="宋体"/>
          <w:color w:val="auto"/>
          <w:sz w:val="24"/>
          <w:szCs w:val="24"/>
        </w:rPr>
      </w:pPr>
      <w:r>
        <w:rPr>
          <w:rFonts w:ascii="宋体" w:hAnsi="宋体"/>
          <w:color w:val="auto"/>
          <w:sz w:val="24"/>
          <w:szCs w:val="24"/>
        </w:rPr>
        <w:t>1.</w:t>
      </w:r>
      <w:r>
        <w:rPr>
          <w:rFonts w:hint="eastAsia" w:ascii="宋体" w:hAnsi="宋体"/>
          <w:color w:val="auto"/>
          <w:sz w:val="24"/>
          <w:szCs w:val="24"/>
        </w:rPr>
        <w:t>投标书</w:t>
      </w:r>
    </w:p>
    <w:p>
      <w:pPr>
        <w:snapToGrid w:val="0"/>
        <w:spacing w:line="560" w:lineRule="atLeast"/>
        <w:textAlignment w:val="top"/>
        <w:rPr>
          <w:rFonts w:ascii="宋体"/>
          <w:color w:val="auto"/>
          <w:sz w:val="24"/>
          <w:szCs w:val="24"/>
        </w:rPr>
      </w:pPr>
      <w:r>
        <w:rPr>
          <w:rFonts w:ascii="宋体" w:hAnsi="宋体"/>
          <w:color w:val="auto"/>
          <w:sz w:val="24"/>
          <w:szCs w:val="24"/>
        </w:rPr>
        <w:t>2.</w:t>
      </w:r>
      <w:r>
        <w:rPr>
          <w:rFonts w:hint="eastAsia" w:ascii="宋体" w:hAnsi="宋体"/>
          <w:color w:val="auto"/>
          <w:sz w:val="24"/>
          <w:szCs w:val="24"/>
        </w:rPr>
        <w:t>开标一览表</w:t>
      </w:r>
    </w:p>
    <w:p>
      <w:pPr>
        <w:snapToGrid w:val="0"/>
        <w:spacing w:line="560" w:lineRule="atLeast"/>
        <w:textAlignment w:val="top"/>
        <w:rPr>
          <w:rFonts w:ascii="宋体"/>
          <w:color w:val="auto"/>
          <w:sz w:val="24"/>
          <w:szCs w:val="24"/>
        </w:rPr>
      </w:pPr>
      <w:r>
        <w:rPr>
          <w:rFonts w:ascii="宋体" w:hAnsi="宋体"/>
          <w:color w:val="auto"/>
          <w:sz w:val="24"/>
          <w:szCs w:val="24"/>
        </w:rPr>
        <w:t>3.</w:t>
      </w:r>
      <w:r>
        <w:rPr>
          <w:rFonts w:hint="eastAsia" w:ascii="宋体" w:hAnsi="宋体"/>
          <w:color w:val="auto"/>
          <w:sz w:val="24"/>
          <w:szCs w:val="24"/>
        </w:rPr>
        <w:t>分项报价</w:t>
      </w:r>
    </w:p>
    <w:p>
      <w:pPr>
        <w:snapToGrid w:val="0"/>
        <w:spacing w:line="560" w:lineRule="atLeast"/>
        <w:textAlignment w:val="top"/>
        <w:rPr>
          <w:rFonts w:ascii="宋体"/>
          <w:color w:val="auto"/>
          <w:sz w:val="24"/>
          <w:szCs w:val="24"/>
        </w:rPr>
      </w:pPr>
      <w:r>
        <w:rPr>
          <w:rFonts w:ascii="宋体" w:hAnsi="宋体"/>
          <w:color w:val="auto"/>
          <w:sz w:val="24"/>
          <w:szCs w:val="24"/>
        </w:rPr>
        <w:t>4.</w:t>
      </w:r>
      <w:r>
        <w:rPr>
          <w:rFonts w:hint="eastAsia" w:ascii="宋体" w:hAnsi="宋体" w:cs="楷体_GB2312"/>
          <w:color w:val="auto"/>
          <w:sz w:val="24"/>
          <w:lang w:val="zh-CN"/>
        </w:rPr>
        <w:t>服务方案及服务质量承诺</w:t>
      </w:r>
    </w:p>
    <w:p>
      <w:pPr>
        <w:snapToGrid w:val="0"/>
        <w:spacing w:line="560" w:lineRule="atLeast"/>
        <w:textAlignment w:val="top"/>
        <w:rPr>
          <w:rFonts w:ascii="宋体"/>
          <w:color w:val="auto"/>
          <w:sz w:val="24"/>
          <w:szCs w:val="24"/>
        </w:rPr>
      </w:pPr>
      <w:r>
        <w:rPr>
          <w:rFonts w:hint="eastAsia" w:ascii="宋体" w:hAnsi="宋体"/>
          <w:color w:val="auto"/>
          <w:sz w:val="24"/>
          <w:szCs w:val="24"/>
          <w:lang w:val="en-US" w:eastAsia="zh-CN"/>
        </w:rPr>
        <w:t>5</w:t>
      </w:r>
      <w:r>
        <w:rPr>
          <w:rFonts w:ascii="宋体" w:hAnsi="宋体"/>
          <w:color w:val="auto"/>
          <w:sz w:val="24"/>
          <w:szCs w:val="24"/>
        </w:rPr>
        <w:t>.</w:t>
      </w:r>
      <w:r>
        <w:rPr>
          <w:rFonts w:hint="eastAsia" w:ascii="宋体" w:hAnsi="宋体" w:cs="楷体_GB2312"/>
          <w:color w:val="auto"/>
          <w:sz w:val="24"/>
          <w:lang w:val="zh-CN"/>
        </w:rPr>
        <w:t>服务拟投入的人员</w:t>
      </w:r>
    </w:p>
    <w:p>
      <w:pPr>
        <w:snapToGrid w:val="0"/>
        <w:spacing w:line="560" w:lineRule="atLeast"/>
        <w:textAlignment w:val="top"/>
        <w:rPr>
          <w:rFonts w:ascii="宋体"/>
          <w:color w:val="auto"/>
          <w:sz w:val="24"/>
          <w:szCs w:val="24"/>
        </w:rPr>
      </w:pPr>
      <w:r>
        <w:rPr>
          <w:rFonts w:hint="eastAsia" w:ascii="宋体" w:hAnsi="宋体"/>
          <w:color w:val="auto"/>
          <w:sz w:val="24"/>
          <w:szCs w:val="24"/>
          <w:lang w:val="en-US" w:eastAsia="zh-CN"/>
        </w:rPr>
        <w:t>6</w:t>
      </w:r>
      <w:r>
        <w:rPr>
          <w:rFonts w:ascii="宋体" w:hAnsi="宋体"/>
          <w:color w:val="auto"/>
          <w:sz w:val="24"/>
          <w:szCs w:val="24"/>
        </w:rPr>
        <w:t>.</w:t>
      </w:r>
      <w:r>
        <w:rPr>
          <w:rFonts w:hint="eastAsia" w:ascii="宋体" w:hAnsi="宋体" w:cs="楷体_GB2312"/>
          <w:color w:val="auto"/>
          <w:sz w:val="24"/>
          <w:lang w:val="zh-CN"/>
        </w:rPr>
        <w:t>偏差表</w:t>
      </w:r>
    </w:p>
    <w:p>
      <w:pPr>
        <w:snapToGrid w:val="0"/>
        <w:spacing w:line="560" w:lineRule="atLeast"/>
        <w:textAlignment w:val="top"/>
        <w:rPr>
          <w:color w:val="auto"/>
          <w:sz w:val="24"/>
        </w:rPr>
      </w:pPr>
      <w:r>
        <w:rPr>
          <w:rFonts w:hint="eastAsia" w:ascii="宋体" w:hAnsi="宋体" w:cs="楷体_GB2312"/>
          <w:color w:val="auto"/>
          <w:sz w:val="24"/>
          <w:lang w:val="en-US" w:eastAsia="zh-CN"/>
        </w:rPr>
        <w:t>7</w:t>
      </w:r>
      <w:r>
        <w:rPr>
          <w:rFonts w:ascii="宋体" w:cs="楷体_GB2312"/>
          <w:color w:val="auto"/>
          <w:sz w:val="24"/>
          <w:lang w:val="zh-CN"/>
        </w:rPr>
        <w:t>.</w:t>
      </w:r>
      <w:r>
        <w:rPr>
          <w:rFonts w:hint="eastAsia"/>
          <w:color w:val="auto"/>
          <w:sz w:val="24"/>
        </w:rPr>
        <w:t>反商业贿赂承诺书</w:t>
      </w:r>
    </w:p>
    <w:p>
      <w:pPr>
        <w:snapToGrid w:val="0"/>
        <w:spacing w:line="560" w:lineRule="atLeast"/>
        <w:textAlignment w:val="top"/>
        <w:rPr>
          <w:rFonts w:ascii="宋体"/>
          <w:color w:val="auto"/>
          <w:sz w:val="24"/>
          <w:szCs w:val="24"/>
        </w:rPr>
      </w:pPr>
      <w:r>
        <w:rPr>
          <w:rFonts w:hint="eastAsia" w:ascii="宋体" w:hAnsi="宋体"/>
          <w:color w:val="auto"/>
          <w:sz w:val="24"/>
          <w:szCs w:val="24"/>
          <w:lang w:val="en-US" w:eastAsia="zh-CN"/>
        </w:rPr>
        <w:t>8</w:t>
      </w:r>
      <w:r>
        <w:rPr>
          <w:rFonts w:ascii="宋体" w:hAnsi="宋体"/>
          <w:color w:val="auto"/>
          <w:sz w:val="24"/>
          <w:szCs w:val="24"/>
        </w:rPr>
        <w:t>.</w:t>
      </w:r>
      <w:r>
        <w:rPr>
          <w:rFonts w:hint="eastAsia" w:ascii="宋体" w:hAnsi="宋体"/>
          <w:color w:val="auto"/>
          <w:sz w:val="24"/>
          <w:szCs w:val="24"/>
        </w:rPr>
        <w:t>履约承诺书</w:t>
      </w:r>
    </w:p>
    <w:p>
      <w:pPr>
        <w:snapToGrid w:val="0"/>
        <w:spacing w:line="560" w:lineRule="atLeast"/>
        <w:textAlignment w:val="top"/>
        <w:rPr>
          <w:rFonts w:ascii="宋体"/>
          <w:color w:val="auto"/>
          <w:sz w:val="24"/>
          <w:szCs w:val="24"/>
        </w:rPr>
      </w:pPr>
      <w:r>
        <w:rPr>
          <w:rFonts w:hint="eastAsia" w:ascii="宋体" w:hAnsi="宋体"/>
          <w:color w:val="auto"/>
          <w:sz w:val="24"/>
          <w:szCs w:val="24"/>
          <w:lang w:val="en-US" w:eastAsia="zh-CN"/>
        </w:rPr>
        <w:t>9</w:t>
      </w:r>
      <w:r>
        <w:rPr>
          <w:rFonts w:ascii="宋体" w:hAnsi="宋体"/>
          <w:color w:val="auto"/>
          <w:sz w:val="24"/>
          <w:szCs w:val="24"/>
        </w:rPr>
        <w:t>.</w:t>
      </w:r>
      <w:r>
        <w:rPr>
          <w:rFonts w:hint="eastAsia"/>
          <w:color w:val="auto"/>
          <w:sz w:val="24"/>
        </w:rPr>
        <w:t>招标项目要求及采购需求</w:t>
      </w:r>
      <w:r>
        <w:rPr>
          <w:rFonts w:hint="eastAsia" w:ascii="宋体" w:hAnsi="宋体"/>
          <w:color w:val="auto"/>
          <w:sz w:val="24"/>
          <w:szCs w:val="24"/>
        </w:rPr>
        <w:t>所需的其他材料</w:t>
      </w:r>
    </w:p>
    <w:p>
      <w:pPr>
        <w:snapToGrid w:val="0"/>
        <w:spacing w:line="560" w:lineRule="atLeast"/>
        <w:textAlignment w:val="top"/>
        <w:rPr>
          <w:rFonts w:ascii="宋体"/>
          <w:color w:val="auto"/>
          <w:sz w:val="24"/>
          <w:szCs w:val="24"/>
        </w:rPr>
      </w:pPr>
      <w:r>
        <w:rPr>
          <w:rFonts w:hint="eastAsia" w:ascii="宋体" w:hAnsi="宋体"/>
          <w:color w:val="auto"/>
          <w:sz w:val="24"/>
          <w:szCs w:val="24"/>
          <w:lang w:val="en-US" w:eastAsia="zh-CN"/>
        </w:rPr>
        <w:t>10</w:t>
      </w:r>
      <w:r>
        <w:rPr>
          <w:rFonts w:ascii="宋体" w:hAnsi="宋体"/>
          <w:color w:val="auto"/>
          <w:sz w:val="24"/>
          <w:szCs w:val="24"/>
        </w:rPr>
        <w:t>.</w:t>
      </w:r>
      <w:r>
        <w:rPr>
          <w:rFonts w:hint="eastAsia" w:ascii="宋体" w:hAnsi="宋体"/>
          <w:color w:val="auto"/>
          <w:sz w:val="24"/>
          <w:szCs w:val="24"/>
        </w:rPr>
        <w:t>投标人须知所需的其他材料</w:t>
      </w:r>
    </w:p>
    <w:p>
      <w:pPr>
        <w:snapToGrid w:val="0"/>
        <w:spacing w:line="560" w:lineRule="atLeast"/>
        <w:textAlignment w:val="top"/>
        <w:rPr>
          <w:rFonts w:ascii="宋体"/>
          <w:color w:val="auto"/>
          <w:sz w:val="24"/>
          <w:szCs w:val="24"/>
        </w:rPr>
      </w:pPr>
      <w:r>
        <w:rPr>
          <w:rFonts w:hint="eastAsia" w:ascii="宋体" w:hAnsi="宋体"/>
          <w:color w:val="auto"/>
          <w:sz w:val="24"/>
          <w:szCs w:val="24"/>
          <w:lang w:val="en-US" w:eastAsia="zh-CN"/>
        </w:rPr>
        <w:t>11</w:t>
      </w:r>
      <w:r>
        <w:rPr>
          <w:rFonts w:ascii="宋体" w:hAnsi="宋体"/>
          <w:color w:val="auto"/>
          <w:sz w:val="24"/>
          <w:szCs w:val="24"/>
        </w:rPr>
        <w:t>.</w:t>
      </w:r>
      <w:r>
        <w:rPr>
          <w:rFonts w:hint="eastAsia" w:ascii="宋体" w:hAnsi="宋体"/>
          <w:color w:val="auto"/>
          <w:sz w:val="24"/>
          <w:szCs w:val="24"/>
        </w:rPr>
        <w:t>评审办法所需的其他材料</w:t>
      </w:r>
    </w:p>
    <w:p>
      <w:pPr>
        <w:snapToGrid w:val="0"/>
        <w:spacing w:line="560" w:lineRule="atLeast"/>
        <w:textAlignment w:val="top"/>
        <w:rPr>
          <w:rFonts w:ascii="宋体"/>
          <w:color w:val="auto"/>
          <w:sz w:val="24"/>
          <w:szCs w:val="24"/>
        </w:rPr>
      </w:pPr>
      <w:r>
        <w:rPr>
          <w:rFonts w:hint="eastAsia" w:ascii="宋体" w:hAnsi="宋体"/>
          <w:color w:val="auto"/>
          <w:sz w:val="24"/>
          <w:szCs w:val="24"/>
          <w:lang w:val="en-US" w:eastAsia="zh-CN"/>
        </w:rPr>
        <w:t>12</w:t>
      </w:r>
      <w:r>
        <w:rPr>
          <w:rFonts w:ascii="宋体" w:hAnsi="宋体"/>
          <w:color w:val="auto"/>
          <w:sz w:val="24"/>
          <w:szCs w:val="24"/>
        </w:rPr>
        <w:t>.</w:t>
      </w:r>
      <w:r>
        <w:rPr>
          <w:rFonts w:hint="eastAsia" w:ascii="宋体" w:hAnsi="宋体"/>
          <w:color w:val="auto"/>
          <w:sz w:val="24"/>
          <w:szCs w:val="24"/>
        </w:rPr>
        <w:t>投标人认为有必要提交的其它材料</w:t>
      </w:r>
    </w:p>
    <w:p>
      <w:pPr>
        <w:snapToGrid w:val="0"/>
        <w:spacing w:line="560" w:lineRule="atLeast"/>
        <w:textAlignment w:val="top"/>
        <w:rPr>
          <w:rFonts w:ascii="宋体"/>
          <w:color w:val="auto"/>
          <w:sz w:val="24"/>
          <w:szCs w:val="24"/>
        </w:rPr>
      </w:pPr>
      <w:r>
        <w:rPr>
          <w:rFonts w:hint="eastAsia" w:ascii="宋体" w:hAnsi="宋体"/>
          <w:color w:val="auto"/>
          <w:sz w:val="24"/>
          <w:szCs w:val="24"/>
          <w:lang w:val="en-US" w:eastAsia="zh-CN"/>
        </w:rPr>
        <w:t>12</w:t>
      </w:r>
      <w:r>
        <w:rPr>
          <w:rFonts w:ascii="宋体" w:hAnsi="宋体"/>
          <w:color w:val="auto"/>
          <w:sz w:val="24"/>
          <w:szCs w:val="24"/>
        </w:rPr>
        <w:t>.1</w:t>
      </w:r>
      <w:r>
        <w:rPr>
          <w:rFonts w:hint="eastAsia" w:ascii="宋体" w:hAnsi="宋体"/>
          <w:color w:val="auto"/>
          <w:sz w:val="24"/>
          <w:szCs w:val="24"/>
        </w:rPr>
        <w:t>中小企业声明函、残疾人福利性单位声明函</w:t>
      </w:r>
    </w:p>
    <w:p>
      <w:pPr>
        <w:snapToGrid w:val="0"/>
        <w:spacing w:line="560" w:lineRule="atLeast"/>
        <w:textAlignment w:val="top"/>
        <w:rPr>
          <w:rFonts w:ascii="宋体"/>
          <w:color w:val="auto"/>
          <w:sz w:val="24"/>
          <w:szCs w:val="24"/>
        </w:rPr>
      </w:pPr>
      <w:r>
        <w:rPr>
          <w:rFonts w:hint="eastAsia" w:ascii="宋体" w:hAnsi="宋体"/>
          <w:color w:val="auto"/>
          <w:sz w:val="24"/>
          <w:szCs w:val="24"/>
          <w:lang w:val="en-US" w:eastAsia="zh-CN"/>
        </w:rPr>
        <w:t>12</w:t>
      </w:r>
      <w:r>
        <w:rPr>
          <w:rFonts w:ascii="宋体" w:hAnsi="宋体"/>
          <w:color w:val="auto"/>
          <w:sz w:val="24"/>
          <w:szCs w:val="24"/>
        </w:rPr>
        <w:t>.2</w:t>
      </w:r>
      <w:r>
        <w:rPr>
          <w:rFonts w:hint="eastAsia" w:ascii="宋体" w:hAnsi="宋体"/>
          <w:color w:val="auto"/>
          <w:sz w:val="24"/>
          <w:szCs w:val="24"/>
        </w:rPr>
        <w:t>小微企业产品价格扣除明细表</w:t>
      </w:r>
    </w:p>
    <w:p>
      <w:pPr>
        <w:snapToGrid w:val="0"/>
        <w:spacing w:line="560" w:lineRule="atLeast"/>
        <w:textAlignment w:val="top"/>
        <w:rPr>
          <w:rFonts w:ascii="仿宋_GB2312" w:eastAsia="仿宋_GB2312"/>
          <w:color w:val="auto"/>
          <w:sz w:val="32"/>
          <w:szCs w:val="32"/>
        </w:rPr>
      </w:pPr>
    </w:p>
    <w:p>
      <w:pPr>
        <w:spacing w:line="351" w:lineRule="atLeast"/>
        <w:ind w:left="419"/>
        <w:jc w:val="center"/>
        <w:rPr>
          <w:rFonts w:ascii="黑体" w:eastAsia="黑体"/>
          <w:b/>
          <w:color w:val="auto"/>
          <w:spacing w:val="60"/>
          <w:sz w:val="36"/>
          <w:szCs w:val="36"/>
        </w:rPr>
      </w:pPr>
      <w:r>
        <w:rPr>
          <w:rFonts w:ascii="黑体" w:eastAsia="黑体"/>
          <w:b/>
          <w:color w:val="auto"/>
          <w:spacing w:val="60"/>
          <w:sz w:val="36"/>
          <w:szCs w:val="36"/>
        </w:rPr>
        <w:br w:type="page"/>
      </w:r>
    </w:p>
    <w:p>
      <w:pPr>
        <w:spacing w:line="351" w:lineRule="atLeast"/>
        <w:ind w:left="419"/>
        <w:jc w:val="center"/>
        <w:rPr>
          <w:rFonts w:ascii="黑体" w:eastAsia="黑体"/>
          <w:b/>
          <w:color w:val="auto"/>
          <w:spacing w:val="60"/>
          <w:sz w:val="36"/>
          <w:szCs w:val="36"/>
        </w:rPr>
      </w:pPr>
      <w:r>
        <w:rPr>
          <w:rFonts w:ascii="黑体" w:eastAsia="黑体"/>
          <w:b/>
          <w:color w:val="auto"/>
          <w:spacing w:val="60"/>
          <w:sz w:val="36"/>
          <w:szCs w:val="36"/>
        </w:rPr>
        <w:t>1</w:t>
      </w:r>
      <w:r>
        <w:rPr>
          <w:rFonts w:hint="eastAsia" w:ascii="黑体" w:eastAsia="黑体"/>
          <w:b/>
          <w:color w:val="auto"/>
          <w:spacing w:val="60"/>
          <w:sz w:val="36"/>
          <w:szCs w:val="36"/>
        </w:rPr>
        <w:t>、投标书</w:t>
      </w:r>
    </w:p>
    <w:p>
      <w:pPr>
        <w:widowControl w:val="0"/>
        <w:snapToGrid w:val="0"/>
        <w:spacing w:line="560" w:lineRule="exact"/>
        <w:rPr>
          <w:color w:val="auto"/>
          <w:sz w:val="28"/>
        </w:rPr>
      </w:pPr>
    </w:p>
    <w:p>
      <w:pPr>
        <w:widowControl w:val="0"/>
        <w:snapToGrid w:val="0"/>
        <w:spacing w:line="360" w:lineRule="auto"/>
        <w:rPr>
          <w:color w:val="auto"/>
          <w:sz w:val="24"/>
          <w:szCs w:val="24"/>
        </w:rPr>
      </w:pPr>
      <w:r>
        <w:rPr>
          <w:rFonts w:hint="eastAsia"/>
          <w:color w:val="auto"/>
          <w:sz w:val="24"/>
          <w:szCs w:val="24"/>
        </w:rPr>
        <w:t>致：中资国际工程咨询集团有限责任公司</w:t>
      </w:r>
    </w:p>
    <w:p>
      <w:pPr>
        <w:widowControl w:val="0"/>
        <w:snapToGrid w:val="0"/>
        <w:spacing w:line="360" w:lineRule="auto"/>
        <w:ind w:firstLine="578"/>
        <w:textAlignment w:val="top"/>
        <w:rPr>
          <w:color w:val="auto"/>
          <w:sz w:val="24"/>
          <w:szCs w:val="24"/>
        </w:rPr>
      </w:pPr>
      <w:r>
        <w:rPr>
          <w:rFonts w:hint="eastAsia"/>
          <w:color w:val="auto"/>
          <w:sz w:val="24"/>
          <w:szCs w:val="24"/>
        </w:rPr>
        <w:t>根据贵方公开招标</w:t>
      </w:r>
      <w:r>
        <w:rPr>
          <w:rFonts w:hint="eastAsia"/>
          <w:color w:val="auto"/>
          <w:sz w:val="18"/>
          <w:szCs w:val="18"/>
          <w:u w:val="single"/>
        </w:rPr>
        <w:t>（项目名称）</w:t>
      </w:r>
      <w:r>
        <w:rPr>
          <w:rFonts w:hint="eastAsia"/>
          <w:color w:val="auto"/>
          <w:sz w:val="24"/>
          <w:szCs w:val="24"/>
        </w:rPr>
        <w:t>的招标文件（招标编号：），经详细研究，我们决定参加该项目的采购活动并按要求提交投标文件。我们郑重声明对我单位提交的所有投标资料的真实准确完整承担完全责任、并对之负法律责任。</w:t>
      </w:r>
    </w:p>
    <w:p>
      <w:pPr>
        <w:adjustRightInd w:val="0"/>
        <w:snapToGrid w:val="0"/>
        <w:spacing w:beforeLines="50" w:line="300" w:lineRule="auto"/>
        <w:ind w:firstLine="539"/>
        <w:textAlignment w:val="top"/>
        <w:rPr>
          <w:rFonts w:ascii="黑体" w:hAnsi="黑体" w:eastAsia="黑体"/>
          <w:b/>
          <w:color w:val="auto"/>
        </w:rPr>
      </w:pPr>
      <w:r>
        <w:rPr>
          <w:rFonts w:hint="eastAsia" w:ascii="黑体" w:hAnsi="黑体" w:eastAsia="黑体" w:cs="楷体_GB2312"/>
          <w:b/>
          <w:color w:val="auto"/>
          <w:sz w:val="24"/>
          <w:lang w:val="zh-CN"/>
        </w:rPr>
        <w:t>符合性响应文件</w:t>
      </w:r>
    </w:p>
    <w:p>
      <w:pPr>
        <w:adjustRightInd w:val="0"/>
        <w:snapToGrid w:val="0"/>
        <w:spacing w:line="300" w:lineRule="auto"/>
        <w:ind w:firstLine="539"/>
        <w:textAlignment w:val="top"/>
        <w:rPr>
          <w:color w:val="auto"/>
          <w:sz w:val="24"/>
        </w:rPr>
      </w:pPr>
      <w:r>
        <w:rPr>
          <w:rFonts w:hint="eastAsia"/>
          <w:color w:val="auto"/>
          <w:sz w:val="24"/>
        </w:rPr>
        <w:t>（</w:t>
      </w:r>
      <w:r>
        <w:rPr>
          <w:color w:val="auto"/>
          <w:sz w:val="24"/>
        </w:rPr>
        <w:t>1</w:t>
      </w:r>
      <w:r>
        <w:rPr>
          <w:rFonts w:hint="eastAsia"/>
          <w:color w:val="auto"/>
          <w:sz w:val="24"/>
        </w:rPr>
        <w:t>）投标书。</w:t>
      </w:r>
    </w:p>
    <w:p>
      <w:pPr>
        <w:adjustRightInd w:val="0"/>
        <w:snapToGrid w:val="0"/>
        <w:spacing w:line="300" w:lineRule="auto"/>
        <w:ind w:firstLine="539"/>
        <w:textAlignment w:val="top"/>
        <w:rPr>
          <w:color w:val="auto"/>
          <w:sz w:val="24"/>
        </w:rPr>
      </w:pPr>
      <w:r>
        <w:rPr>
          <w:rFonts w:hint="eastAsia"/>
          <w:color w:val="auto"/>
          <w:sz w:val="24"/>
        </w:rPr>
        <w:t>（</w:t>
      </w:r>
      <w:r>
        <w:rPr>
          <w:color w:val="auto"/>
          <w:sz w:val="24"/>
        </w:rPr>
        <w:t>2</w:t>
      </w:r>
      <w:r>
        <w:rPr>
          <w:rFonts w:hint="eastAsia"/>
          <w:color w:val="auto"/>
          <w:sz w:val="24"/>
        </w:rPr>
        <w:t>）开标一览表</w:t>
      </w:r>
    </w:p>
    <w:p>
      <w:pPr>
        <w:adjustRightInd w:val="0"/>
        <w:snapToGrid w:val="0"/>
        <w:spacing w:line="300" w:lineRule="auto"/>
        <w:ind w:firstLine="539"/>
        <w:textAlignment w:val="top"/>
        <w:rPr>
          <w:color w:val="auto"/>
          <w:sz w:val="24"/>
        </w:rPr>
      </w:pPr>
      <w:r>
        <w:rPr>
          <w:rFonts w:hint="eastAsia"/>
          <w:color w:val="auto"/>
          <w:sz w:val="24"/>
        </w:rPr>
        <w:t>（</w:t>
      </w:r>
      <w:r>
        <w:rPr>
          <w:color w:val="auto"/>
          <w:sz w:val="24"/>
        </w:rPr>
        <w:t>3</w:t>
      </w:r>
      <w:r>
        <w:rPr>
          <w:rFonts w:hint="eastAsia"/>
          <w:color w:val="auto"/>
          <w:sz w:val="24"/>
        </w:rPr>
        <w:t>）分项报价（即投标人的投标报价明细表）</w:t>
      </w:r>
    </w:p>
    <w:p>
      <w:pPr>
        <w:adjustRightInd w:val="0"/>
        <w:snapToGrid w:val="0"/>
        <w:spacing w:line="300" w:lineRule="auto"/>
        <w:ind w:firstLine="539"/>
        <w:textAlignment w:val="top"/>
        <w:rPr>
          <w:color w:val="auto"/>
          <w:sz w:val="24"/>
        </w:rPr>
      </w:pPr>
      <w:r>
        <w:rPr>
          <w:rFonts w:hint="eastAsia"/>
          <w:color w:val="auto"/>
          <w:sz w:val="24"/>
        </w:rPr>
        <w:t>（</w:t>
      </w:r>
      <w:r>
        <w:rPr>
          <w:color w:val="auto"/>
          <w:sz w:val="24"/>
        </w:rPr>
        <w:t>4</w:t>
      </w:r>
      <w:r>
        <w:rPr>
          <w:rFonts w:hint="eastAsia"/>
          <w:color w:val="auto"/>
          <w:sz w:val="24"/>
        </w:rPr>
        <w:t>）服务方案及服务质量承诺</w:t>
      </w:r>
    </w:p>
    <w:p>
      <w:pPr>
        <w:adjustRightInd w:val="0"/>
        <w:snapToGrid w:val="0"/>
        <w:spacing w:line="300" w:lineRule="auto"/>
        <w:ind w:firstLine="539"/>
        <w:textAlignment w:val="top"/>
        <w:rPr>
          <w:color w:val="auto"/>
          <w:sz w:val="24"/>
        </w:rPr>
      </w:pPr>
      <w:r>
        <w:rPr>
          <w:rFonts w:hint="eastAsia"/>
          <w:color w:val="auto"/>
          <w:sz w:val="24"/>
        </w:rPr>
        <w:t>（</w:t>
      </w:r>
      <w:r>
        <w:rPr>
          <w:rFonts w:hint="eastAsia"/>
          <w:color w:val="auto"/>
          <w:sz w:val="24"/>
          <w:lang w:val="en-US" w:eastAsia="zh-CN"/>
        </w:rPr>
        <w:t>5</w:t>
      </w:r>
      <w:r>
        <w:rPr>
          <w:rFonts w:hint="eastAsia"/>
          <w:color w:val="auto"/>
          <w:sz w:val="24"/>
        </w:rPr>
        <w:t>）服务拟投入的人员</w:t>
      </w:r>
    </w:p>
    <w:p>
      <w:pPr>
        <w:adjustRightInd w:val="0"/>
        <w:snapToGrid w:val="0"/>
        <w:spacing w:line="300" w:lineRule="auto"/>
        <w:ind w:firstLine="539"/>
        <w:textAlignment w:val="top"/>
        <w:rPr>
          <w:color w:val="auto"/>
          <w:sz w:val="24"/>
        </w:rPr>
      </w:pPr>
      <w:r>
        <w:rPr>
          <w:rFonts w:hint="eastAsia"/>
          <w:color w:val="auto"/>
          <w:sz w:val="24"/>
        </w:rPr>
        <w:t>（</w:t>
      </w:r>
      <w:r>
        <w:rPr>
          <w:rFonts w:hint="eastAsia"/>
          <w:color w:val="auto"/>
          <w:sz w:val="24"/>
          <w:lang w:val="en-US" w:eastAsia="zh-CN"/>
        </w:rPr>
        <w:t>6</w:t>
      </w:r>
      <w:r>
        <w:rPr>
          <w:rFonts w:hint="eastAsia"/>
          <w:color w:val="auto"/>
          <w:sz w:val="24"/>
        </w:rPr>
        <w:t>）偏差表</w:t>
      </w:r>
    </w:p>
    <w:p>
      <w:pPr>
        <w:adjustRightInd w:val="0"/>
        <w:snapToGrid w:val="0"/>
        <w:spacing w:line="300" w:lineRule="auto"/>
        <w:ind w:firstLine="539"/>
        <w:textAlignment w:val="top"/>
        <w:rPr>
          <w:color w:val="auto"/>
          <w:sz w:val="24"/>
        </w:rPr>
      </w:pPr>
      <w:r>
        <w:rPr>
          <w:rFonts w:hint="eastAsia"/>
          <w:color w:val="auto"/>
          <w:sz w:val="24"/>
        </w:rPr>
        <w:t>（</w:t>
      </w:r>
      <w:r>
        <w:rPr>
          <w:rFonts w:hint="eastAsia"/>
          <w:color w:val="auto"/>
          <w:sz w:val="24"/>
          <w:lang w:val="en-US" w:eastAsia="zh-CN"/>
        </w:rPr>
        <w:t>7</w:t>
      </w:r>
      <w:r>
        <w:rPr>
          <w:rFonts w:hint="eastAsia"/>
          <w:color w:val="auto"/>
          <w:sz w:val="24"/>
        </w:rPr>
        <w:t>）反商业贿赂承诺书</w:t>
      </w:r>
      <w:r>
        <w:rPr>
          <w:color w:val="auto"/>
          <w:sz w:val="24"/>
        </w:rPr>
        <w:t xml:space="preserve"> </w:t>
      </w:r>
    </w:p>
    <w:p>
      <w:pPr>
        <w:adjustRightInd w:val="0"/>
        <w:snapToGrid w:val="0"/>
        <w:spacing w:line="300" w:lineRule="auto"/>
        <w:ind w:firstLine="539"/>
        <w:textAlignment w:val="top"/>
        <w:rPr>
          <w:color w:val="auto"/>
          <w:sz w:val="24"/>
        </w:rPr>
      </w:pPr>
      <w:r>
        <w:rPr>
          <w:rFonts w:hint="eastAsia"/>
          <w:color w:val="auto"/>
          <w:sz w:val="24"/>
        </w:rPr>
        <w:t>（</w:t>
      </w:r>
      <w:r>
        <w:rPr>
          <w:rFonts w:hint="eastAsia"/>
          <w:color w:val="auto"/>
          <w:sz w:val="24"/>
          <w:lang w:val="en-US" w:eastAsia="zh-CN"/>
        </w:rPr>
        <w:t>8</w:t>
      </w:r>
      <w:r>
        <w:rPr>
          <w:rFonts w:hint="eastAsia"/>
          <w:color w:val="auto"/>
          <w:sz w:val="24"/>
        </w:rPr>
        <w:t>）履约承诺书</w:t>
      </w:r>
      <w:r>
        <w:rPr>
          <w:color w:val="auto"/>
          <w:sz w:val="24"/>
        </w:rPr>
        <w:t xml:space="preserve"> </w:t>
      </w:r>
    </w:p>
    <w:p>
      <w:pPr>
        <w:adjustRightInd w:val="0"/>
        <w:snapToGrid w:val="0"/>
        <w:spacing w:line="300" w:lineRule="auto"/>
        <w:ind w:firstLine="539"/>
        <w:textAlignment w:val="top"/>
        <w:rPr>
          <w:color w:val="auto"/>
          <w:sz w:val="24"/>
        </w:rPr>
      </w:pPr>
      <w:r>
        <w:rPr>
          <w:rFonts w:hint="eastAsia"/>
          <w:color w:val="auto"/>
          <w:sz w:val="24"/>
        </w:rPr>
        <w:t>（</w:t>
      </w:r>
      <w:r>
        <w:rPr>
          <w:rFonts w:hint="eastAsia"/>
          <w:color w:val="auto"/>
          <w:sz w:val="24"/>
          <w:lang w:val="en-US" w:eastAsia="zh-CN"/>
        </w:rPr>
        <w:t>9</w:t>
      </w:r>
      <w:r>
        <w:rPr>
          <w:rFonts w:hint="eastAsia"/>
          <w:color w:val="auto"/>
          <w:sz w:val="24"/>
        </w:rPr>
        <w:t>）招标项目要求及采购需求所需的其他材料（按条款需要）</w:t>
      </w:r>
    </w:p>
    <w:p>
      <w:pPr>
        <w:adjustRightInd w:val="0"/>
        <w:snapToGrid w:val="0"/>
        <w:spacing w:line="300" w:lineRule="auto"/>
        <w:ind w:firstLine="539"/>
        <w:textAlignment w:val="top"/>
        <w:rPr>
          <w:color w:val="auto"/>
          <w:sz w:val="24"/>
        </w:rPr>
      </w:pPr>
      <w:r>
        <w:rPr>
          <w:rFonts w:hint="eastAsia"/>
          <w:color w:val="auto"/>
          <w:sz w:val="24"/>
        </w:rPr>
        <w:t>（</w:t>
      </w:r>
      <w:r>
        <w:rPr>
          <w:rFonts w:hint="eastAsia"/>
          <w:color w:val="auto"/>
          <w:sz w:val="24"/>
          <w:lang w:val="en-US" w:eastAsia="zh-CN"/>
        </w:rPr>
        <w:t>10</w:t>
      </w:r>
      <w:r>
        <w:rPr>
          <w:rFonts w:hint="eastAsia"/>
          <w:color w:val="auto"/>
          <w:sz w:val="24"/>
        </w:rPr>
        <w:t>）投标人须知所需的其他材料（按条款需要）</w:t>
      </w:r>
    </w:p>
    <w:p>
      <w:pPr>
        <w:adjustRightInd w:val="0"/>
        <w:snapToGrid w:val="0"/>
        <w:spacing w:line="300" w:lineRule="auto"/>
        <w:ind w:firstLine="539"/>
        <w:textAlignment w:val="top"/>
        <w:rPr>
          <w:color w:val="auto"/>
          <w:sz w:val="24"/>
        </w:rPr>
      </w:pPr>
      <w:r>
        <w:rPr>
          <w:rFonts w:hint="eastAsia"/>
          <w:color w:val="auto"/>
          <w:sz w:val="24"/>
        </w:rPr>
        <w:t>（</w:t>
      </w:r>
      <w:r>
        <w:rPr>
          <w:rFonts w:hint="eastAsia"/>
          <w:color w:val="auto"/>
          <w:sz w:val="24"/>
          <w:lang w:val="en-US" w:eastAsia="zh-CN"/>
        </w:rPr>
        <w:t>11</w:t>
      </w:r>
      <w:r>
        <w:rPr>
          <w:rFonts w:hint="eastAsia"/>
          <w:color w:val="auto"/>
          <w:sz w:val="24"/>
        </w:rPr>
        <w:t>）评审办法所需的其他材料（按条款需要）</w:t>
      </w:r>
    </w:p>
    <w:p>
      <w:pPr>
        <w:adjustRightInd w:val="0"/>
        <w:snapToGrid w:val="0"/>
        <w:spacing w:line="300" w:lineRule="auto"/>
        <w:ind w:firstLine="539"/>
        <w:textAlignment w:val="top"/>
        <w:rPr>
          <w:color w:val="auto"/>
          <w:sz w:val="24"/>
        </w:rPr>
      </w:pPr>
      <w:r>
        <w:rPr>
          <w:rFonts w:hint="eastAsia"/>
          <w:color w:val="auto"/>
          <w:sz w:val="24"/>
        </w:rPr>
        <w:t>（</w:t>
      </w:r>
      <w:r>
        <w:rPr>
          <w:rFonts w:hint="eastAsia"/>
          <w:color w:val="auto"/>
          <w:sz w:val="24"/>
          <w:lang w:val="en-US" w:eastAsia="zh-CN"/>
        </w:rPr>
        <w:t>12</w:t>
      </w:r>
      <w:r>
        <w:rPr>
          <w:rFonts w:hint="eastAsia"/>
          <w:color w:val="auto"/>
          <w:sz w:val="24"/>
        </w:rPr>
        <w:t>）投标人认为有必要提交的其它材料</w:t>
      </w:r>
    </w:p>
    <w:p>
      <w:pPr>
        <w:adjustRightInd w:val="0"/>
        <w:snapToGrid w:val="0"/>
        <w:spacing w:beforeLines="50" w:line="300" w:lineRule="auto"/>
        <w:ind w:firstLine="539"/>
        <w:textAlignment w:val="top"/>
        <w:rPr>
          <w:rFonts w:ascii="黑体" w:hAnsi="黑体" w:eastAsia="黑体" w:cs="楷体_GB2312"/>
          <w:b/>
          <w:color w:val="auto"/>
          <w:sz w:val="24"/>
          <w:lang w:val="zh-CN"/>
        </w:rPr>
      </w:pPr>
      <w:r>
        <w:rPr>
          <w:rFonts w:hint="eastAsia" w:ascii="黑体" w:hAnsi="黑体" w:eastAsia="黑体" w:cs="楷体_GB2312"/>
          <w:b/>
          <w:color w:val="auto"/>
          <w:sz w:val="24"/>
          <w:lang w:val="zh-CN"/>
        </w:rPr>
        <w:t>资格性证明文件</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hint="eastAsia" w:ascii="宋体" w:hAnsi="宋体" w:cs="楷体_GB2312"/>
          <w:color w:val="auto"/>
          <w:sz w:val="24"/>
          <w:lang w:val="en-US" w:eastAsia="zh-CN"/>
        </w:rPr>
        <w:t>13</w:t>
      </w:r>
      <w:r>
        <w:rPr>
          <w:rFonts w:hint="eastAsia" w:ascii="宋体" w:hAnsi="宋体" w:cs="楷体_GB2312"/>
          <w:color w:val="auto"/>
          <w:sz w:val="24"/>
          <w:lang w:val="zh-CN"/>
        </w:rPr>
        <w:t>）</w:t>
      </w:r>
      <w:r>
        <w:rPr>
          <w:rFonts w:hint="eastAsia"/>
          <w:color w:val="auto"/>
          <w:sz w:val="24"/>
        </w:rPr>
        <w:t>关于资格的声明函</w:t>
      </w:r>
    </w:p>
    <w:p>
      <w:pPr>
        <w:autoSpaceDE w:val="0"/>
        <w:autoSpaceDN w:val="0"/>
        <w:adjustRightInd w:val="0"/>
        <w:snapToGrid w:val="0"/>
        <w:spacing w:line="300" w:lineRule="auto"/>
        <w:ind w:firstLine="520" w:firstLineChars="217"/>
        <w:rPr>
          <w:rFonts w:ascii="宋体" w:cs="楷体_GB2312"/>
          <w:color w:val="auto"/>
          <w:sz w:val="24"/>
          <w:lang w:val="zh-CN"/>
        </w:rPr>
      </w:pPr>
      <w:r>
        <w:rPr>
          <w:rFonts w:hint="eastAsia"/>
          <w:color w:val="auto"/>
          <w:sz w:val="24"/>
        </w:rPr>
        <w:t>（</w:t>
      </w:r>
      <w:r>
        <w:rPr>
          <w:rFonts w:hint="eastAsia"/>
          <w:color w:val="auto"/>
          <w:sz w:val="24"/>
          <w:lang w:val="en-US" w:eastAsia="zh-CN"/>
        </w:rPr>
        <w:t>14</w:t>
      </w:r>
      <w:r>
        <w:rPr>
          <w:rFonts w:hint="eastAsia"/>
          <w:color w:val="auto"/>
          <w:sz w:val="24"/>
        </w:rPr>
        <w:t>）资格要求相关证明材料（文件）</w:t>
      </w:r>
    </w:p>
    <w:p>
      <w:pPr>
        <w:widowControl w:val="0"/>
        <w:snapToGrid w:val="0"/>
        <w:spacing w:line="360" w:lineRule="auto"/>
        <w:ind w:firstLine="578"/>
        <w:textAlignment w:val="top"/>
        <w:rPr>
          <w:color w:val="auto"/>
          <w:sz w:val="24"/>
          <w:szCs w:val="24"/>
        </w:rPr>
      </w:pPr>
    </w:p>
    <w:p>
      <w:pPr>
        <w:widowControl w:val="0"/>
        <w:snapToGrid w:val="0"/>
        <w:spacing w:line="360" w:lineRule="auto"/>
        <w:ind w:firstLine="578"/>
        <w:textAlignment w:val="top"/>
        <w:rPr>
          <w:color w:val="auto"/>
          <w:sz w:val="24"/>
          <w:szCs w:val="24"/>
        </w:rPr>
      </w:pPr>
      <w:r>
        <w:rPr>
          <w:color w:val="auto"/>
          <w:sz w:val="24"/>
          <w:szCs w:val="24"/>
        </w:rPr>
        <w:t xml:space="preserve">1. </w:t>
      </w:r>
      <w:r>
        <w:rPr>
          <w:rFonts w:hint="eastAsia"/>
          <w:color w:val="auto"/>
          <w:sz w:val="24"/>
          <w:szCs w:val="24"/>
        </w:rPr>
        <w:t>愿按照招标文件中规定的条款和要求，提供完成招标文件规定的全部工作，</w:t>
      </w:r>
    </w:p>
    <w:p>
      <w:pPr>
        <w:widowControl w:val="0"/>
        <w:snapToGrid w:val="0"/>
        <w:spacing w:line="360" w:lineRule="auto"/>
        <w:ind w:firstLine="578"/>
        <w:textAlignment w:val="top"/>
        <w:rPr>
          <w:color w:val="auto"/>
          <w:sz w:val="24"/>
          <w:szCs w:val="24"/>
        </w:rPr>
      </w:pPr>
      <w:r>
        <w:rPr>
          <w:rFonts w:hint="eastAsia"/>
          <w:color w:val="auto"/>
          <w:sz w:val="24"/>
          <w:szCs w:val="24"/>
        </w:rPr>
        <w:t>投标总价为人民币（大写）：，（</w:t>
      </w:r>
      <w:r>
        <w:rPr>
          <w:color w:val="auto"/>
          <w:sz w:val="24"/>
          <w:szCs w:val="24"/>
        </w:rPr>
        <w:t xml:space="preserve"> RMB¥</w:t>
      </w:r>
      <w:r>
        <w:rPr>
          <w:rFonts w:hint="eastAsia"/>
          <w:color w:val="auto"/>
          <w:sz w:val="24"/>
          <w:szCs w:val="24"/>
        </w:rPr>
        <w:t>：元）。</w:t>
      </w:r>
    </w:p>
    <w:p>
      <w:pPr>
        <w:widowControl w:val="0"/>
        <w:snapToGrid w:val="0"/>
        <w:spacing w:line="360" w:lineRule="auto"/>
        <w:ind w:firstLine="578"/>
        <w:textAlignment w:val="top"/>
        <w:rPr>
          <w:color w:val="auto"/>
          <w:sz w:val="24"/>
          <w:szCs w:val="24"/>
        </w:rPr>
      </w:pPr>
      <w:r>
        <w:rPr>
          <w:rFonts w:hint="eastAsia"/>
          <w:color w:val="auto"/>
          <w:sz w:val="24"/>
          <w:szCs w:val="24"/>
        </w:rPr>
        <w:t>服务期：</w:t>
      </w:r>
      <w:r>
        <w:rPr>
          <w:color w:val="auto"/>
          <w:sz w:val="24"/>
          <w:szCs w:val="24"/>
        </w:rPr>
        <w:t xml:space="preserve">     </w:t>
      </w:r>
      <w:r>
        <w:rPr>
          <w:rFonts w:hint="eastAsia"/>
          <w:color w:val="auto"/>
          <w:sz w:val="24"/>
          <w:szCs w:val="24"/>
        </w:rPr>
        <w:t>，服务地点：</w:t>
      </w:r>
      <w:r>
        <w:rPr>
          <w:color w:val="auto"/>
          <w:sz w:val="24"/>
          <w:szCs w:val="24"/>
        </w:rPr>
        <w:t xml:space="preserve">     </w:t>
      </w:r>
      <w:r>
        <w:rPr>
          <w:rFonts w:hint="eastAsia"/>
          <w:color w:val="auto"/>
          <w:sz w:val="24"/>
          <w:szCs w:val="24"/>
        </w:rPr>
        <w:t>，投标有效期：</w:t>
      </w:r>
      <w:r>
        <w:rPr>
          <w:color w:val="auto"/>
          <w:sz w:val="24"/>
          <w:szCs w:val="24"/>
        </w:rPr>
        <w:t xml:space="preserve">     </w:t>
      </w:r>
      <w:r>
        <w:rPr>
          <w:rFonts w:hint="eastAsia"/>
          <w:color w:val="auto"/>
          <w:sz w:val="24"/>
          <w:szCs w:val="24"/>
        </w:rPr>
        <w:t>。</w:t>
      </w:r>
    </w:p>
    <w:p>
      <w:pPr>
        <w:widowControl w:val="0"/>
        <w:snapToGrid w:val="0"/>
        <w:spacing w:line="360" w:lineRule="auto"/>
        <w:ind w:firstLine="578"/>
        <w:textAlignment w:val="top"/>
        <w:rPr>
          <w:color w:val="auto"/>
          <w:sz w:val="24"/>
          <w:szCs w:val="24"/>
        </w:rPr>
      </w:pPr>
      <w:r>
        <w:rPr>
          <w:color w:val="auto"/>
          <w:sz w:val="24"/>
          <w:szCs w:val="24"/>
        </w:rPr>
        <w:t>2.</w:t>
      </w:r>
      <w:r>
        <w:rPr>
          <w:rFonts w:hint="eastAsia"/>
          <w:color w:val="auto"/>
          <w:sz w:val="24"/>
          <w:szCs w:val="24"/>
        </w:rPr>
        <w:t>如果我们的投标文件被接受，我们将履行招标文件中规定的每一项要求，按期、按质、按量履行合同。</w:t>
      </w:r>
    </w:p>
    <w:p>
      <w:pPr>
        <w:widowControl w:val="0"/>
        <w:snapToGrid w:val="0"/>
        <w:spacing w:line="360" w:lineRule="auto"/>
        <w:ind w:firstLine="578"/>
        <w:textAlignment w:val="top"/>
        <w:rPr>
          <w:color w:val="auto"/>
          <w:sz w:val="24"/>
          <w:szCs w:val="24"/>
        </w:rPr>
      </w:pPr>
      <w:r>
        <w:rPr>
          <w:color w:val="auto"/>
          <w:sz w:val="24"/>
          <w:szCs w:val="24"/>
        </w:rPr>
        <w:t>3.</w:t>
      </w:r>
      <w:r>
        <w:rPr>
          <w:rFonts w:hint="eastAsia"/>
          <w:color w:val="auto"/>
          <w:sz w:val="24"/>
          <w:szCs w:val="24"/>
        </w:rPr>
        <w:t>我们已详细阅读全部招标文件，包括修改文件以及全部参考资料和有关附件。我们完全理解并同意放弃对这方面有不明及误解的权力。</w:t>
      </w:r>
    </w:p>
    <w:p>
      <w:pPr>
        <w:widowControl w:val="0"/>
        <w:snapToGrid w:val="0"/>
        <w:spacing w:line="360" w:lineRule="auto"/>
        <w:ind w:firstLine="578"/>
        <w:textAlignment w:val="top"/>
        <w:rPr>
          <w:color w:val="auto"/>
          <w:sz w:val="24"/>
          <w:szCs w:val="24"/>
        </w:rPr>
      </w:pPr>
      <w:r>
        <w:rPr>
          <w:color w:val="auto"/>
          <w:sz w:val="24"/>
          <w:szCs w:val="24"/>
        </w:rPr>
        <w:t>4.</w:t>
      </w:r>
      <w:r>
        <w:rPr>
          <w:rFonts w:hint="eastAsia"/>
          <w:color w:val="auto"/>
          <w:sz w:val="24"/>
          <w:szCs w:val="24"/>
        </w:rPr>
        <w:t>我们同意提供按照贵方可能要求的与其投标有关的一切数据或资料，理解贵方不一定要接受最低价的投标或收到的任何投标。</w:t>
      </w:r>
    </w:p>
    <w:p>
      <w:pPr>
        <w:widowControl w:val="0"/>
        <w:snapToGrid w:val="0"/>
        <w:spacing w:line="360" w:lineRule="auto"/>
        <w:ind w:firstLine="578"/>
        <w:textAlignment w:val="top"/>
        <w:rPr>
          <w:color w:val="auto"/>
          <w:sz w:val="24"/>
          <w:szCs w:val="24"/>
        </w:rPr>
      </w:pPr>
      <w:r>
        <w:rPr>
          <w:color w:val="auto"/>
          <w:sz w:val="24"/>
          <w:szCs w:val="24"/>
        </w:rPr>
        <w:t>5.</w:t>
      </w:r>
      <w:r>
        <w:rPr>
          <w:rFonts w:hint="eastAsia"/>
          <w:color w:val="auto"/>
          <w:sz w:val="24"/>
          <w:szCs w:val="24"/>
        </w:rPr>
        <w:t>我们愿按《中华人民共和国合同法》履行其的全部责任。</w:t>
      </w:r>
    </w:p>
    <w:p>
      <w:pPr>
        <w:widowControl w:val="0"/>
        <w:snapToGrid w:val="0"/>
        <w:spacing w:line="360" w:lineRule="auto"/>
        <w:ind w:firstLine="578"/>
        <w:textAlignment w:val="top"/>
        <w:rPr>
          <w:color w:val="auto"/>
          <w:sz w:val="24"/>
          <w:szCs w:val="24"/>
        </w:rPr>
      </w:pPr>
      <w:r>
        <w:rPr>
          <w:rFonts w:hint="eastAsia"/>
          <w:color w:val="auto"/>
          <w:sz w:val="24"/>
          <w:szCs w:val="24"/>
        </w:rPr>
        <w:t>与本投标有关的一切正式往来请寄：</w:t>
      </w:r>
    </w:p>
    <w:p>
      <w:pPr>
        <w:widowControl w:val="0"/>
        <w:snapToGrid w:val="0"/>
        <w:spacing w:line="360" w:lineRule="auto"/>
        <w:ind w:firstLine="578"/>
        <w:textAlignment w:val="top"/>
        <w:rPr>
          <w:color w:val="auto"/>
          <w:sz w:val="24"/>
          <w:szCs w:val="24"/>
        </w:rPr>
      </w:pPr>
    </w:p>
    <w:p>
      <w:pPr>
        <w:widowControl w:val="0"/>
        <w:snapToGrid w:val="0"/>
        <w:spacing w:line="360" w:lineRule="auto"/>
        <w:ind w:firstLine="578"/>
        <w:textAlignment w:val="top"/>
        <w:rPr>
          <w:color w:val="auto"/>
          <w:sz w:val="24"/>
          <w:szCs w:val="24"/>
        </w:rPr>
      </w:pPr>
      <w:r>
        <w:rPr>
          <w:rFonts w:hint="eastAsia"/>
          <w:color w:val="auto"/>
          <w:sz w:val="24"/>
          <w:szCs w:val="24"/>
        </w:rPr>
        <w:t>地址：</w:t>
      </w:r>
      <w:r>
        <w:rPr>
          <w:color w:val="auto"/>
          <w:sz w:val="24"/>
          <w:szCs w:val="24"/>
        </w:rPr>
        <w:tab/>
      </w:r>
      <w:r>
        <w:rPr>
          <w:color w:val="auto"/>
          <w:sz w:val="24"/>
          <w:szCs w:val="24"/>
        </w:rPr>
        <w:tab/>
      </w:r>
      <w:r>
        <w:rPr>
          <w:rFonts w:hint="eastAsia"/>
          <w:color w:val="auto"/>
          <w:sz w:val="24"/>
          <w:szCs w:val="24"/>
        </w:rPr>
        <w:t>邮政编码：</w:t>
      </w:r>
    </w:p>
    <w:p>
      <w:pPr>
        <w:widowControl w:val="0"/>
        <w:snapToGrid w:val="0"/>
        <w:spacing w:line="360" w:lineRule="auto"/>
        <w:ind w:firstLine="578"/>
        <w:textAlignment w:val="top"/>
        <w:rPr>
          <w:color w:val="auto"/>
          <w:sz w:val="24"/>
          <w:szCs w:val="24"/>
        </w:rPr>
      </w:pPr>
      <w:r>
        <w:rPr>
          <w:rFonts w:hint="eastAsia"/>
          <w:color w:val="auto"/>
          <w:sz w:val="24"/>
          <w:szCs w:val="24"/>
        </w:rPr>
        <w:t>电话：</w:t>
      </w:r>
      <w:r>
        <w:rPr>
          <w:color w:val="auto"/>
          <w:sz w:val="24"/>
          <w:szCs w:val="24"/>
        </w:rPr>
        <w:tab/>
      </w:r>
      <w:r>
        <w:rPr>
          <w:color w:val="auto"/>
          <w:sz w:val="24"/>
          <w:szCs w:val="24"/>
        </w:rPr>
        <w:tab/>
      </w:r>
      <w:r>
        <w:rPr>
          <w:rFonts w:hint="eastAsia"/>
          <w:color w:val="auto"/>
          <w:sz w:val="24"/>
          <w:szCs w:val="24"/>
        </w:rPr>
        <w:t>传真：</w:t>
      </w:r>
    </w:p>
    <w:p>
      <w:pPr>
        <w:widowControl w:val="0"/>
        <w:snapToGrid w:val="0"/>
        <w:spacing w:line="360" w:lineRule="auto"/>
        <w:ind w:firstLine="578"/>
        <w:textAlignment w:val="top"/>
        <w:rPr>
          <w:color w:val="auto"/>
          <w:sz w:val="24"/>
          <w:szCs w:val="24"/>
        </w:rPr>
      </w:pPr>
      <w:r>
        <w:rPr>
          <w:rFonts w:hint="eastAsia"/>
          <w:color w:val="auto"/>
          <w:sz w:val="24"/>
          <w:szCs w:val="24"/>
        </w:rPr>
        <w:t>日期：</w:t>
      </w:r>
    </w:p>
    <w:p>
      <w:pPr>
        <w:widowControl w:val="0"/>
        <w:snapToGrid w:val="0"/>
        <w:spacing w:line="360" w:lineRule="auto"/>
        <w:textAlignment w:val="top"/>
        <w:rPr>
          <w:color w:val="auto"/>
          <w:sz w:val="24"/>
          <w:szCs w:val="24"/>
        </w:rPr>
      </w:pPr>
    </w:p>
    <w:p>
      <w:pPr>
        <w:widowControl w:val="0"/>
        <w:snapToGrid w:val="0"/>
        <w:spacing w:line="360" w:lineRule="auto"/>
        <w:textAlignment w:val="top"/>
        <w:rPr>
          <w:color w:val="auto"/>
          <w:sz w:val="24"/>
          <w:szCs w:val="24"/>
        </w:rPr>
      </w:pPr>
      <w:r>
        <w:rPr>
          <w:rFonts w:hint="eastAsia"/>
          <w:color w:val="auto"/>
          <w:sz w:val="24"/>
          <w:szCs w:val="24"/>
        </w:rPr>
        <w:t>投标人（电子签章）：</w:t>
      </w:r>
    </w:p>
    <w:p>
      <w:pPr>
        <w:widowControl w:val="0"/>
        <w:snapToGrid w:val="0"/>
        <w:spacing w:line="360" w:lineRule="auto"/>
        <w:textAlignment w:val="top"/>
        <w:rPr>
          <w:color w:val="auto"/>
          <w:sz w:val="24"/>
          <w:szCs w:val="24"/>
        </w:rPr>
      </w:pPr>
      <w:r>
        <w:rPr>
          <w:rFonts w:hint="eastAsia"/>
          <w:color w:val="auto"/>
          <w:sz w:val="24"/>
          <w:szCs w:val="24"/>
        </w:rPr>
        <w:t>法定代表人（电子签名）：</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日期：</w:t>
      </w:r>
      <w:r>
        <w:rPr>
          <w:rFonts w:hint="eastAsia" w:ascii="宋体" w:hAnsi="宋体" w:cs="楷体_GB2312"/>
          <w:color w:val="auto"/>
          <w:sz w:val="24"/>
          <w:lang w:val="zh-CN"/>
        </w:rPr>
        <w:t>年月日</w:t>
      </w:r>
    </w:p>
    <w:p>
      <w:pPr>
        <w:widowControl w:val="0"/>
        <w:snapToGrid w:val="0"/>
        <w:spacing w:line="360" w:lineRule="auto"/>
        <w:textAlignment w:val="top"/>
        <w:rPr>
          <w:color w:val="auto"/>
          <w:sz w:val="24"/>
          <w:szCs w:val="24"/>
        </w:rPr>
      </w:pPr>
    </w:p>
    <w:p>
      <w:pPr>
        <w:widowControl w:val="0"/>
        <w:snapToGrid w:val="0"/>
        <w:spacing w:line="560" w:lineRule="exact"/>
        <w:jc w:val="center"/>
        <w:rPr>
          <w:rFonts w:eastAsia="方正黑体简体"/>
          <w:b/>
          <w:color w:val="auto"/>
          <w:sz w:val="30"/>
          <w:szCs w:val="30"/>
        </w:rPr>
      </w:pPr>
      <w:r>
        <w:rPr>
          <w:rFonts w:eastAsia="方正黑体简体"/>
          <w:b/>
          <w:color w:val="auto"/>
          <w:sz w:val="30"/>
          <w:szCs w:val="30"/>
        </w:rPr>
        <w:br w:type="page"/>
      </w:r>
    </w:p>
    <w:p>
      <w:pPr>
        <w:widowControl w:val="0"/>
        <w:snapToGrid w:val="0"/>
        <w:spacing w:line="560" w:lineRule="exact"/>
        <w:jc w:val="center"/>
        <w:rPr>
          <w:rFonts w:eastAsia="方正黑体简体"/>
          <w:b/>
          <w:color w:val="auto"/>
          <w:sz w:val="30"/>
          <w:szCs w:val="30"/>
        </w:rPr>
      </w:pPr>
      <w:r>
        <w:rPr>
          <w:rFonts w:eastAsia="方正黑体简体"/>
          <w:b/>
          <w:color w:val="auto"/>
          <w:sz w:val="30"/>
          <w:szCs w:val="30"/>
        </w:rPr>
        <w:t>2</w:t>
      </w:r>
      <w:r>
        <w:rPr>
          <w:rFonts w:hint="eastAsia" w:eastAsia="方正黑体简体"/>
          <w:b/>
          <w:color w:val="auto"/>
          <w:sz w:val="30"/>
          <w:szCs w:val="30"/>
        </w:rPr>
        <w:t>、开标一览表</w:t>
      </w:r>
    </w:p>
    <w:p>
      <w:pPr>
        <w:pStyle w:val="19"/>
        <w:adjustRightInd w:val="0"/>
        <w:snapToGrid w:val="0"/>
        <w:spacing w:before="0" w:beforeAutospacing="0" w:after="0" w:afterAutospacing="0"/>
        <w:rPr>
          <w:color w:val="auto"/>
        </w:rPr>
      </w:pPr>
    </w:p>
    <w:p>
      <w:pPr>
        <w:widowControl w:val="0"/>
        <w:snapToGrid w:val="0"/>
        <w:spacing w:line="560" w:lineRule="exact"/>
        <w:ind w:firstLine="482" w:firstLineChars="200"/>
        <w:jc w:val="left"/>
        <w:rPr>
          <w:b/>
          <w:color w:val="auto"/>
          <w:sz w:val="28"/>
        </w:rPr>
      </w:pPr>
      <w:r>
        <w:rPr>
          <w:rFonts w:hint="eastAsia"/>
          <w:b/>
          <w:color w:val="auto"/>
          <w:sz w:val="24"/>
          <w:szCs w:val="24"/>
        </w:rPr>
        <w:t>注：投标人需在“安阳市政府采购投标文件编制系统”中、按系统要求填列开标一览表，填列的开标一览表为投标人投标文件的一部分。</w:t>
      </w:r>
    </w:p>
    <w:p>
      <w:pPr>
        <w:widowControl w:val="0"/>
        <w:snapToGrid w:val="0"/>
        <w:spacing w:line="560" w:lineRule="exact"/>
        <w:ind w:firstLine="562" w:firstLineChars="200"/>
        <w:jc w:val="left"/>
        <w:rPr>
          <w:b/>
          <w:color w:val="auto"/>
          <w:sz w:val="28"/>
        </w:rPr>
      </w:pPr>
    </w:p>
    <w:p>
      <w:pPr>
        <w:widowControl w:val="0"/>
        <w:snapToGrid w:val="0"/>
        <w:spacing w:line="560" w:lineRule="exact"/>
        <w:jc w:val="center"/>
        <w:rPr>
          <w:rFonts w:eastAsia="方正黑体简体"/>
          <w:b/>
          <w:color w:val="auto"/>
          <w:sz w:val="30"/>
          <w:szCs w:val="30"/>
        </w:rPr>
      </w:pPr>
      <w:r>
        <w:rPr>
          <w:rFonts w:eastAsia="方正黑体简体"/>
          <w:b/>
          <w:color w:val="auto"/>
          <w:sz w:val="30"/>
          <w:szCs w:val="30"/>
        </w:rPr>
        <w:br w:type="page"/>
      </w:r>
    </w:p>
    <w:p>
      <w:pPr>
        <w:widowControl w:val="0"/>
        <w:snapToGrid w:val="0"/>
        <w:spacing w:line="560" w:lineRule="exact"/>
        <w:jc w:val="center"/>
        <w:rPr>
          <w:rFonts w:ascii="黑体" w:hAnsi="黑体" w:eastAsia="黑体"/>
          <w:color w:val="auto"/>
          <w:sz w:val="28"/>
        </w:rPr>
      </w:pPr>
      <w:r>
        <w:rPr>
          <w:rFonts w:ascii="黑体" w:hAnsi="黑体" w:eastAsia="黑体"/>
          <w:b/>
          <w:color w:val="auto"/>
          <w:sz w:val="30"/>
          <w:szCs w:val="30"/>
        </w:rPr>
        <w:t>3</w:t>
      </w:r>
      <w:r>
        <w:rPr>
          <w:rFonts w:hint="eastAsia" w:ascii="黑体" w:hAnsi="黑体" w:eastAsia="黑体"/>
          <w:b/>
          <w:color w:val="auto"/>
          <w:sz w:val="30"/>
          <w:szCs w:val="30"/>
        </w:rPr>
        <w:t>、分项报价</w:t>
      </w:r>
    </w:p>
    <w:p>
      <w:pPr>
        <w:widowControl w:val="0"/>
        <w:snapToGrid w:val="0"/>
        <w:spacing w:line="560" w:lineRule="exact"/>
        <w:jc w:val="left"/>
        <w:rPr>
          <w:color w:val="auto"/>
          <w:sz w:val="28"/>
        </w:rPr>
      </w:pPr>
    </w:p>
    <w:p>
      <w:pPr>
        <w:widowControl w:val="0"/>
        <w:snapToGrid w:val="0"/>
        <w:spacing w:line="560" w:lineRule="exact"/>
        <w:jc w:val="left"/>
        <w:rPr>
          <w:b/>
          <w:color w:val="auto"/>
          <w:sz w:val="24"/>
          <w:szCs w:val="24"/>
        </w:rPr>
      </w:pPr>
    </w:p>
    <w:p>
      <w:pPr>
        <w:widowControl w:val="0"/>
        <w:snapToGrid w:val="0"/>
        <w:spacing w:line="560" w:lineRule="exact"/>
        <w:ind w:firstLine="482" w:firstLineChars="200"/>
        <w:jc w:val="left"/>
        <w:rPr>
          <w:b/>
          <w:color w:val="auto"/>
          <w:sz w:val="28"/>
        </w:rPr>
      </w:pPr>
      <w:r>
        <w:rPr>
          <w:rFonts w:hint="eastAsia"/>
          <w:b/>
          <w:color w:val="auto"/>
          <w:sz w:val="24"/>
          <w:szCs w:val="24"/>
        </w:rPr>
        <w:t>注：投标人需在“安阳市政府采购投标文件编制系统”中、按系统要求填列分项报价，填列的分项报价为投标人投标文件的一部分。</w:t>
      </w:r>
    </w:p>
    <w:p>
      <w:pPr>
        <w:widowControl w:val="0"/>
        <w:snapToGrid w:val="0"/>
        <w:spacing w:line="560" w:lineRule="exact"/>
        <w:ind w:firstLine="562" w:firstLineChars="200"/>
        <w:jc w:val="left"/>
        <w:rPr>
          <w:b/>
          <w:color w:val="auto"/>
          <w:sz w:val="28"/>
        </w:rPr>
      </w:pPr>
    </w:p>
    <w:p>
      <w:pPr>
        <w:spacing w:line="240" w:lineRule="auto"/>
        <w:jc w:val="center"/>
        <w:textAlignment w:val="auto"/>
        <w:rPr>
          <w:rFonts w:eastAsia="方正黑体简体"/>
          <w:b/>
          <w:color w:val="auto"/>
          <w:sz w:val="30"/>
          <w:szCs w:val="30"/>
        </w:rPr>
      </w:pPr>
      <w:r>
        <w:rPr>
          <w:rFonts w:eastAsia="方正黑体简体"/>
          <w:b/>
          <w:color w:val="auto"/>
          <w:sz w:val="30"/>
          <w:szCs w:val="30"/>
        </w:rPr>
        <w:br w:type="page"/>
      </w:r>
    </w:p>
    <w:p>
      <w:pPr>
        <w:widowControl w:val="0"/>
        <w:snapToGrid w:val="0"/>
        <w:spacing w:line="560" w:lineRule="exact"/>
        <w:ind w:firstLine="600" w:firstLineChars="200"/>
        <w:jc w:val="center"/>
        <w:rPr>
          <w:rFonts w:ascii="Adobe 宋体 Std L" w:hAnsi="Adobe 宋体 Std L" w:eastAsia="Adobe 宋体 Std L"/>
          <w:b/>
          <w:color w:val="auto"/>
          <w:sz w:val="30"/>
          <w:szCs w:val="30"/>
        </w:rPr>
      </w:pPr>
      <w:r>
        <w:rPr>
          <w:rFonts w:eastAsia="方正黑体简体"/>
          <w:b/>
          <w:color w:val="auto"/>
          <w:sz w:val="30"/>
          <w:szCs w:val="30"/>
        </w:rPr>
        <w:t>4</w:t>
      </w:r>
      <w:r>
        <w:rPr>
          <w:rFonts w:hint="eastAsia" w:ascii="Adobe 宋体 Std L" w:hAnsi="Adobe 宋体 Std L" w:eastAsia="Adobe 宋体 Std L"/>
          <w:b/>
          <w:color w:val="auto"/>
          <w:sz w:val="30"/>
          <w:szCs w:val="30"/>
        </w:rPr>
        <w:t>、服务方案及服务质量承诺</w:t>
      </w:r>
    </w:p>
    <w:p>
      <w:pPr>
        <w:widowControl w:val="0"/>
        <w:snapToGrid w:val="0"/>
        <w:spacing w:line="560" w:lineRule="exact"/>
        <w:ind w:firstLine="532"/>
        <w:jc w:val="left"/>
        <w:textAlignment w:val="top"/>
        <w:rPr>
          <w:color w:val="auto"/>
        </w:rPr>
      </w:pPr>
      <w:r>
        <w:rPr>
          <w:rFonts w:hint="eastAsia"/>
          <w:color w:val="auto"/>
        </w:rPr>
        <w:t>备注：格式自拟，投标人编写内容须响应招标文件，贴合本项目招标服务内容，由法定代表人电子签名并加盖单位电子签章。</w:t>
      </w:r>
    </w:p>
    <w:p>
      <w:pPr>
        <w:spacing w:line="240" w:lineRule="auto"/>
        <w:rPr>
          <w:color w:val="auto"/>
        </w:rPr>
      </w:pPr>
    </w:p>
    <w:p>
      <w:pPr>
        <w:widowControl w:val="0"/>
        <w:snapToGrid w:val="0"/>
        <w:spacing w:line="560" w:lineRule="exact"/>
        <w:ind w:firstLine="532"/>
        <w:jc w:val="left"/>
        <w:textAlignment w:val="top"/>
        <w:rPr>
          <w:color w:val="auto"/>
        </w:rPr>
      </w:pPr>
    </w:p>
    <w:p>
      <w:pPr>
        <w:autoSpaceDE w:val="0"/>
        <w:autoSpaceDN w:val="0"/>
        <w:adjustRightInd w:val="0"/>
        <w:spacing w:line="360" w:lineRule="auto"/>
        <w:jc w:val="center"/>
        <w:rPr>
          <w:color w:val="auto"/>
          <w:sz w:val="28"/>
        </w:rPr>
      </w:pPr>
    </w:p>
    <w:p>
      <w:pPr>
        <w:autoSpaceDE w:val="0"/>
        <w:autoSpaceDN w:val="0"/>
        <w:adjustRightInd w:val="0"/>
        <w:spacing w:line="360" w:lineRule="auto"/>
        <w:rPr>
          <w:rFonts w:ascii="宋体" w:cs="楷体_GB2312"/>
          <w:color w:val="auto"/>
          <w:sz w:val="24"/>
          <w:lang w:val="zh-CN"/>
        </w:rPr>
      </w:pPr>
      <w:r>
        <w:rPr>
          <w:rFonts w:hint="eastAsia" w:ascii="宋体" w:hAnsi="宋体"/>
          <w:color w:val="auto"/>
          <w:sz w:val="24"/>
        </w:rPr>
        <w:t>投标人</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pPr>
        <w:autoSpaceDE w:val="0"/>
        <w:autoSpaceDN w:val="0"/>
        <w:adjustRightInd w:val="0"/>
        <w:spacing w:line="360" w:lineRule="auto"/>
        <w:ind w:left="-2" w:right="-817" w:firstLine="2"/>
        <w:rPr>
          <w:rFonts w:ascii="宋体" w:cs="楷体_GB2312"/>
          <w:color w:val="auto"/>
          <w:sz w:val="24"/>
          <w:lang w:val="zh-CN"/>
        </w:rPr>
      </w:pPr>
      <w:r>
        <w:rPr>
          <w:rFonts w:hint="eastAsia" w:ascii="宋体" w:hAnsi="宋体" w:cs="楷体_GB2312"/>
          <w:color w:val="auto"/>
          <w:sz w:val="24"/>
          <w:lang w:val="zh-CN"/>
        </w:rPr>
        <w:t>法定代表人</w:t>
      </w:r>
      <w:r>
        <w:rPr>
          <w:rFonts w:hint="eastAsia"/>
          <w:color w:val="auto"/>
          <w:sz w:val="24"/>
          <w:szCs w:val="24"/>
        </w:rPr>
        <w:t>（电子签名）</w:t>
      </w:r>
      <w:r>
        <w:rPr>
          <w:rFonts w:hint="eastAsia" w:ascii="宋体" w:hAnsi="宋体" w:cs="楷体_GB2312"/>
          <w:color w:val="auto"/>
          <w:sz w:val="24"/>
          <w:lang w:val="zh-CN"/>
        </w:rPr>
        <w:t>：</w:t>
      </w:r>
    </w:p>
    <w:p>
      <w:pPr>
        <w:widowControl w:val="0"/>
        <w:tabs>
          <w:tab w:val="left" w:pos="9365"/>
        </w:tabs>
        <w:snapToGrid w:val="0"/>
        <w:spacing w:after="56" w:line="560" w:lineRule="exact"/>
        <w:ind w:right="56"/>
        <w:jc w:val="left"/>
        <w:textAlignment w:val="top"/>
        <w:rPr>
          <w:color w:val="auto"/>
        </w:rPr>
      </w:pPr>
      <w:r>
        <w:rPr>
          <w:rFonts w:hint="eastAsia" w:ascii="宋体" w:hAnsi="宋体" w:cs="楷体_GB2312"/>
          <w:color w:val="auto"/>
          <w:sz w:val="24"/>
          <w:lang w:val="zh-CN"/>
        </w:rPr>
        <w:t>日期：年月日</w:t>
      </w:r>
    </w:p>
    <w:p>
      <w:pPr>
        <w:widowControl w:val="0"/>
        <w:snapToGrid w:val="0"/>
        <w:spacing w:line="560" w:lineRule="exact"/>
        <w:jc w:val="left"/>
        <w:textAlignment w:val="top"/>
        <w:rPr>
          <w:color w:val="auto"/>
        </w:rPr>
      </w:pPr>
      <w:r>
        <w:rPr>
          <w:rFonts w:eastAsia="方正黑体简体"/>
          <w:b/>
          <w:color w:val="auto"/>
          <w:sz w:val="30"/>
          <w:szCs w:val="30"/>
        </w:rPr>
        <w:br w:type="page"/>
      </w:r>
    </w:p>
    <w:p>
      <w:pPr>
        <w:jc w:val="center"/>
        <w:rPr>
          <w:rFonts w:ascii="黑体" w:hAnsi="黑体" w:eastAsia="黑体"/>
          <w:b/>
          <w:color w:val="auto"/>
          <w:sz w:val="30"/>
          <w:szCs w:val="30"/>
        </w:rPr>
      </w:pPr>
      <w:r>
        <w:rPr>
          <w:rFonts w:hint="eastAsia" w:ascii="黑体" w:hAnsi="黑体" w:eastAsia="黑体"/>
          <w:b/>
          <w:color w:val="auto"/>
          <w:sz w:val="30"/>
          <w:szCs w:val="30"/>
          <w:lang w:val="en-US" w:eastAsia="zh-CN"/>
        </w:rPr>
        <w:t>5</w:t>
      </w:r>
      <w:r>
        <w:rPr>
          <w:rFonts w:hint="eastAsia" w:ascii="黑体" w:hAnsi="黑体" w:eastAsia="黑体"/>
          <w:b/>
          <w:color w:val="auto"/>
          <w:sz w:val="30"/>
          <w:szCs w:val="30"/>
        </w:rPr>
        <w:t>、服务拟投入的人员</w:t>
      </w:r>
    </w:p>
    <w:p>
      <w:pPr>
        <w:widowControl w:val="0"/>
        <w:snapToGrid w:val="0"/>
        <w:spacing w:line="560" w:lineRule="exact"/>
        <w:jc w:val="center"/>
        <w:rPr>
          <w:color w:val="auto"/>
        </w:rPr>
      </w:pPr>
      <w:r>
        <w:rPr>
          <w:rFonts w:hint="eastAsia"/>
          <w:color w:val="auto"/>
        </w:rPr>
        <w:t>格式自拟</w:t>
      </w:r>
    </w:p>
    <w:p>
      <w:pPr>
        <w:tabs>
          <w:tab w:val="left" w:pos="0"/>
        </w:tabs>
        <w:adjustRightInd w:val="0"/>
        <w:snapToGrid w:val="0"/>
        <w:spacing w:beforeLines="50" w:line="300" w:lineRule="auto"/>
        <w:ind w:right="510"/>
        <w:rPr>
          <w:rFonts w:ascii="宋体"/>
          <w:color w:val="auto"/>
          <w:spacing w:val="8"/>
          <w:szCs w:val="21"/>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p>
    <w:p>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hint="eastAsia" w:ascii="宋体" w:hAnsi="宋体" w:cs="楷体_GB2312"/>
          <w:color w:val="auto"/>
          <w:sz w:val="24"/>
          <w:lang w:val="zh-CN"/>
        </w:rPr>
        <w:t>年月日</w:t>
      </w: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rPr>
          <w:rFonts w:ascii="黑体" w:hAnsi="黑体" w:eastAsia="黑体"/>
          <w:b/>
          <w:color w:val="auto"/>
          <w:sz w:val="30"/>
          <w:szCs w:val="30"/>
        </w:rPr>
      </w:pPr>
      <w:r>
        <w:rPr>
          <w:rFonts w:ascii="黑体" w:hAnsi="黑体" w:eastAsia="黑体"/>
          <w:b/>
          <w:color w:val="auto"/>
          <w:sz w:val="30"/>
          <w:szCs w:val="30"/>
        </w:rPr>
        <w:br w:type="page"/>
      </w:r>
    </w:p>
    <w:p>
      <w:pPr>
        <w:autoSpaceDE w:val="0"/>
        <w:autoSpaceDN w:val="0"/>
        <w:adjustRightInd w:val="0"/>
        <w:spacing w:line="360" w:lineRule="auto"/>
        <w:jc w:val="center"/>
        <w:rPr>
          <w:rFonts w:ascii="黑体" w:hAnsi="黑体" w:eastAsia="黑体"/>
          <w:b/>
          <w:color w:val="auto"/>
          <w:sz w:val="30"/>
          <w:szCs w:val="30"/>
        </w:rPr>
      </w:pPr>
      <w:r>
        <w:rPr>
          <w:rFonts w:hint="eastAsia" w:ascii="黑体" w:hAnsi="黑体" w:eastAsia="黑体"/>
          <w:b/>
          <w:color w:val="auto"/>
          <w:sz w:val="30"/>
          <w:szCs w:val="30"/>
          <w:lang w:val="en-US" w:eastAsia="zh-CN"/>
        </w:rPr>
        <w:t>6</w:t>
      </w:r>
      <w:r>
        <w:rPr>
          <w:rFonts w:hint="eastAsia" w:ascii="黑体" w:hAnsi="黑体" w:eastAsia="黑体"/>
          <w:b/>
          <w:color w:val="auto"/>
          <w:sz w:val="30"/>
          <w:szCs w:val="30"/>
        </w:rPr>
        <w:t>、偏差表</w:t>
      </w:r>
    </w:p>
    <w:p>
      <w:pPr>
        <w:pStyle w:val="19"/>
        <w:adjustRightInd w:val="0"/>
        <w:snapToGrid w:val="0"/>
        <w:spacing w:before="0" w:beforeAutospacing="0" w:after="0" w:afterAutospacing="0"/>
        <w:rPr>
          <w:color w:val="auto"/>
          <w:u w:val="single"/>
        </w:rPr>
      </w:pPr>
      <w:r>
        <w:rPr>
          <w:rFonts w:hint="eastAsia"/>
          <w:color w:val="auto"/>
        </w:rPr>
        <w:t>项目名称：</w:t>
      </w:r>
    </w:p>
    <w:p>
      <w:pPr>
        <w:pStyle w:val="19"/>
        <w:adjustRightInd w:val="0"/>
        <w:snapToGrid w:val="0"/>
        <w:spacing w:before="0" w:beforeAutospacing="0" w:after="0" w:afterAutospacing="0"/>
        <w:rPr>
          <w:color w:val="auto"/>
        </w:rPr>
      </w:pPr>
      <w:r>
        <w:rPr>
          <w:rFonts w:hint="eastAsia"/>
          <w:color w:val="auto"/>
        </w:rPr>
        <w:t>招标编号：</w:t>
      </w:r>
    </w:p>
    <w:tbl>
      <w:tblPr>
        <w:tblStyle w:val="2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序号</w:t>
            </w:r>
          </w:p>
        </w:tc>
        <w:tc>
          <w:tcPr>
            <w:tcW w:w="3098"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招标文件要求</w:t>
            </w:r>
          </w:p>
        </w:tc>
        <w:tc>
          <w:tcPr>
            <w:tcW w:w="294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投标文件响应</w:t>
            </w:r>
          </w:p>
        </w:tc>
        <w:tc>
          <w:tcPr>
            <w:tcW w:w="2638"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rPr>
            </w:pPr>
            <w:r>
              <w:rPr>
                <w:rFonts w:hint="eastAsia"/>
                <w:b/>
                <w:color w:val="auto"/>
              </w:rPr>
              <w:t>偏差描述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1</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2</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3</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4</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5</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6</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7</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8</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9</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pPr>
              <w:spacing w:line="560" w:lineRule="exact"/>
              <w:jc w:val="center"/>
              <w:rPr>
                <w:color w:val="auto"/>
                <w:sz w:val="28"/>
              </w:rPr>
            </w:pPr>
            <w:r>
              <w:rPr>
                <w:color w:val="auto"/>
              </w:rPr>
              <w:t>......</w:t>
            </w:r>
          </w:p>
        </w:tc>
        <w:tc>
          <w:tcPr>
            <w:tcW w:w="3098" w:type="dxa"/>
            <w:tcBorders>
              <w:bottom w:val="single" w:color="000000" w:sz="8" w:space="0"/>
              <w:right w:val="single" w:color="000000" w:sz="4" w:space="0"/>
            </w:tcBorders>
            <w:vAlign w:val="center"/>
          </w:tcPr>
          <w:p>
            <w:pPr>
              <w:spacing w:line="560" w:lineRule="exact"/>
              <w:jc w:val="center"/>
              <w:rPr>
                <w:color w:val="auto"/>
                <w:sz w:val="28"/>
              </w:rPr>
            </w:pPr>
          </w:p>
        </w:tc>
        <w:tc>
          <w:tcPr>
            <w:tcW w:w="2947" w:type="dxa"/>
            <w:tcBorders>
              <w:bottom w:val="single" w:color="000000" w:sz="8" w:space="0"/>
              <w:right w:val="single" w:color="000000" w:sz="4" w:space="0"/>
            </w:tcBorders>
            <w:vAlign w:val="center"/>
          </w:tcPr>
          <w:p>
            <w:pPr>
              <w:spacing w:line="560" w:lineRule="exact"/>
              <w:jc w:val="center"/>
              <w:rPr>
                <w:color w:val="auto"/>
                <w:sz w:val="28"/>
              </w:rPr>
            </w:pPr>
          </w:p>
        </w:tc>
        <w:tc>
          <w:tcPr>
            <w:tcW w:w="2638" w:type="dxa"/>
            <w:tcBorders>
              <w:bottom w:val="single" w:color="000000" w:sz="8" w:space="0"/>
              <w:right w:val="single" w:color="000000" w:sz="8" w:space="0"/>
            </w:tcBorders>
            <w:vAlign w:val="center"/>
          </w:tcPr>
          <w:p>
            <w:pPr>
              <w:spacing w:line="560" w:lineRule="exact"/>
              <w:jc w:val="center"/>
              <w:rPr>
                <w:color w:val="auto"/>
                <w:sz w:val="28"/>
              </w:rPr>
            </w:pPr>
          </w:p>
        </w:tc>
      </w:tr>
    </w:tbl>
    <w:p>
      <w:pPr>
        <w:tabs>
          <w:tab w:val="left" w:pos="0"/>
        </w:tabs>
        <w:adjustRightInd w:val="0"/>
        <w:snapToGrid w:val="0"/>
        <w:spacing w:beforeLines="50" w:line="300" w:lineRule="auto"/>
        <w:ind w:right="25" w:firstLine="452" w:firstLineChars="200"/>
        <w:rPr>
          <w:rFonts w:ascii="宋体"/>
          <w:color w:val="auto"/>
          <w:spacing w:val="8"/>
          <w:szCs w:val="21"/>
        </w:rPr>
      </w:pPr>
      <w:r>
        <w:rPr>
          <w:rFonts w:hint="eastAsia" w:ascii="宋体" w:hAnsi="宋体"/>
          <w:color w:val="auto"/>
          <w:spacing w:val="8"/>
          <w:szCs w:val="21"/>
        </w:rPr>
        <w:t>注：</w:t>
      </w:r>
      <w:r>
        <w:rPr>
          <w:rFonts w:ascii="宋体" w:hAnsi="宋体"/>
          <w:color w:val="auto"/>
          <w:spacing w:val="8"/>
          <w:szCs w:val="21"/>
        </w:rPr>
        <w:t>1</w:t>
      </w:r>
      <w:r>
        <w:rPr>
          <w:rFonts w:hint="eastAsia" w:ascii="宋体" w:hAnsi="宋体"/>
          <w:color w:val="auto"/>
          <w:spacing w:val="8"/>
          <w:szCs w:val="21"/>
        </w:rPr>
        <w:t>、“偏差表”应详细注明与《招标文件》中各项要求有何不同，并说明其符合性（优于、或低于《招标文件》要求）。</w:t>
      </w:r>
    </w:p>
    <w:p>
      <w:pPr>
        <w:tabs>
          <w:tab w:val="left" w:pos="0"/>
        </w:tabs>
        <w:adjustRightInd w:val="0"/>
        <w:snapToGrid w:val="0"/>
        <w:spacing w:beforeLines="50" w:line="300" w:lineRule="auto"/>
        <w:ind w:right="25" w:firstLine="452" w:firstLineChars="200"/>
        <w:rPr>
          <w:rFonts w:ascii="宋体"/>
          <w:color w:val="auto"/>
          <w:spacing w:val="8"/>
          <w:szCs w:val="21"/>
        </w:rPr>
      </w:pPr>
      <w:r>
        <w:rPr>
          <w:rFonts w:ascii="宋体" w:hAnsi="宋体"/>
          <w:color w:val="auto"/>
          <w:spacing w:val="8"/>
          <w:szCs w:val="21"/>
        </w:rPr>
        <w:t>2</w:t>
      </w:r>
      <w:r>
        <w:rPr>
          <w:rFonts w:hint="eastAsia" w:ascii="宋体" w:hAnsi="宋体"/>
          <w:color w:val="auto"/>
          <w:spacing w:val="8"/>
          <w:szCs w:val="21"/>
        </w:rPr>
        <w:t>、如投标条款与《招标文件》其他要求一致，仍需在本表填列“与《招标文件》所有条款要求一致，无偏差”字样。</w:t>
      </w: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p>
    <w:p>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hint="eastAsia" w:ascii="宋体" w:hAnsi="宋体" w:cs="楷体_GB2312"/>
          <w:color w:val="auto"/>
          <w:sz w:val="24"/>
          <w:lang w:val="zh-CN"/>
        </w:rPr>
        <w:t>年月日</w:t>
      </w:r>
    </w:p>
    <w:p>
      <w:pPr>
        <w:pageBreakBefore/>
        <w:tabs>
          <w:tab w:val="left" w:pos="65"/>
        </w:tabs>
        <w:spacing w:afterLines="50" w:line="560" w:lineRule="exact"/>
        <w:ind w:firstLine="2108" w:firstLineChars="700"/>
        <w:jc w:val="both"/>
        <w:rPr>
          <w:rFonts w:ascii="黑体" w:hAnsi="黑体" w:eastAsia="黑体"/>
          <w:b/>
          <w:color w:val="auto"/>
          <w:sz w:val="30"/>
          <w:szCs w:val="30"/>
        </w:rPr>
      </w:pPr>
      <w:r>
        <w:rPr>
          <w:rFonts w:hint="eastAsia" w:ascii="黑体" w:hAnsi="黑体" w:eastAsia="黑体"/>
          <w:b/>
          <w:color w:val="auto"/>
          <w:sz w:val="30"/>
          <w:szCs w:val="30"/>
          <w:lang w:val="en-US" w:eastAsia="zh-CN"/>
        </w:rPr>
        <w:t>7</w:t>
      </w:r>
      <w:r>
        <w:rPr>
          <w:rFonts w:hint="eastAsia" w:ascii="黑体" w:hAnsi="黑体" w:eastAsia="黑体"/>
          <w:b/>
          <w:color w:val="auto"/>
          <w:sz w:val="30"/>
          <w:szCs w:val="30"/>
        </w:rPr>
        <w:t>、反商业贿赂承诺书</w:t>
      </w:r>
    </w:p>
    <w:p>
      <w:pPr>
        <w:tabs>
          <w:tab w:val="left" w:pos="65"/>
        </w:tabs>
        <w:spacing w:line="560" w:lineRule="exact"/>
        <w:jc w:val="center"/>
        <w:rPr>
          <w:rFonts w:ascii="宋体"/>
          <w:b/>
          <w:color w:val="auto"/>
          <w:sz w:val="24"/>
          <w:szCs w:val="24"/>
        </w:rPr>
      </w:pPr>
    </w:p>
    <w:p>
      <w:pPr>
        <w:tabs>
          <w:tab w:val="left" w:pos="65"/>
        </w:tabs>
        <w:spacing w:line="740" w:lineRule="exact"/>
        <w:rPr>
          <w:rFonts w:ascii="宋体"/>
          <w:color w:val="auto"/>
          <w:sz w:val="24"/>
          <w:szCs w:val="24"/>
        </w:rPr>
      </w:pPr>
      <w:r>
        <w:rPr>
          <w:rFonts w:hint="eastAsia" w:ascii="宋体" w:hAnsi="宋体"/>
          <w:color w:val="auto"/>
          <w:sz w:val="24"/>
          <w:szCs w:val="24"/>
        </w:rPr>
        <w:t>致：</w:t>
      </w:r>
      <w:r>
        <w:rPr>
          <w:rFonts w:ascii="宋体" w:hAnsi="宋体"/>
          <w:color w:val="auto"/>
          <w:spacing w:val="11"/>
          <w:sz w:val="24"/>
          <w:szCs w:val="24"/>
          <w:u w:val="single"/>
        </w:rPr>
        <w:t>(</w:t>
      </w:r>
      <w:r>
        <w:rPr>
          <w:rFonts w:hint="eastAsia" w:ascii="宋体" w:hAnsi="宋体"/>
          <w:color w:val="auto"/>
          <w:spacing w:val="11"/>
          <w:sz w:val="24"/>
          <w:szCs w:val="24"/>
          <w:u w:val="single"/>
        </w:rPr>
        <w:t>采购人名称）</w:t>
      </w:r>
      <w:r>
        <w:rPr>
          <w:rFonts w:ascii="宋体" w:hAnsi="宋体"/>
          <w:color w:val="auto"/>
          <w:spacing w:val="11"/>
          <w:sz w:val="24"/>
          <w:szCs w:val="24"/>
          <w:u w:val="single"/>
        </w:rPr>
        <w:t xml:space="preserve">    </w:t>
      </w:r>
    </w:p>
    <w:p>
      <w:pPr>
        <w:tabs>
          <w:tab w:val="left" w:pos="65"/>
        </w:tabs>
        <w:spacing w:line="740" w:lineRule="exact"/>
        <w:ind w:firstLine="480" w:firstLineChars="200"/>
        <w:rPr>
          <w:rFonts w:ascii="宋体"/>
          <w:color w:val="auto"/>
          <w:sz w:val="24"/>
          <w:szCs w:val="24"/>
        </w:rPr>
      </w:pPr>
      <w:r>
        <w:rPr>
          <w:rFonts w:hint="eastAsia" w:ascii="宋体" w:hAnsi="宋体"/>
          <w:color w:val="auto"/>
          <w:sz w:val="24"/>
          <w:szCs w:val="24"/>
        </w:rPr>
        <w:t>在招标编号为</w:t>
      </w:r>
      <w:r>
        <w:rPr>
          <w:rFonts w:ascii="宋体" w:hAnsi="宋体"/>
          <w:color w:val="auto"/>
          <w:sz w:val="24"/>
          <w:szCs w:val="24"/>
        </w:rPr>
        <w:t xml:space="preserve"> </w:t>
      </w:r>
      <w:r>
        <w:rPr>
          <w:rFonts w:hint="eastAsia" w:ascii="宋体" w:hAnsi="宋体"/>
          <w:color w:val="auto"/>
          <w:sz w:val="24"/>
          <w:szCs w:val="24"/>
        </w:rPr>
        <w:t>的</w:t>
      </w:r>
      <w:r>
        <w:rPr>
          <w:rFonts w:ascii="宋体" w:hAnsi="宋体"/>
          <w:color w:val="auto"/>
          <w:sz w:val="24"/>
          <w:szCs w:val="24"/>
          <w:u w:val="single"/>
        </w:rPr>
        <w:t xml:space="preserve">    </w:t>
      </w:r>
      <w:r>
        <w:rPr>
          <w:rFonts w:hint="eastAsia" w:ascii="宋体" w:hAnsi="宋体"/>
          <w:color w:val="auto"/>
          <w:sz w:val="24"/>
          <w:szCs w:val="24"/>
          <w:u w:val="single"/>
        </w:rPr>
        <w:t>（项目名称）</w:t>
      </w:r>
      <w:r>
        <w:rPr>
          <w:rFonts w:ascii="宋体" w:hAnsi="宋体"/>
          <w:color w:val="auto"/>
          <w:sz w:val="24"/>
          <w:szCs w:val="24"/>
        </w:rPr>
        <w:t xml:space="preserve"> </w:t>
      </w:r>
      <w:r>
        <w:rPr>
          <w:rFonts w:hint="eastAsia" w:ascii="宋体" w:hAnsi="宋体"/>
          <w:color w:val="auto"/>
          <w:sz w:val="24"/>
          <w:szCs w:val="24"/>
        </w:rPr>
        <w:t>招标活动中，我公司保证做到：</w:t>
      </w:r>
    </w:p>
    <w:p>
      <w:pPr>
        <w:tabs>
          <w:tab w:val="left" w:pos="65"/>
        </w:tabs>
        <w:spacing w:line="740" w:lineRule="exact"/>
        <w:ind w:firstLine="480" w:firstLineChars="200"/>
        <w:rPr>
          <w:rFonts w:ascii="宋体"/>
          <w:color w:val="auto"/>
          <w:sz w:val="24"/>
          <w:szCs w:val="24"/>
        </w:rPr>
      </w:pPr>
      <w:r>
        <w:rPr>
          <w:rFonts w:hint="eastAsia" w:ascii="宋体" w:hAnsi="宋体"/>
          <w:color w:val="auto"/>
          <w:sz w:val="24"/>
          <w:szCs w:val="24"/>
        </w:rPr>
        <w:t>一、公平竞争参加本次招标活动。</w:t>
      </w:r>
    </w:p>
    <w:p>
      <w:pPr>
        <w:tabs>
          <w:tab w:val="left" w:pos="65"/>
        </w:tabs>
        <w:spacing w:line="740" w:lineRule="exact"/>
        <w:ind w:firstLine="480" w:firstLineChars="200"/>
        <w:rPr>
          <w:rFonts w:ascii="宋体"/>
          <w:color w:val="auto"/>
          <w:sz w:val="24"/>
          <w:szCs w:val="24"/>
        </w:rPr>
      </w:pPr>
      <w:r>
        <w:rPr>
          <w:rFonts w:hint="eastAsia" w:ascii="宋体" w:hAnsi="宋体"/>
          <w:color w:val="auto"/>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tabs>
          <w:tab w:val="left" w:pos="65"/>
        </w:tabs>
        <w:spacing w:line="740" w:lineRule="exact"/>
        <w:ind w:firstLine="480" w:firstLineChars="200"/>
        <w:rPr>
          <w:rFonts w:ascii="宋体"/>
          <w:color w:val="auto"/>
          <w:sz w:val="24"/>
          <w:szCs w:val="24"/>
        </w:rPr>
      </w:pPr>
      <w:r>
        <w:rPr>
          <w:rFonts w:hint="eastAsia" w:ascii="宋体" w:hAnsi="宋体"/>
          <w:color w:val="auto"/>
          <w:sz w:val="24"/>
          <w:szCs w:val="24"/>
        </w:rPr>
        <w:t>三、若出现上述行为，我单位愿意接受相关部门按照国家法律法规等有关规定给予的处理。</w:t>
      </w:r>
    </w:p>
    <w:p>
      <w:pPr>
        <w:tabs>
          <w:tab w:val="left" w:pos="65"/>
        </w:tabs>
        <w:spacing w:line="740" w:lineRule="exact"/>
        <w:rPr>
          <w:rFonts w:ascii="宋体"/>
          <w:color w:val="auto"/>
          <w:sz w:val="24"/>
          <w:szCs w:val="24"/>
        </w:rPr>
      </w:pPr>
    </w:p>
    <w:p>
      <w:pPr>
        <w:tabs>
          <w:tab w:val="left" w:pos="65"/>
        </w:tabs>
        <w:spacing w:line="740" w:lineRule="exact"/>
        <w:rPr>
          <w:rFonts w:ascii="宋体"/>
          <w:color w:val="auto"/>
          <w:sz w:val="24"/>
          <w:szCs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投标人（电子签章）：</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日期：年月日</w:t>
      </w:r>
    </w:p>
    <w:p>
      <w:pPr>
        <w:tabs>
          <w:tab w:val="left" w:pos="9365"/>
        </w:tabs>
        <w:spacing w:before="360" w:after="360" w:line="586" w:lineRule="atLeast"/>
        <w:ind w:right="85"/>
        <w:jc w:val="left"/>
        <w:textAlignment w:val="top"/>
        <w:rPr>
          <w:rFonts w:ascii="宋体"/>
          <w:color w:val="auto"/>
          <w:sz w:val="24"/>
          <w:szCs w:val="24"/>
        </w:rPr>
      </w:pPr>
    </w:p>
    <w:p>
      <w:pPr>
        <w:snapToGrid w:val="0"/>
        <w:spacing w:line="560" w:lineRule="exact"/>
        <w:rPr>
          <w:rFonts w:ascii="宋体"/>
          <w:color w:val="auto"/>
          <w:sz w:val="24"/>
        </w:rPr>
      </w:pPr>
      <w:r>
        <w:rPr>
          <w:rFonts w:ascii="宋体"/>
          <w:color w:val="auto"/>
          <w:sz w:val="24"/>
        </w:rPr>
        <w:br w:type="page"/>
      </w:r>
    </w:p>
    <w:p>
      <w:pPr>
        <w:tabs>
          <w:tab w:val="left" w:pos="540"/>
        </w:tabs>
        <w:spacing w:line="440" w:lineRule="exact"/>
        <w:jc w:val="center"/>
        <w:rPr>
          <w:color w:val="auto"/>
          <w:sz w:val="28"/>
        </w:rPr>
      </w:pPr>
      <w:r>
        <w:rPr>
          <w:rFonts w:hint="eastAsia" w:ascii="黑体" w:hAnsi="黑体" w:eastAsia="黑体"/>
          <w:b/>
          <w:color w:val="auto"/>
          <w:sz w:val="30"/>
          <w:szCs w:val="30"/>
          <w:lang w:val="en-US" w:eastAsia="zh-CN"/>
        </w:rPr>
        <w:t>8</w:t>
      </w:r>
      <w:r>
        <w:rPr>
          <w:rFonts w:hint="eastAsia" w:ascii="黑体" w:hAnsi="黑体" w:eastAsia="黑体"/>
          <w:b/>
          <w:color w:val="auto"/>
          <w:sz w:val="30"/>
          <w:szCs w:val="30"/>
        </w:rPr>
        <w:t>、履约承诺书</w:t>
      </w:r>
    </w:p>
    <w:p>
      <w:pPr>
        <w:adjustRightInd w:val="0"/>
        <w:snapToGrid w:val="0"/>
        <w:spacing w:beforeLines="50" w:line="300" w:lineRule="auto"/>
        <w:ind w:right="56" w:firstLine="555"/>
        <w:rPr>
          <w:color w:val="auto"/>
          <w:sz w:val="24"/>
        </w:rPr>
      </w:pPr>
      <w:r>
        <w:rPr>
          <w:rFonts w:hint="eastAsia"/>
          <w:color w:val="auto"/>
          <w:sz w:val="24"/>
        </w:rPr>
        <w:t>一、我单位承诺：</w:t>
      </w:r>
    </w:p>
    <w:p>
      <w:pPr>
        <w:adjustRightInd w:val="0"/>
        <w:snapToGrid w:val="0"/>
        <w:spacing w:beforeLines="50" w:line="300" w:lineRule="auto"/>
        <w:ind w:firstLine="555"/>
        <w:rPr>
          <w:color w:val="auto"/>
          <w:sz w:val="24"/>
        </w:rPr>
      </w:pPr>
      <w:r>
        <w:rPr>
          <w:rFonts w:hint="eastAsia"/>
          <w:color w:val="auto"/>
          <w:sz w:val="24"/>
        </w:rPr>
        <w:t>（一）我单位已详细阅读并完全理解、同意招标文件的全部内容，包括修改补充文件以及全部参考资料和有关附件；除我单位在招标文件规定期间内书面提出的疑问外，我单位放弃对这方面不明及误解的权力，并严格按采购人确定的技术及商务要求等履行。</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二）我单位开标前已详细勘察现场，并按采购人现场条件及采购要求编制投标报价；我单位的投标报价括包括文件所述报价组成的所有内容、并包括招标文件未列明而与采购项目相关的、必须的所有款项及费用等达到交付使用及验收条件的所有一切风险、责任和义务的费用。</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我单位确认本次投标报价未低于成本价，保证按招标文件要求及投标承诺的质量诚信履约。</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三）我单位保证在招标文件要求的时间内按期、保质完成中标项目。我单位在推荐中标结果公示后，将积极、主动的与采购人联系合同签订事宜，合同签订中如有任何的问题，我单位保证及时书面反映情况，否则视为我单位责任、按违约处理。</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二、我单位承诺：</w:t>
      </w:r>
    </w:p>
    <w:p>
      <w:pPr>
        <w:tabs>
          <w:tab w:val="left" w:pos="9354"/>
        </w:tabs>
        <w:adjustRightInd w:val="0"/>
        <w:snapToGrid w:val="0"/>
        <w:spacing w:beforeLines="50" w:line="300" w:lineRule="auto"/>
        <w:ind w:firstLine="480" w:firstLineChars="200"/>
        <w:rPr>
          <w:color w:val="auto"/>
          <w:sz w:val="24"/>
        </w:rPr>
      </w:pPr>
      <w:r>
        <w:rPr>
          <w:rFonts w:hint="eastAsia"/>
          <w:color w:val="auto"/>
          <w:sz w:val="24"/>
        </w:rPr>
        <w:t>除法律规定的不可抗力因素外，我单位中标后以任何理由（包括违背上述承诺的事项）提出不能满足招标文件技术、交付（实施）期等要求或不能实现投标承诺的或提出变更的，我单位将无条件接受违约处理、并放弃我单位中标资格。我单位知悉违约责任及其处理，并无条件接受：情节严重的，由财政部门列入不良行为记录名单，在一至三年内禁止参加政府采购活动，并予以通报，处以罚金，给采购人及他人造成损失的，承担相应的赔偿责任。</w:t>
      </w:r>
    </w:p>
    <w:p>
      <w:pPr>
        <w:tabs>
          <w:tab w:val="left" w:pos="9354"/>
        </w:tabs>
        <w:adjustRightInd w:val="0"/>
        <w:snapToGrid w:val="0"/>
        <w:spacing w:beforeLines="50" w:line="300" w:lineRule="auto"/>
        <w:ind w:firstLine="480" w:firstLineChars="200"/>
        <w:rPr>
          <w:color w:val="auto"/>
          <w:sz w:val="24"/>
        </w:rPr>
      </w:pPr>
    </w:p>
    <w:p>
      <w:pPr>
        <w:tabs>
          <w:tab w:val="left" w:pos="9354"/>
        </w:tabs>
        <w:adjustRightInd w:val="0"/>
        <w:snapToGrid w:val="0"/>
        <w:spacing w:beforeLines="50" w:line="300" w:lineRule="auto"/>
        <w:ind w:firstLine="480" w:firstLineChars="200"/>
        <w:rPr>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p>
    <w:p>
      <w:pPr>
        <w:tabs>
          <w:tab w:val="left" w:pos="0"/>
        </w:tabs>
        <w:spacing w:line="500" w:lineRule="exact"/>
        <w:ind w:right="256"/>
        <w:jc w:val="right"/>
        <w:rPr>
          <w:rFonts w:ascii="宋体"/>
          <w:color w:val="auto"/>
          <w:spacing w:val="8"/>
          <w:sz w:val="24"/>
        </w:rPr>
      </w:pPr>
    </w:p>
    <w:p>
      <w:pPr>
        <w:autoSpaceDE w:val="0"/>
        <w:autoSpaceDN w:val="0"/>
        <w:adjustRightInd w:val="0"/>
        <w:spacing w:line="360" w:lineRule="auto"/>
        <w:jc w:val="left"/>
        <w:rPr>
          <w:rFonts w:eastAsia="方正黑体简体"/>
          <w:b/>
          <w:color w:val="auto"/>
          <w:sz w:val="30"/>
          <w:szCs w:val="30"/>
        </w:rPr>
      </w:pPr>
      <w:r>
        <w:rPr>
          <w:rFonts w:hint="eastAsia" w:ascii="宋体" w:hAnsi="宋体"/>
          <w:color w:val="auto"/>
          <w:spacing w:val="8"/>
          <w:sz w:val="24"/>
        </w:rPr>
        <w:t>日期：</w:t>
      </w:r>
      <w:r>
        <w:rPr>
          <w:rFonts w:hint="eastAsia" w:ascii="宋体" w:hAnsi="宋体" w:cs="楷体_GB2312"/>
          <w:color w:val="auto"/>
          <w:sz w:val="24"/>
          <w:lang w:val="zh-CN"/>
        </w:rPr>
        <w:t>年月日</w:t>
      </w:r>
    </w:p>
    <w:p>
      <w:pPr>
        <w:spacing w:line="240" w:lineRule="auto"/>
        <w:jc w:val="left"/>
        <w:textAlignment w:val="auto"/>
        <w:rPr>
          <w:rFonts w:ascii="宋体"/>
          <w:color w:val="auto"/>
          <w:sz w:val="24"/>
          <w:szCs w:val="24"/>
        </w:rPr>
      </w:pPr>
      <w:r>
        <w:rPr>
          <w:rFonts w:eastAsia="方正黑体简体"/>
          <w:b/>
          <w:color w:val="auto"/>
          <w:sz w:val="30"/>
          <w:szCs w:val="30"/>
        </w:rPr>
        <w:br w:type="page"/>
      </w: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lang w:val="en-US" w:eastAsia="zh-CN"/>
        </w:rPr>
        <w:t>9</w:t>
      </w:r>
      <w:r>
        <w:rPr>
          <w:rFonts w:hint="eastAsia" w:ascii="黑体" w:hAnsi="黑体" w:eastAsia="黑体"/>
          <w:b/>
          <w:color w:val="auto"/>
          <w:sz w:val="30"/>
          <w:szCs w:val="30"/>
        </w:rPr>
        <w:t>、招标项目要求及采购需求所需的其他材料</w:t>
      </w:r>
    </w:p>
    <w:p>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。条款中对</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未作明确要求的，由法定代表人</w:t>
      </w:r>
      <w:r>
        <w:rPr>
          <w:rFonts w:hint="eastAsia" w:ascii="宋体" w:hAnsi="宋体" w:cs="楷体_GB2312"/>
          <w:color w:val="auto"/>
          <w:sz w:val="24"/>
          <w:lang w:val="zh-CN"/>
        </w:rPr>
        <w:t>电子签名</w:t>
      </w:r>
      <w:r>
        <w:rPr>
          <w:rFonts w:hint="eastAsia" w:ascii="宋体" w:hAnsi="宋体"/>
          <w:color w:val="auto"/>
          <w:sz w:val="24"/>
          <w:szCs w:val="24"/>
        </w:rPr>
        <w:t>或投标人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ascii="黑体" w:hAnsi="黑体" w:eastAsia="黑体"/>
          <w:b/>
          <w:color w:val="auto"/>
          <w:sz w:val="30"/>
          <w:szCs w:val="30"/>
        </w:rPr>
        <w:t>1</w:t>
      </w:r>
      <w:r>
        <w:rPr>
          <w:rFonts w:hint="eastAsia" w:ascii="黑体" w:hAnsi="黑体" w:eastAsia="黑体"/>
          <w:b/>
          <w:color w:val="auto"/>
          <w:sz w:val="30"/>
          <w:szCs w:val="30"/>
          <w:lang w:val="en-US" w:eastAsia="zh-CN"/>
        </w:rPr>
        <w:t>0</w:t>
      </w:r>
      <w:r>
        <w:rPr>
          <w:rFonts w:hint="eastAsia" w:ascii="黑体" w:hAnsi="黑体" w:eastAsia="黑体"/>
          <w:b/>
          <w:color w:val="auto"/>
          <w:sz w:val="30"/>
          <w:szCs w:val="30"/>
        </w:rPr>
        <w:t>、投标人须知所需的其他材料</w:t>
      </w:r>
    </w:p>
    <w:p>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。条款中对</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未作明确要求的，由法定代表人</w:t>
      </w:r>
      <w:r>
        <w:rPr>
          <w:rFonts w:hint="eastAsia" w:ascii="宋体" w:hAnsi="宋体" w:cs="楷体_GB2312"/>
          <w:color w:val="auto"/>
          <w:sz w:val="24"/>
          <w:lang w:val="zh-CN"/>
        </w:rPr>
        <w:t>电子签名</w:t>
      </w:r>
      <w:r>
        <w:rPr>
          <w:rFonts w:hint="eastAsia" w:ascii="宋体" w:hAnsi="宋体"/>
          <w:color w:val="auto"/>
          <w:sz w:val="24"/>
          <w:szCs w:val="24"/>
        </w:rPr>
        <w:t>或投标人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ascii="黑体" w:hAnsi="黑体" w:eastAsia="黑体"/>
          <w:b/>
          <w:color w:val="auto"/>
          <w:sz w:val="30"/>
          <w:szCs w:val="30"/>
        </w:rPr>
        <w:t>1</w:t>
      </w:r>
      <w:r>
        <w:rPr>
          <w:rFonts w:hint="eastAsia" w:ascii="黑体" w:hAnsi="黑体" w:eastAsia="黑体"/>
          <w:b/>
          <w:color w:val="auto"/>
          <w:sz w:val="30"/>
          <w:szCs w:val="30"/>
          <w:lang w:val="en-US" w:eastAsia="zh-CN"/>
        </w:rPr>
        <w:t>1</w:t>
      </w:r>
      <w:r>
        <w:rPr>
          <w:rFonts w:hint="eastAsia" w:ascii="黑体" w:hAnsi="黑体" w:eastAsia="黑体"/>
          <w:b/>
          <w:color w:val="auto"/>
          <w:sz w:val="30"/>
          <w:szCs w:val="30"/>
        </w:rPr>
        <w:t>、评审办法所需的其他材料</w:t>
      </w:r>
    </w:p>
    <w:p>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。条款中对</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未作明确要求的，由法定代表人</w:t>
      </w:r>
      <w:r>
        <w:rPr>
          <w:rFonts w:hint="eastAsia" w:ascii="宋体" w:hAnsi="宋体" w:cs="楷体_GB2312"/>
          <w:color w:val="auto"/>
          <w:sz w:val="24"/>
          <w:lang w:val="zh-CN"/>
        </w:rPr>
        <w:t>电子签名</w:t>
      </w:r>
      <w:r>
        <w:rPr>
          <w:rFonts w:hint="eastAsia" w:ascii="宋体" w:hAnsi="宋体"/>
          <w:color w:val="auto"/>
          <w:sz w:val="24"/>
          <w:szCs w:val="24"/>
        </w:rPr>
        <w:t>或投标人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ascii="黑体" w:hAnsi="黑体" w:eastAsia="黑体"/>
          <w:b/>
          <w:color w:val="auto"/>
          <w:sz w:val="30"/>
          <w:szCs w:val="30"/>
        </w:rPr>
        <w:t>1</w:t>
      </w:r>
      <w:r>
        <w:rPr>
          <w:rFonts w:hint="eastAsia" w:ascii="黑体" w:hAnsi="黑体" w:eastAsia="黑体"/>
          <w:b/>
          <w:color w:val="auto"/>
          <w:sz w:val="30"/>
          <w:szCs w:val="30"/>
          <w:lang w:val="en-US" w:eastAsia="zh-CN"/>
        </w:rPr>
        <w:t>2</w:t>
      </w:r>
      <w:r>
        <w:rPr>
          <w:rFonts w:hint="eastAsia" w:ascii="黑体" w:hAnsi="黑体" w:eastAsia="黑体"/>
          <w:b/>
          <w:color w:val="auto"/>
          <w:sz w:val="30"/>
          <w:szCs w:val="30"/>
        </w:rPr>
        <w:t>、投标人认为有必要提交的其它材料</w:t>
      </w:r>
    </w:p>
    <w:p>
      <w:pPr>
        <w:autoSpaceDE w:val="0"/>
        <w:autoSpaceDN w:val="0"/>
        <w:adjustRightInd w:val="0"/>
        <w:spacing w:line="360" w:lineRule="auto"/>
        <w:jc w:val="center"/>
        <w:rPr>
          <w:rFonts w:ascii="宋体"/>
          <w:color w:val="auto"/>
          <w:sz w:val="24"/>
          <w:szCs w:val="24"/>
        </w:rPr>
      </w:pPr>
      <w:r>
        <w:rPr>
          <w:rFonts w:hint="eastAsia" w:ascii="宋体" w:hAnsi="宋体"/>
          <w:color w:val="auto"/>
          <w:sz w:val="24"/>
          <w:szCs w:val="24"/>
        </w:rPr>
        <w:t>（由法定代表人</w:t>
      </w:r>
      <w:r>
        <w:rPr>
          <w:rFonts w:hint="eastAsia" w:ascii="宋体" w:hAnsi="宋体" w:cs="楷体_GB2312"/>
          <w:color w:val="auto"/>
          <w:sz w:val="24"/>
          <w:lang w:val="zh-CN"/>
        </w:rPr>
        <w:t>电子签名</w:t>
      </w:r>
      <w:r>
        <w:rPr>
          <w:rFonts w:hint="eastAsia" w:ascii="宋体" w:hAnsi="宋体"/>
          <w:color w:val="auto"/>
          <w:sz w:val="24"/>
          <w:szCs w:val="24"/>
        </w:rPr>
        <w:t>或投标人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jc w:val="center"/>
        <w:rPr>
          <w:rFonts w:ascii="宋体"/>
          <w:color w:val="auto"/>
          <w:sz w:val="24"/>
          <w:szCs w:val="24"/>
        </w:rPr>
      </w:pPr>
    </w:p>
    <w:p>
      <w:pPr>
        <w:spacing w:line="240" w:lineRule="auto"/>
        <w:jc w:val="center"/>
        <w:textAlignment w:val="auto"/>
        <w:rPr>
          <w:rFonts w:eastAsia="方正黑体简体"/>
          <w:b/>
          <w:color w:val="auto"/>
          <w:sz w:val="30"/>
          <w:szCs w:val="30"/>
        </w:rPr>
      </w:pPr>
    </w:p>
    <w:p>
      <w:pPr>
        <w:spacing w:line="240" w:lineRule="auto"/>
        <w:jc w:val="center"/>
        <w:textAlignment w:val="auto"/>
        <w:rPr>
          <w:rFonts w:ascii="黑体" w:hAnsi="黑体" w:eastAsia="黑体"/>
          <w:b/>
          <w:color w:val="auto"/>
          <w:sz w:val="30"/>
          <w:szCs w:val="30"/>
        </w:rPr>
      </w:pPr>
      <w:r>
        <w:rPr>
          <w:rFonts w:eastAsia="方正黑体简体"/>
          <w:b/>
          <w:color w:val="auto"/>
          <w:sz w:val="30"/>
          <w:szCs w:val="30"/>
        </w:rPr>
        <w:br w:type="page"/>
      </w:r>
      <w:r>
        <w:rPr>
          <w:rFonts w:ascii="黑体" w:hAnsi="黑体" w:eastAsia="黑体"/>
          <w:b/>
          <w:color w:val="auto"/>
          <w:sz w:val="30"/>
          <w:szCs w:val="30"/>
        </w:rPr>
        <w:t>1</w:t>
      </w:r>
      <w:r>
        <w:rPr>
          <w:rFonts w:hint="eastAsia" w:ascii="黑体" w:hAnsi="黑体" w:eastAsia="黑体"/>
          <w:b/>
          <w:color w:val="auto"/>
          <w:sz w:val="30"/>
          <w:szCs w:val="30"/>
          <w:lang w:val="en-US" w:eastAsia="zh-CN"/>
        </w:rPr>
        <w:t>2</w:t>
      </w:r>
      <w:r>
        <w:rPr>
          <w:rFonts w:ascii="黑体" w:hAnsi="黑体" w:eastAsia="黑体"/>
          <w:b/>
          <w:color w:val="auto"/>
          <w:sz w:val="30"/>
          <w:szCs w:val="30"/>
        </w:rPr>
        <w:t>-1</w:t>
      </w:r>
      <w:r>
        <w:rPr>
          <w:rFonts w:hint="eastAsia" w:ascii="黑体" w:hAnsi="黑体" w:eastAsia="黑体"/>
          <w:b/>
          <w:color w:val="auto"/>
          <w:sz w:val="30"/>
          <w:szCs w:val="30"/>
        </w:rPr>
        <w:t>、中小企业声明函</w:t>
      </w:r>
    </w:p>
    <w:p>
      <w:pPr>
        <w:spacing w:line="588" w:lineRule="exact"/>
        <w:rPr>
          <w:rFonts w:ascii="仿宋_GB2312" w:eastAsia="仿宋_GB2312"/>
          <w:b/>
          <w:color w:val="auto"/>
          <w:spacing w:val="6"/>
          <w:sz w:val="30"/>
          <w:szCs w:val="30"/>
        </w:rPr>
      </w:pPr>
    </w:p>
    <w:p>
      <w:pPr>
        <w:spacing w:line="588" w:lineRule="exact"/>
        <w:ind w:firstLine="480" w:firstLineChars="200"/>
        <w:rPr>
          <w:color w:val="auto"/>
          <w:sz w:val="24"/>
          <w:szCs w:val="24"/>
        </w:rPr>
      </w:pPr>
      <w:r>
        <w:rPr>
          <w:rFonts w:hint="eastAsia"/>
          <w:color w:val="auto"/>
          <w:sz w:val="24"/>
          <w:szCs w:val="24"/>
        </w:rPr>
        <w:t>本公司郑重声明，根据《政府采购促进中小企业发展暂行办法》（财库</w:t>
      </w:r>
      <w:r>
        <w:rPr>
          <w:color w:val="auto"/>
          <w:sz w:val="24"/>
          <w:szCs w:val="24"/>
        </w:rPr>
        <w:t>[2011]181</w:t>
      </w:r>
      <w:r>
        <w:rPr>
          <w:rFonts w:hint="eastAsia"/>
          <w:color w:val="auto"/>
          <w:sz w:val="24"/>
          <w:szCs w:val="24"/>
        </w:rPr>
        <w:t>号）的规定，本公司为</w:t>
      </w:r>
      <w:r>
        <w:rPr>
          <w:color w:val="auto"/>
          <w:sz w:val="24"/>
          <w:szCs w:val="24"/>
        </w:rPr>
        <w:t>______</w:t>
      </w:r>
      <w:r>
        <w:rPr>
          <w:rFonts w:hint="eastAsia"/>
          <w:color w:val="auto"/>
          <w:sz w:val="24"/>
          <w:szCs w:val="24"/>
        </w:rPr>
        <w:t>（请填写：中型、小型、微型）企业。即，本公司同时满足以下条件：</w:t>
      </w:r>
    </w:p>
    <w:p>
      <w:pPr>
        <w:spacing w:line="588" w:lineRule="exact"/>
        <w:ind w:firstLine="480" w:firstLineChars="200"/>
        <w:rPr>
          <w:color w:val="auto"/>
          <w:sz w:val="24"/>
          <w:szCs w:val="24"/>
        </w:rPr>
      </w:pPr>
      <w:r>
        <w:rPr>
          <w:color w:val="auto"/>
          <w:sz w:val="24"/>
          <w:szCs w:val="24"/>
        </w:rPr>
        <w:t>1.</w:t>
      </w:r>
      <w:r>
        <w:rPr>
          <w:rFonts w:hint="eastAsia"/>
          <w:color w:val="auto"/>
          <w:sz w:val="24"/>
          <w:szCs w:val="24"/>
        </w:rPr>
        <w:t>根据《工业和信息化部、国家统计局、国家发展和改革委员会、财政部关于印发中小企业划型标准规定的通知》（工信部联企业</w:t>
      </w:r>
      <w:r>
        <w:rPr>
          <w:color w:val="auto"/>
          <w:sz w:val="24"/>
          <w:szCs w:val="24"/>
        </w:rPr>
        <w:t>[2011]300</w:t>
      </w:r>
      <w:r>
        <w:rPr>
          <w:rFonts w:hint="eastAsia"/>
          <w:color w:val="auto"/>
          <w:sz w:val="24"/>
          <w:szCs w:val="24"/>
        </w:rPr>
        <w:t>号）规定的划分标准，本公司为</w:t>
      </w:r>
      <w:r>
        <w:rPr>
          <w:color w:val="auto"/>
          <w:sz w:val="24"/>
          <w:szCs w:val="24"/>
        </w:rPr>
        <w:t>______</w:t>
      </w:r>
      <w:r>
        <w:rPr>
          <w:rFonts w:hint="eastAsia"/>
          <w:color w:val="auto"/>
          <w:sz w:val="24"/>
          <w:szCs w:val="24"/>
        </w:rPr>
        <w:t>（请填写：中型、小型、微型）企业。</w:t>
      </w:r>
    </w:p>
    <w:p>
      <w:pPr>
        <w:spacing w:line="588" w:lineRule="exact"/>
        <w:ind w:firstLine="480" w:firstLineChars="200"/>
        <w:rPr>
          <w:color w:val="auto"/>
          <w:sz w:val="24"/>
          <w:szCs w:val="24"/>
        </w:rPr>
      </w:pPr>
      <w:r>
        <w:rPr>
          <w:color w:val="auto"/>
          <w:sz w:val="24"/>
          <w:szCs w:val="24"/>
        </w:rPr>
        <w:t>2.</w:t>
      </w:r>
      <w:r>
        <w:rPr>
          <w:rFonts w:hint="eastAsia"/>
          <w:color w:val="auto"/>
          <w:sz w:val="24"/>
          <w:szCs w:val="24"/>
        </w:rPr>
        <w:t>本公司参加</w:t>
      </w:r>
      <w:r>
        <w:rPr>
          <w:color w:val="auto"/>
          <w:sz w:val="24"/>
          <w:szCs w:val="24"/>
        </w:rPr>
        <w:t>______</w:t>
      </w:r>
      <w:r>
        <w:rPr>
          <w:rFonts w:hint="eastAsia"/>
          <w:color w:val="auto"/>
          <w:sz w:val="24"/>
          <w:szCs w:val="24"/>
        </w:rPr>
        <w:t>单位的</w:t>
      </w:r>
      <w:r>
        <w:rPr>
          <w:color w:val="auto"/>
          <w:sz w:val="24"/>
          <w:szCs w:val="24"/>
        </w:rPr>
        <w:t>______</w:t>
      </w:r>
      <w:r>
        <w:rPr>
          <w:rFonts w:hint="eastAsia"/>
          <w:color w:val="auto"/>
          <w:sz w:val="24"/>
          <w:szCs w:val="24"/>
        </w:rPr>
        <w:t>项目采购活动提供本企业制造的货物，由本企业承担工程、提供服务，或者提供其他</w:t>
      </w:r>
      <w:r>
        <w:rPr>
          <w:color w:val="auto"/>
          <w:sz w:val="24"/>
          <w:szCs w:val="24"/>
        </w:rPr>
        <w:t>______</w:t>
      </w:r>
      <w:r>
        <w:rPr>
          <w:rFonts w:hint="eastAsia"/>
          <w:color w:val="auto"/>
          <w:sz w:val="24"/>
          <w:szCs w:val="24"/>
        </w:rPr>
        <w:t>（请填写：中型、小型、微型）企业制造的货物。本条所称货物不包括使用大型企业注册商标的货物。</w:t>
      </w:r>
    </w:p>
    <w:p>
      <w:pPr>
        <w:spacing w:line="588" w:lineRule="exact"/>
        <w:ind w:firstLine="480" w:firstLineChars="200"/>
        <w:rPr>
          <w:color w:val="auto"/>
          <w:sz w:val="24"/>
          <w:szCs w:val="24"/>
        </w:rPr>
      </w:pPr>
      <w:r>
        <w:rPr>
          <w:rFonts w:hint="eastAsia"/>
          <w:color w:val="auto"/>
          <w:sz w:val="24"/>
          <w:szCs w:val="24"/>
        </w:rPr>
        <w:t>本公司对上述声明的真实性负责。如有虚假，将依法承担相应责任。</w:t>
      </w:r>
    </w:p>
    <w:p>
      <w:pPr>
        <w:tabs>
          <w:tab w:val="left" w:pos="4860"/>
        </w:tabs>
        <w:spacing w:line="588" w:lineRule="exact"/>
        <w:ind w:right="1560" w:firstLine="480" w:firstLineChars="200"/>
        <w:jc w:val="center"/>
        <w:rPr>
          <w:color w:val="auto"/>
          <w:sz w:val="24"/>
          <w:szCs w:val="24"/>
        </w:rPr>
      </w:pPr>
    </w:p>
    <w:p>
      <w:pPr>
        <w:tabs>
          <w:tab w:val="left" w:pos="4860"/>
        </w:tabs>
        <w:spacing w:line="588" w:lineRule="exact"/>
        <w:ind w:right="1560" w:firstLine="480" w:firstLineChars="200"/>
        <w:jc w:val="center"/>
        <w:rPr>
          <w:color w:val="auto"/>
          <w:sz w:val="24"/>
          <w:szCs w:val="24"/>
        </w:rPr>
      </w:pPr>
    </w:p>
    <w:p>
      <w:pPr>
        <w:tabs>
          <w:tab w:val="left" w:pos="4860"/>
        </w:tabs>
        <w:spacing w:line="588" w:lineRule="exact"/>
        <w:ind w:right="1560" w:firstLine="480" w:firstLineChars="200"/>
        <w:jc w:val="left"/>
        <w:rPr>
          <w:color w:val="auto"/>
          <w:sz w:val="24"/>
          <w:szCs w:val="24"/>
        </w:rPr>
      </w:pPr>
      <w:r>
        <w:rPr>
          <w:rFonts w:hint="eastAsia"/>
          <w:color w:val="auto"/>
          <w:sz w:val="24"/>
          <w:szCs w:val="24"/>
        </w:rPr>
        <w:t>企业名称（电子签</w:t>
      </w:r>
      <w:r>
        <w:rPr>
          <w:rFonts w:hint="eastAsia" w:ascii="宋体" w:hAnsi="宋体"/>
          <w:color w:val="auto"/>
          <w:sz w:val="24"/>
          <w:szCs w:val="24"/>
        </w:rPr>
        <w:t>章</w:t>
      </w:r>
      <w:r>
        <w:rPr>
          <w:rFonts w:hint="eastAsia"/>
          <w:color w:val="auto"/>
          <w:sz w:val="24"/>
          <w:szCs w:val="24"/>
        </w:rPr>
        <w:t>）：</w:t>
      </w:r>
    </w:p>
    <w:p>
      <w:pPr>
        <w:widowControl w:val="0"/>
        <w:snapToGrid w:val="0"/>
        <w:spacing w:line="560" w:lineRule="exact"/>
        <w:ind w:right="56" w:firstLine="555"/>
        <w:rPr>
          <w:color w:val="auto"/>
          <w:sz w:val="24"/>
          <w:szCs w:val="24"/>
        </w:rPr>
      </w:pPr>
      <w:r>
        <w:rPr>
          <w:rFonts w:hint="eastAsia"/>
          <w:color w:val="auto"/>
          <w:sz w:val="24"/>
          <w:szCs w:val="24"/>
        </w:rPr>
        <w:t>日期：</w:t>
      </w:r>
    </w:p>
    <w:p>
      <w:pPr>
        <w:widowControl w:val="0"/>
        <w:snapToGrid w:val="0"/>
        <w:spacing w:line="560" w:lineRule="exact"/>
        <w:ind w:right="56" w:firstLine="555"/>
        <w:rPr>
          <w:color w:val="auto"/>
          <w:sz w:val="24"/>
          <w:szCs w:val="24"/>
        </w:rPr>
      </w:pPr>
    </w:p>
    <w:p>
      <w:pPr>
        <w:pageBreakBefore/>
        <w:tabs>
          <w:tab w:val="left" w:pos="9365"/>
        </w:tabs>
        <w:snapToGrid w:val="0"/>
        <w:spacing w:after="56" w:line="560" w:lineRule="atLeas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残疾人福利性单位声明函</w:t>
      </w:r>
    </w:p>
    <w:p>
      <w:pPr>
        <w:spacing w:line="588" w:lineRule="exact"/>
        <w:rPr>
          <w:rFonts w:ascii="仿宋_GB2312" w:eastAsia="仿宋_GB2312"/>
          <w:b/>
          <w:color w:val="auto"/>
          <w:spacing w:val="6"/>
          <w:sz w:val="30"/>
          <w:szCs w:val="30"/>
        </w:rPr>
      </w:pPr>
    </w:p>
    <w:p>
      <w:pPr>
        <w:spacing w:line="588" w:lineRule="exact"/>
        <w:ind w:firstLine="504" w:firstLineChars="200"/>
        <w:rPr>
          <w:rFonts w:ascii="宋体"/>
          <w:color w:val="auto"/>
          <w:spacing w:val="6"/>
          <w:sz w:val="24"/>
          <w:szCs w:val="24"/>
        </w:rPr>
      </w:pPr>
      <w:r>
        <w:rPr>
          <w:rFonts w:hint="eastAsia" w:ascii="宋体" w:hAnsi="宋体"/>
          <w:color w:val="auto"/>
          <w:spacing w:val="6"/>
          <w:sz w:val="24"/>
          <w:szCs w:val="24"/>
        </w:rPr>
        <w:t>本单位郑重声明，根据《财政部</w:t>
      </w:r>
      <w:r>
        <w:rPr>
          <w:rFonts w:ascii="宋体" w:hAnsi="宋体"/>
          <w:color w:val="auto"/>
          <w:spacing w:val="6"/>
          <w:sz w:val="24"/>
          <w:szCs w:val="24"/>
        </w:rPr>
        <w:t xml:space="preserve"> </w:t>
      </w:r>
      <w:r>
        <w:rPr>
          <w:rFonts w:hint="eastAsia" w:ascii="宋体" w:hAnsi="宋体"/>
          <w:color w:val="auto"/>
          <w:spacing w:val="6"/>
          <w:sz w:val="24"/>
          <w:szCs w:val="24"/>
        </w:rPr>
        <w:t>民政部</w:t>
      </w:r>
      <w:r>
        <w:rPr>
          <w:rFonts w:ascii="宋体" w:hAnsi="宋体"/>
          <w:color w:val="auto"/>
          <w:spacing w:val="6"/>
          <w:sz w:val="24"/>
          <w:szCs w:val="24"/>
        </w:rPr>
        <w:t xml:space="preserve"> </w:t>
      </w:r>
      <w:r>
        <w:rPr>
          <w:rFonts w:hint="eastAsia" w:ascii="宋体" w:hAnsi="宋体"/>
          <w:color w:val="auto"/>
          <w:spacing w:val="6"/>
          <w:sz w:val="24"/>
          <w:szCs w:val="24"/>
        </w:rPr>
        <w:t>中国残疾人联合会关于促进残疾人就业政府采购政策的通知》（财库</w:t>
      </w:r>
      <w:r>
        <w:rPr>
          <w:rFonts w:hint="eastAsia" w:ascii="宋体" w:hAnsi="宋体"/>
          <w:color w:val="auto"/>
          <w:sz w:val="24"/>
          <w:szCs w:val="24"/>
        </w:rPr>
        <w:t>〔</w:t>
      </w:r>
      <w:r>
        <w:rPr>
          <w:rFonts w:ascii="宋体" w:hAnsi="宋体"/>
          <w:color w:val="auto"/>
          <w:sz w:val="24"/>
          <w:szCs w:val="24"/>
        </w:rPr>
        <w:t>2017</w:t>
      </w:r>
      <w:r>
        <w:rPr>
          <w:rFonts w:hint="eastAsia" w:ascii="宋体" w:hAnsi="宋体"/>
          <w:color w:val="auto"/>
          <w:sz w:val="24"/>
          <w:szCs w:val="24"/>
        </w:rPr>
        <w:t>〕</w:t>
      </w:r>
      <w:r>
        <w:rPr>
          <w:rFonts w:ascii="宋体" w:hAnsi="宋体"/>
          <w:color w:val="auto"/>
          <w:sz w:val="24"/>
          <w:szCs w:val="24"/>
        </w:rPr>
        <w:t>141</w:t>
      </w:r>
      <w:r>
        <w:rPr>
          <w:rFonts w:hint="eastAsia" w:ascii="宋体" w:hAnsi="宋体"/>
          <w:color w:val="auto"/>
          <w:spacing w:val="6"/>
          <w:sz w:val="24"/>
          <w:szCs w:val="24"/>
        </w:rPr>
        <w:t>号）的规定，本单位为符合条件的残疾人福利性单位，且本单位参加</w:t>
      </w:r>
      <w:r>
        <w:rPr>
          <w:rFonts w:ascii="宋体" w:hAnsi="宋体"/>
          <w:color w:val="auto"/>
          <w:spacing w:val="6"/>
          <w:sz w:val="24"/>
          <w:szCs w:val="24"/>
        </w:rPr>
        <w:t>______</w:t>
      </w:r>
      <w:r>
        <w:rPr>
          <w:rFonts w:hint="eastAsia" w:ascii="宋体" w:hAnsi="宋体"/>
          <w:color w:val="auto"/>
          <w:spacing w:val="6"/>
          <w:sz w:val="24"/>
          <w:szCs w:val="24"/>
        </w:rPr>
        <w:t>单位的</w:t>
      </w:r>
      <w:r>
        <w:rPr>
          <w:rFonts w:ascii="宋体" w:hAnsi="宋体"/>
          <w:color w:val="auto"/>
          <w:spacing w:val="6"/>
          <w:sz w:val="24"/>
          <w:szCs w:val="24"/>
        </w:rPr>
        <w:t>______</w:t>
      </w:r>
      <w:r>
        <w:rPr>
          <w:rFonts w:hint="eastAsia" w:ascii="宋体" w:hAnsi="宋体"/>
          <w:color w:val="auto"/>
          <w:spacing w:val="6"/>
          <w:sz w:val="24"/>
          <w:szCs w:val="24"/>
        </w:rPr>
        <w:t>项目采购活动提供本单位制造的货物（由本单位承担工程</w:t>
      </w:r>
      <w:r>
        <w:rPr>
          <w:rFonts w:ascii="宋体" w:hAnsi="宋体"/>
          <w:color w:val="auto"/>
          <w:spacing w:val="6"/>
          <w:sz w:val="24"/>
          <w:szCs w:val="24"/>
        </w:rPr>
        <w:t>/</w:t>
      </w:r>
      <w:r>
        <w:rPr>
          <w:rFonts w:hint="eastAsia" w:ascii="宋体" w:hAnsi="宋体"/>
          <w:color w:val="auto"/>
          <w:spacing w:val="6"/>
          <w:sz w:val="24"/>
          <w:szCs w:val="24"/>
        </w:rPr>
        <w:t>提供服务），或者提供其他残疾人福利性单位制造的货物（不包括使用非残疾人福利性单位注册商标的货物）。</w:t>
      </w:r>
    </w:p>
    <w:p>
      <w:pPr>
        <w:spacing w:line="588" w:lineRule="exact"/>
        <w:ind w:firstLine="504" w:firstLineChars="200"/>
        <w:rPr>
          <w:rFonts w:ascii="宋体"/>
          <w:color w:val="auto"/>
          <w:spacing w:val="6"/>
          <w:sz w:val="24"/>
          <w:szCs w:val="24"/>
        </w:rPr>
      </w:pPr>
      <w:r>
        <w:rPr>
          <w:rFonts w:hint="eastAsia" w:ascii="宋体" w:hAnsi="宋体"/>
          <w:color w:val="auto"/>
          <w:spacing w:val="6"/>
          <w:sz w:val="24"/>
          <w:szCs w:val="24"/>
        </w:rPr>
        <w:t>本单位对上述声明的真实性负责。如有虚假，将依法承担相应责任。</w:t>
      </w:r>
    </w:p>
    <w:p>
      <w:pPr>
        <w:spacing w:line="588" w:lineRule="exact"/>
        <w:ind w:firstLine="504" w:firstLineChars="200"/>
        <w:rPr>
          <w:rFonts w:ascii="宋体"/>
          <w:color w:val="auto"/>
          <w:spacing w:val="6"/>
          <w:sz w:val="24"/>
          <w:szCs w:val="24"/>
        </w:rPr>
      </w:pPr>
    </w:p>
    <w:p>
      <w:pPr>
        <w:spacing w:line="588" w:lineRule="exact"/>
        <w:ind w:firstLine="504" w:firstLineChars="200"/>
        <w:rPr>
          <w:rFonts w:ascii="宋体"/>
          <w:color w:val="auto"/>
          <w:spacing w:val="6"/>
          <w:sz w:val="24"/>
          <w:szCs w:val="24"/>
        </w:rPr>
      </w:pPr>
    </w:p>
    <w:p>
      <w:pPr>
        <w:spacing w:line="588" w:lineRule="exact"/>
        <w:ind w:firstLine="504" w:firstLineChars="200"/>
        <w:rPr>
          <w:rFonts w:ascii="宋体"/>
          <w:color w:val="auto"/>
          <w:spacing w:val="6"/>
          <w:sz w:val="24"/>
          <w:szCs w:val="24"/>
        </w:rPr>
      </w:pPr>
    </w:p>
    <w:p>
      <w:pPr>
        <w:snapToGrid w:val="0"/>
        <w:spacing w:before="100" w:beforeAutospacing="1" w:after="100" w:afterAutospacing="1" w:line="700" w:lineRule="exact"/>
        <w:ind w:right="641" w:firstLine="674" w:firstLineChars="281"/>
        <w:rPr>
          <w:rFonts w:ascii="宋体"/>
          <w:color w:val="auto"/>
          <w:sz w:val="24"/>
          <w:szCs w:val="24"/>
        </w:rPr>
      </w:pPr>
      <w:r>
        <w:rPr>
          <w:rFonts w:hint="eastAsia" w:ascii="宋体" w:hAnsi="宋体"/>
          <w:color w:val="auto"/>
          <w:sz w:val="24"/>
          <w:szCs w:val="24"/>
        </w:rPr>
        <w:t>投标人（电子签章）：</w:t>
      </w:r>
    </w:p>
    <w:p>
      <w:pPr>
        <w:snapToGrid w:val="0"/>
        <w:spacing w:before="100" w:beforeAutospacing="1" w:after="100" w:afterAutospacing="1" w:line="700" w:lineRule="exact"/>
        <w:ind w:right="641" w:firstLine="674" w:firstLineChars="281"/>
        <w:rPr>
          <w:rFonts w:ascii="宋体"/>
          <w:color w:val="auto"/>
          <w:sz w:val="24"/>
          <w:szCs w:val="24"/>
        </w:rPr>
      </w:pPr>
      <w:r>
        <w:rPr>
          <w:rFonts w:hint="eastAsia" w:ascii="宋体" w:hAnsi="宋体"/>
          <w:color w:val="auto"/>
          <w:sz w:val="24"/>
          <w:szCs w:val="24"/>
        </w:rPr>
        <w:t>法定代表人（电子签名）：</w:t>
      </w:r>
    </w:p>
    <w:p>
      <w:pPr>
        <w:snapToGrid w:val="0"/>
        <w:spacing w:before="100" w:beforeAutospacing="1" w:after="100" w:afterAutospacing="1" w:line="540" w:lineRule="exact"/>
        <w:ind w:right="85" w:firstLine="674" w:firstLineChars="281"/>
        <w:jc w:val="left"/>
        <w:textAlignment w:val="top"/>
        <w:rPr>
          <w:rFonts w:ascii="宋体"/>
          <w:color w:val="auto"/>
          <w:sz w:val="24"/>
          <w:szCs w:val="24"/>
        </w:rPr>
      </w:pPr>
      <w:r>
        <w:rPr>
          <w:rFonts w:hint="eastAsia" w:ascii="宋体" w:hAnsi="宋体"/>
          <w:color w:val="auto"/>
          <w:sz w:val="24"/>
          <w:szCs w:val="24"/>
        </w:rPr>
        <w:t>日期：</w:t>
      </w:r>
    </w:p>
    <w:p>
      <w:pPr>
        <w:autoSpaceDE w:val="0"/>
        <w:autoSpaceDN w:val="0"/>
        <w:adjustRightInd w:val="0"/>
        <w:spacing w:line="360" w:lineRule="auto"/>
        <w:jc w:val="center"/>
        <w:rPr>
          <w:rFonts w:ascii="黑体" w:hAnsi="黑体" w:eastAsia="黑体"/>
          <w:b/>
          <w:color w:val="auto"/>
          <w:sz w:val="30"/>
          <w:szCs w:val="30"/>
        </w:rPr>
      </w:pPr>
    </w:p>
    <w:p>
      <w:pPr>
        <w:autoSpaceDE w:val="0"/>
        <w:autoSpaceDN w:val="0"/>
        <w:adjustRightInd w:val="0"/>
        <w:spacing w:line="360" w:lineRule="auto"/>
        <w:jc w:val="center"/>
        <w:rPr>
          <w:rFonts w:ascii="黑体" w:hAnsi="黑体" w:eastAsia="黑体"/>
          <w:b/>
          <w:color w:val="auto"/>
          <w:sz w:val="30"/>
          <w:szCs w:val="30"/>
        </w:rPr>
      </w:pPr>
      <w:r>
        <w:rPr>
          <w:rFonts w:ascii="黑体" w:hAnsi="黑体" w:eastAsia="黑体"/>
          <w:b/>
          <w:color w:val="auto"/>
          <w:sz w:val="30"/>
          <w:szCs w:val="30"/>
        </w:rPr>
        <w:br w:type="page"/>
      </w:r>
    </w:p>
    <w:p>
      <w:pPr>
        <w:autoSpaceDE w:val="0"/>
        <w:autoSpaceDN w:val="0"/>
        <w:adjustRightInd w:val="0"/>
        <w:spacing w:line="360" w:lineRule="auto"/>
        <w:jc w:val="center"/>
        <w:rPr>
          <w:rFonts w:ascii="黑体" w:hAnsi="黑体" w:eastAsia="黑体"/>
          <w:b/>
          <w:color w:val="auto"/>
          <w:sz w:val="30"/>
          <w:szCs w:val="30"/>
        </w:rPr>
      </w:pPr>
      <w:r>
        <w:rPr>
          <w:rFonts w:ascii="黑体" w:hAnsi="黑体" w:eastAsia="黑体"/>
          <w:b/>
          <w:color w:val="auto"/>
          <w:sz w:val="30"/>
          <w:szCs w:val="30"/>
        </w:rPr>
        <w:t>1</w:t>
      </w:r>
      <w:r>
        <w:rPr>
          <w:rFonts w:hint="eastAsia" w:ascii="黑体" w:hAnsi="黑体" w:eastAsia="黑体"/>
          <w:b/>
          <w:color w:val="auto"/>
          <w:sz w:val="30"/>
          <w:szCs w:val="30"/>
          <w:lang w:val="en-US" w:eastAsia="zh-CN"/>
        </w:rPr>
        <w:t>2</w:t>
      </w:r>
      <w:r>
        <w:rPr>
          <w:rFonts w:ascii="黑体" w:hAnsi="黑体" w:eastAsia="黑体"/>
          <w:b/>
          <w:color w:val="auto"/>
          <w:sz w:val="30"/>
          <w:szCs w:val="30"/>
        </w:rPr>
        <w:t>-2</w:t>
      </w:r>
      <w:r>
        <w:rPr>
          <w:rFonts w:hint="eastAsia" w:ascii="黑体" w:hAnsi="黑体" w:eastAsia="黑体"/>
          <w:b/>
          <w:color w:val="auto"/>
          <w:sz w:val="30"/>
          <w:szCs w:val="30"/>
        </w:rPr>
        <w:t>、标段申报的小微企业产品价格扣除明细表</w:t>
      </w:r>
    </w:p>
    <w:p>
      <w:pPr>
        <w:spacing w:line="240" w:lineRule="auto"/>
        <w:jc w:val="left"/>
        <w:textAlignment w:val="auto"/>
        <w:rPr>
          <w:rFonts w:eastAsia="方正黑体简体"/>
          <w:b/>
          <w:color w:val="auto"/>
          <w:sz w:val="30"/>
          <w:szCs w:val="30"/>
        </w:rPr>
      </w:pPr>
    </w:p>
    <w:p>
      <w:pPr>
        <w:widowControl w:val="0"/>
        <w:snapToGrid w:val="0"/>
        <w:spacing w:line="560" w:lineRule="exact"/>
        <w:ind w:firstLine="482" w:firstLineChars="200"/>
        <w:jc w:val="left"/>
        <w:rPr>
          <w:b/>
          <w:color w:val="auto"/>
          <w:sz w:val="24"/>
          <w:szCs w:val="24"/>
        </w:rPr>
      </w:pPr>
      <w:r>
        <w:rPr>
          <w:rFonts w:hint="eastAsia"/>
          <w:b/>
          <w:color w:val="auto"/>
          <w:sz w:val="24"/>
          <w:szCs w:val="24"/>
        </w:rPr>
        <w:t>注：投标人需在“安阳市政府采购投标文件编制系统”中、按系统要求填列。</w:t>
      </w:r>
    </w:p>
    <w:p>
      <w:pPr>
        <w:widowControl w:val="0"/>
        <w:snapToGrid w:val="0"/>
        <w:spacing w:line="560" w:lineRule="exact"/>
        <w:ind w:firstLine="482" w:firstLineChars="200"/>
        <w:jc w:val="left"/>
        <w:rPr>
          <w:b/>
          <w:color w:val="auto"/>
          <w:sz w:val="24"/>
          <w:szCs w:val="24"/>
        </w:rPr>
      </w:pPr>
    </w:p>
    <w:p>
      <w:pPr>
        <w:widowControl w:val="0"/>
        <w:snapToGrid w:val="0"/>
        <w:spacing w:line="560" w:lineRule="exact"/>
        <w:ind w:firstLine="602" w:firstLineChars="200"/>
        <w:jc w:val="center"/>
        <w:rPr>
          <w:rFonts w:ascii="黑体" w:hAnsi="黑体" w:eastAsia="黑体"/>
          <w:b/>
          <w:color w:val="auto"/>
          <w:sz w:val="30"/>
          <w:szCs w:val="30"/>
        </w:rPr>
      </w:pPr>
    </w:p>
    <w:p>
      <w:pPr>
        <w:widowControl w:val="0"/>
        <w:snapToGrid w:val="0"/>
        <w:spacing w:line="560" w:lineRule="exact"/>
        <w:ind w:firstLine="602" w:firstLineChars="200"/>
        <w:jc w:val="center"/>
        <w:rPr>
          <w:rFonts w:ascii="黑体" w:hAnsi="黑体" w:eastAsia="黑体"/>
          <w:b/>
          <w:color w:val="auto"/>
          <w:sz w:val="30"/>
          <w:szCs w:val="30"/>
        </w:rPr>
      </w:pPr>
    </w:p>
    <w:p>
      <w:pPr>
        <w:widowControl w:val="0"/>
        <w:snapToGrid w:val="0"/>
        <w:spacing w:line="560" w:lineRule="exact"/>
        <w:ind w:firstLine="602" w:firstLineChars="200"/>
        <w:jc w:val="center"/>
        <w:rPr>
          <w:rFonts w:ascii="黑体" w:hAnsi="黑体" w:eastAsia="黑体"/>
          <w:b/>
          <w:color w:val="auto"/>
          <w:sz w:val="30"/>
          <w:szCs w:val="30"/>
        </w:rPr>
      </w:pPr>
    </w:p>
    <w:p>
      <w:pPr>
        <w:widowControl w:val="0"/>
        <w:snapToGrid w:val="0"/>
        <w:spacing w:line="560" w:lineRule="exact"/>
        <w:ind w:firstLine="602" w:firstLineChars="200"/>
        <w:jc w:val="center"/>
        <w:rPr>
          <w:rFonts w:ascii="黑体" w:hAnsi="黑体" w:eastAsia="黑体"/>
          <w:b/>
          <w:color w:val="auto"/>
          <w:sz w:val="30"/>
          <w:szCs w:val="30"/>
        </w:rPr>
      </w:pPr>
    </w:p>
    <w:p>
      <w:pPr>
        <w:widowControl w:val="0"/>
        <w:snapToGrid w:val="0"/>
        <w:spacing w:line="560" w:lineRule="exact"/>
        <w:ind w:firstLine="602" w:firstLineChars="200"/>
        <w:jc w:val="center"/>
        <w:rPr>
          <w:rFonts w:ascii="黑体" w:hAnsi="黑体" w:eastAsia="黑体"/>
          <w:b/>
          <w:color w:val="auto"/>
          <w:sz w:val="30"/>
          <w:szCs w:val="30"/>
        </w:rPr>
      </w:pPr>
    </w:p>
    <w:p>
      <w:pPr>
        <w:widowControl w:val="0"/>
        <w:snapToGrid w:val="0"/>
        <w:spacing w:line="560" w:lineRule="exact"/>
        <w:ind w:firstLine="602" w:firstLineChars="200"/>
        <w:jc w:val="center"/>
        <w:rPr>
          <w:rFonts w:ascii="黑体" w:hAnsi="黑体" w:eastAsia="黑体"/>
          <w:b/>
          <w:color w:val="auto"/>
          <w:sz w:val="30"/>
          <w:szCs w:val="30"/>
        </w:rPr>
      </w:pPr>
      <w:r>
        <w:rPr>
          <w:rFonts w:ascii="黑体" w:hAnsi="黑体" w:eastAsia="黑体"/>
          <w:b/>
          <w:color w:val="auto"/>
          <w:sz w:val="30"/>
          <w:szCs w:val="30"/>
        </w:rPr>
        <w:t>1</w:t>
      </w:r>
      <w:r>
        <w:rPr>
          <w:rFonts w:hint="eastAsia" w:ascii="黑体" w:hAnsi="黑体" w:eastAsia="黑体"/>
          <w:b/>
          <w:color w:val="auto"/>
          <w:sz w:val="30"/>
          <w:szCs w:val="30"/>
          <w:lang w:val="en-US" w:eastAsia="zh-CN"/>
        </w:rPr>
        <w:t>2</w:t>
      </w:r>
      <w:r>
        <w:rPr>
          <w:rFonts w:ascii="黑体" w:hAnsi="黑体" w:eastAsia="黑体"/>
          <w:b/>
          <w:color w:val="auto"/>
          <w:sz w:val="30"/>
          <w:szCs w:val="30"/>
        </w:rPr>
        <w:t>-3</w:t>
      </w:r>
      <w:r>
        <w:rPr>
          <w:rFonts w:hint="eastAsia" w:ascii="黑体" w:hAnsi="黑体" w:eastAsia="黑体"/>
          <w:b/>
          <w:color w:val="auto"/>
          <w:sz w:val="30"/>
          <w:szCs w:val="30"/>
        </w:rPr>
        <w:t>、其它材料</w:t>
      </w:r>
    </w:p>
    <w:p>
      <w:pPr>
        <w:adjustRightInd w:val="0"/>
        <w:snapToGrid w:val="0"/>
        <w:spacing w:line="300" w:lineRule="auto"/>
        <w:textAlignment w:val="top"/>
        <w:rPr>
          <w:rFonts w:ascii="宋体" w:cs="楷体_GB2312"/>
          <w:color w:val="auto"/>
          <w:sz w:val="24"/>
          <w:lang w:val="zh-CN"/>
        </w:rPr>
      </w:pPr>
      <w:r>
        <w:rPr>
          <w:rFonts w:ascii="宋体"/>
          <w:color w:val="auto"/>
          <w:sz w:val="24"/>
          <w:szCs w:val="24"/>
        </w:rPr>
        <w:br w:type="page"/>
      </w:r>
    </w:p>
    <w:p>
      <w:pPr>
        <w:spacing w:beforeLines="300" w:afterLines="100" w:line="360" w:lineRule="auto"/>
        <w:ind w:firstLine="2223" w:firstLineChars="396"/>
        <w:rPr>
          <w:rFonts w:ascii="宋体"/>
          <w:b/>
          <w:bCs/>
          <w:color w:val="auto"/>
          <w:spacing w:val="100"/>
          <w:sz w:val="36"/>
          <w:szCs w:val="36"/>
        </w:rPr>
      </w:pPr>
    </w:p>
    <w:p>
      <w:pPr>
        <w:spacing w:beforeLines="300" w:afterLines="100" w:line="360" w:lineRule="auto"/>
        <w:ind w:firstLine="3907" w:firstLineChars="696"/>
        <w:rPr>
          <w:rFonts w:ascii="宋体"/>
          <w:b/>
          <w:color w:val="auto"/>
          <w:spacing w:val="60"/>
          <w:sz w:val="36"/>
          <w:szCs w:val="36"/>
        </w:rPr>
      </w:pPr>
      <w:r>
        <w:rPr>
          <w:rFonts w:hint="eastAsia" w:ascii="宋体" w:hAnsi="宋体"/>
          <w:b/>
          <w:bCs/>
          <w:color w:val="auto"/>
          <w:spacing w:val="100"/>
          <w:sz w:val="36"/>
          <w:szCs w:val="36"/>
        </w:rPr>
        <w:t>项目</w:t>
      </w:r>
    </w:p>
    <w:p>
      <w:pPr>
        <w:spacing w:line="360" w:lineRule="auto"/>
        <w:ind w:left="2305" w:leftChars="299" w:hanging="1677" w:hangingChars="466"/>
        <w:rPr>
          <w:rFonts w:ascii="宋体"/>
          <w:color w:val="auto"/>
          <w:sz w:val="36"/>
          <w:szCs w:val="36"/>
        </w:rPr>
      </w:pPr>
    </w:p>
    <w:p>
      <w:pPr>
        <w:spacing w:afterLines="200" w:line="360" w:lineRule="auto"/>
        <w:rPr>
          <w:rFonts w:ascii="黑体" w:hAnsi="黑体" w:eastAsia="黑体"/>
          <w:b/>
          <w:color w:val="auto"/>
          <w:spacing w:val="60"/>
          <w:sz w:val="96"/>
          <w:szCs w:val="96"/>
        </w:rPr>
      </w:pPr>
      <w:r>
        <w:rPr>
          <w:rFonts w:hint="eastAsia" w:ascii="黑体" w:hAnsi="黑体" w:eastAsia="黑体"/>
          <w:b/>
          <w:color w:val="auto"/>
          <w:spacing w:val="60"/>
          <w:sz w:val="96"/>
          <w:szCs w:val="96"/>
        </w:rPr>
        <w:t>资格性证明文件</w:t>
      </w:r>
    </w:p>
    <w:p>
      <w:pPr>
        <w:spacing w:beforeLines="50" w:afterLines="50" w:line="360" w:lineRule="auto"/>
        <w:ind w:firstLine="2069" w:firstLineChars="644"/>
        <w:rPr>
          <w:rFonts w:ascii="宋体"/>
          <w:b/>
          <w:color w:val="auto"/>
          <w:sz w:val="32"/>
          <w:szCs w:val="32"/>
        </w:rPr>
      </w:pPr>
      <w:r>
        <w:rPr>
          <w:rFonts w:hint="eastAsia" w:ascii="宋体" w:hAnsi="宋体"/>
          <w:b/>
          <w:color w:val="auto"/>
          <w:sz w:val="32"/>
          <w:szCs w:val="32"/>
        </w:rPr>
        <w:t>招标编号：</w:t>
      </w:r>
      <w:r>
        <w:rPr>
          <w:rFonts w:ascii="宋体" w:hAnsi="宋体"/>
          <w:b/>
          <w:color w:val="auto"/>
          <w:sz w:val="32"/>
          <w:szCs w:val="32"/>
        </w:rPr>
        <w:t xml:space="preserve"> </w:t>
      </w:r>
    </w:p>
    <w:p>
      <w:pPr>
        <w:spacing w:line="360" w:lineRule="auto"/>
        <w:rPr>
          <w:rFonts w:ascii="宋体"/>
          <w:b/>
          <w:color w:val="auto"/>
          <w:sz w:val="36"/>
          <w:szCs w:val="36"/>
        </w:rPr>
      </w:pPr>
    </w:p>
    <w:p>
      <w:pPr>
        <w:spacing w:line="360" w:lineRule="auto"/>
        <w:rPr>
          <w:rFonts w:ascii="宋体"/>
          <w:b/>
          <w:color w:val="auto"/>
          <w:sz w:val="36"/>
          <w:szCs w:val="36"/>
        </w:rPr>
      </w:pPr>
    </w:p>
    <w:p>
      <w:pPr>
        <w:spacing w:line="360" w:lineRule="auto"/>
        <w:rPr>
          <w:rFonts w:ascii="宋体"/>
          <w:b/>
          <w:color w:val="auto"/>
          <w:sz w:val="36"/>
          <w:szCs w:val="36"/>
        </w:rPr>
      </w:pPr>
    </w:p>
    <w:p>
      <w:pPr>
        <w:spacing w:line="360" w:lineRule="auto"/>
        <w:rPr>
          <w:rFonts w:ascii="宋体"/>
          <w:b/>
          <w:color w:val="auto"/>
          <w:sz w:val="36"/>
          <w:szCs w:val="36"/>
        </w:rPr>
      </w:pPr>
    </w:p>
    <w:p>
      <w:pPr>
        <w:pStyle w:val="67"/>
        <w:spacing w:beforeLines="150" w:afterLines="150" w:line="360" w:lineRule="auto"/>
        <w:jc w:val="both"/>
        <w:rPr>
          <w:rFonts w:hAnsi="宋体"/>
          <w:color w:val="auto"/>
          <w:sz w:val="28"/>
          <w:szCs w:val="28"/>
        </w:rPr>
      </w:pPr>
      <w:r>
        <w:rPr>
          <w:rFonts w:hint="eastAsia" w:hAnsi="宋体"/>
          <w:color w:val="auto"/>
          <w:sz w:val="28"/>
          <w:szCs w:val="28"/>
        </w:rPr>
        <w:t>投标人：（加盖电子签章）</w:t>
      </w:r>
    </w:p>
    <w:p>
      <w:pPr>
        <w:pStyle w:val="67"/>
        <w:spacing w:beforeLines="150" w:afterLines="150" w:line="360" w:lineRule="auto"/>
        <w:jc w:val="both"/>
        <w:rPr>
          <w:rFonts w:hAnsi="宋体"/>
          <w:color w:val="auto"/>
          <w:sz w:val="28"/>
          <w:szCs w:val="28"/>
          <w:u w:val="single"/>
        </w:rPr>
      </w:pPr>
      <w:r>
        <w:rPr>
          <w:rFonts w:hint="eastAsia" w:hAnsi="宋体"/>
          <w:color w:val="auto"/>
          <w:sz w:val="28"/>
          <w:szCs w:val="28"/>
        </w:rPr>
        <w:t>法定代表人：（加盖电子签名）</w:t>
      </w:r>
    </w:p>
    <w:p>
      <w:pPr>
        <w:spacing w:beforeLines="150" w:afterLines="150" w:line="586" w:lineRule="atLeast"/>
        <w:rPr>
          <w:rFonts w:ascii="宋体"/>
          <w:color w:val="auto"/>
          <w:sz w:val="28"/>
          <w:szCs w:val="28"/>
        </w:rPr>
      </w:pPr>
      <w:r>
        <w:rPr>
          <w:rFonts w:hint="eastAsia" w:ascii="宋体" w:hAnsi="宋体"/>
          <w:color w:val="auto"/>
          <w:sz w:val="28"/>
          <w:szCs w:val="28"/>
        </w:rPr>
        <w:t>投标日期：年月日</w:t>
      </w:r>
    </w:p>
    <w:p>
      <w:pPr>
        <w:spacing w:beforeLines="150" w:afterLines="150" w:line="586" w:lineRule="atLeast"/>
        <w:rPr>
          <w:rFonts w:ascii="宋体"/>
          <w:color w:val="auto"/>
          <w:sz w:val="28"/>
          <w:szCs w:val="28"/>
        </w:rPr>
      </w:pPr>
    </w:p>
    <w:p>
      <w:pPr>
        <w:spacing w:line="351" w:lineRule="atLeast"/>
        <w:ind w:left="419"/>
        <w:jc w:val="center"/>
        <w:rPr>
          <w:rFonts w:ascii="黑体" w:eastAsia="黑体"/>
          <w:b/>
          <w:color w:val="auto"/>
          <w:spacing w:val="60"/>
          <w:sz w:val="36"/>
          <w:szCs w:val="36"/>
        </w:rPr>
      </w:pPr>
      <w:r>
        <w:rPr>
          <w:rFonts w:ascii="黑体" w:eastAsia="黑体"/>
          <w:b/>
          <w:color w:val="auto"/>
          <w:spacing w:val="60"/>
          <w:sz w:val="36"/>
          <w:szCs w:val="36"/>
        </w:rPr>
        <w:br w:type="page"/>
      </w:r>
    </w:p>
    <w:p>
      <w:pPr>
        <w:spacing w:line="351" w:lineRule="atLeast"/>
        <w:ind w:left="419"/>
        <w:jc w:val="center"/>
        <w:rPr>
          <w:rFonts w:ascii="黑体" w:eastAsia="黑体"/>
          <w:b/>
          <w:color w:val="auto"/>
          <w:spacing w:val="60"/>
          <w:sz w:val="36"/>
          <w:szCs w:val="36"/>
        </w:rPr>
      </w:pPr>
      <w:r>
        <w:rPr>
          <w:rFonts w:hint="eastAsia" w:ascii="黑体" w:eastAsia="黑体"/>
          <w:b/>
          <w:color w:val="auto"/>
          <w:spacing w:val="60"/>
          <w:sz w:val="36"/>
          <w:szCs w:val="36"/>
        </w:rPr>
        <w:t>目录</w:t>
      </w:r>
    </w:p>
    <w:p>
      <w:pPr>
        <w:spacing w:line="351" w:lineRule="atLeast"/>
        <w:ind w:left="419"/>
        <w:jc w:val="center"/>
        <w:rPr>
          <w:rFonts w:ascii="黑体" w:eastAsia="黑体"/>
          <w:b/>
          <w:color w:val="auto"/>
          <w:spacing w:val="60"/>
          <w:sz w:val="36"/>
          <w:szCs w:val="36"/>
        </w:rPr>
      </w:pPr>
    </w:p>
    <w:p>
      <w:pPr>
        <w:snapToGrid w:val="0"/>
        <w:spacing w:line="560" w:lineRule="atLeast"/>
        <w:textAlignment w:val="top"/>
        <w:rPr>
          <w:rFonts w:ascii="宋体"/>
          <w:color w:val="auto"/>
          <w:sz w:val="24"/>
          <w:szCs w:val="24"/>
        </w:rPr>
      </w:pPr>
      <w:r>
        <w:rPr>
          <w:rFonts w:hint="eastAsia" w:ascii="宋体" w:hAnsi="宋体"/>
          <w:color w:val="auto"/>
          <w:sz w:val="24"/>
          <w:szCs w:val="24"/>
          <w:lang w:val="en-US" w:eastAsia="zh-CN"/>
        </w:rPr>
        <w:t>13</w:t>
      </w:r>
      <w:r>
        <w:rPr>
          <w:rFonts w:hint="eastAsia" w:ascii="宋体" w:hAnsi="宋体"/>
          <w:color w:val="auto"/>
          <w:sz w:val="24"/>
          <w:szCs w:val="24"/>
        </w:rPr>
        <w:t>、关于资格的声明函</w:t>
      </w:r>
    </w:p>
    <w:p>
      <w:pPr>
        <w:snapToGrid w:val="0"/>
        <w:spacing w:line="560" w:lineRule="atLeast"/>
        <w:textAlignment w:val="top"/>
        <w:rPr>
          <w:rFonts w:ascii="宋体"/>
          <w:color w:val="auto"/>
          <w:sz w:val="24"/>
          <w:szCs w:val="24"/>
        </w:rPr>
      </w:pPr>
      <w:r>
        <w:rPr>
          <w:rFonts w:hint="eastAsia" w:ascii="宋体" w:hAnsi="宋体"/>
          <w:color w:val="auto"/>
          <w:sz w:val="24"/>
          <w:szCs w:val="24"/>
          <w:lang w:val="en-US" w:eastAsia="zh-CN"/>
        </w:rPr>
        <w:t>14</w:t>
      </w:r>
      <w:r>
        <w:rPr>
          <w:rFonts w:hint="eastAsia" w:ascii="宋体" w:hAnsi="宋体"/>
          <w:color w:val="auto"/>
          <w:sz w:val="24"/>
          <w:szCs w:val="24"/>
        </w:rPr>
        <w:t>、《招标文件》第一章“招标公告”第二条所要求的资格性证明文件</w:t>
      </w:r>
    </w:p>
    <w:p>
      <w:pPr>
        <w:snapToGrid w:val="0"/>
        <w:spacing w:line="560" w:lineRule="atLeast"/>
        <w:textAlignment w:val="top"/>
        <w:rPr>
          <w:rFonts w:ascii="宋体"/>
          <w:color w:val="auto"/>
          <w:sz w:val="24"/>
          <w:szCs w:val="24"/>
        </w:rPr>
      </w:pPr>
    </w:p>
    <w:p>
      <w:pPr>
        <w:snapToGrid w:val="0"/>
        <w:spacing w:line="560" w:lineRule="atLeast"/>
        <w:ind w:firstLine="708" w:firstLineChars="295"/>
        <w:textAlignment w:val="top"/>
        <w:rPr>
          <w:rFonts w:ascii="宋体"/>
          <w:color w:val="auto"/>
          <w:sz w:val="24"/>
          <w:szCs w:val="24"/>
        </w:rPr>
      </w:pPr>
      <w:r>
        <w:rPr>
          <w:rFonts w:hint="eastAsia" w:ascii="宋体" w:hAnsi="宋体"/>
          <w:color w:val="auto"/>
          <w:sz w:val="24"/>
          <w:szCs w:val="24"/>
          <w:lang w:val="en-US" w:eastAsia="zh-CN"/>
        </w:rPr>
        <w:t>14</w:t>
      </w:r>
      <w:r>
        <w:rPr>
          <w:rFonts w:ascii="宋体" w:hAnsi="宋体"/>
          <w:color w:val="auto"/>
          <w:sz w:val="24"/>
          <w:szCs w:val="24"/>
        </w:rPr>
        <w:t>-1</w:t>
      </w:r>
      <w:r>
        <w:rPr>
          <w:rFonts w:hint="eastAsia" w:ascii="宋体" w:hAnsi="宋体"/>
          <w:color w:val="auto"/>
          <w:sz w:val="24"/>
          <w:szCs w:val="24"/>
        </w:rPr>
        <w:t>、具有独立承担民事责任能力的证明文件；</w:t>
      </w:r>
    </w:p>
    <w:p>
      <w:pPr>
        <w:snapToGrid w:val="0"/>
        <w:spacing w:line="560" w:lineRule="atLeast"/>
        <w:ind w:left="1416" w:leftChars="337" w:hanging="708" w:hangingChars="295"/>
        <w:textAlignment w:val="top"/>
        <w:rPr>
          <w:rFonts w:ascii="宋体"/>
          <w:color w:val="auto"/>
          <w:sz w:val="24"/>
          <w:szCs w:val="24"/>
        </w:rPr>
      </w:pPr>
      <w:r>
        <w:rPr>
          <w:rFonts w:hint="eastAsia" w:ascii="宋体" w:hAnsi="宋体"/>
          <w:color w:val="auto"/>
          <w:sz w:val="24"/>
          <w:szCs w:val="24"/>
          <w:lang w:val="en-US" w:eastAsia="zh-CN"/>
        </w:rPr>
        <w:t>14</w:t>
      </w:r>
      <w:r>
        <w:rPr>
          <w:rFonts w:ascii="宋体" w:hAnsi="宋体"/>
          <w:color w:val="auto"/>
          <w:sz w:val="24"/>
          <w:szCs w:val="24"/>
        </w:rPr>
        <w:t>-2</w:t>
      </w:r>
      <w:r>
        <w:rPr>
          <w:rFonts w:hint="eastAsia" w:ascii="宋体" w:hAnsi="宋体"/>
          <w:color w:val="auto"/>
          <w:sz w:val="24"/>
          <w:szCs w:val="24"/>
        </w:rPr>
        <w:t>、具有良好的商业信誉和健全的财务会计制度，有依法缴纳税收和社会保障资金的良好记录的证明文件；</w:t>
      </w:r>
    </w:p>
    <w:p>
      <w:pPr>
        <w:snapToGrid w:val="0"/>
        <w:spacing w:line="560" w:lineRule="atLeast"/>
        <w:ind w:firstLine="708" w:firstLineChars="295"/>
        <w:textAlignment w:val="top"/>
        <w:rPr>
          <w:rFonts w:ascii="宋体"/>
          <w:color w:val="auto"/>
          <w:sz w:val="24"/>
          <w:szCs w:val="24"/>
        </w:rPr>
      </w:pPr>
      <w:r>
        <w:rPr>
          <w:rFonts w:hint="eastAsia" w:ascii="宋体" w:hAnsi="宋体"/>
          <w:color w:val="auto"/>
          <w:sz w:val="24"/>
          <w:szCs w:val="24"/>
          <w:lang w:val="en-US" w:eastAsia="zh-CN"/>
        </w:rPr>
        <w:t>14</w:t>
      </w:r>
      <w:r>
        <w:rPr>
          <w:rFonts w:ascii="宋体" w:hAnsi="宋体"/>
          <w:color w:val="auto"/>
          <w:sz w:val="24"/>
          <w:szCs w:val="24"/>
        </w:rPr>
        <w:t>-3</w:t>
      </w:r>
      <w:r>
        <w:rPr>
          <w:rFonts w:hint="eastAsia" w:ascii="宋体" w:hAnsi="宋体"/>
          <w:color w:val="auto"/>
          <w:sz w:val="24"/>
          <w:szCs w:val="24"/>
        </w:rPr>
        <w:t>、具备履行合同所必需的设备和专业技术能力的证明文件</w:t>
      </w:r>
    </w:p>
    <w:p>
      <w:pPr>
        <w:snapToGrid w:val="0"/>
        <w:spacing w:line="560" w:lineRule="atLeast"/>
        <w:ind w:firstLine="708" w:firstLineChars="295"/>
        <w:textAlignment w:val="top"/>
        <w:rPr>
          <w:rFonts w:ascii="宋体"/>
          <w:color w:val="auto"/>
          <w:sz w:val="24"/>
          <w:szCs w:val="24"/>
        </w:rPr>
      </w:pPr>
      <w:r>
        <w:rPr>
          <w:rFonts w:hint="eastAsia" w:ascii="宋体" w:hAnsi="宋体"/>
          <w:color w:val="auto"/>
          <w:sz w:val="24"/>
          <w:szCs w:val="24"/>
          <w:lang w:val="en-US" w:eastAsia="zh-CN"/>
        </w:rPr>
        <w:t>14</w:t>
      </w:r>
      <w:r>
        <w:rPr>
          <w:rFonts w:ascii="宋体" w:hAnsi="宋体"/>
          <w:color w:val="auto"/>
          <w:sz w:val="24"/>
          <w:szCs w:val="24"/>
        </w:rPr>
        <w:t>-4</w:t>
      </w:r>
      <w:r>
        <w:rPr>
          <w:rFonts w:hint="eastAsia" w:ascii="宋体" w:hAnsi="宋体"/>
          <w:color w:val="auto"/>
          <w:sz w:val="24"/>
          <w:szCs w:val="24"/>
        </w:rPr>
        <w:t>、近三年无重大违法记录的声明函</w:t>
      </w:r>
    </w:p>
    <w:p>
      <w:pPr>
        <w:snapToGrid w:val="0"/>
        <w:spacing w:line="560" w:lineRule="atLeast"/>
        <w:ind w:firstLine="708" w:firstLineChars="295"/>
        <w:textAlignment w:val="top"/>
        <w:rPr>
          <w:rFonts w:ascii="宋体"/>
          <w:color w:val="auto"/>
          <w:sz w:val="24"/>
          <w:szCs w:val="24"/>
        </w:rPr>
      </w:pPr>
      <w:r>
        <w:rPr>
          <w:rFonts w:hint="eastAsia" w:ascii="宋体" w:hAnsi="宋体"/>
          <w:color w:val="auto"/>
          <w:sz w:val="24"/>
          <w:szCs w:val="24"/>
          <w:lang w:val="en-US" w:eastAsia="zh-CN"/>
        </w:rPr>
        <w:t>14</w:t>
      </w:r>
      <w:r>
        <w:rPr>
          <w:rFonts w:ascii="宋体" w:hAnsi="宋体"/>
          <w:color w:val="auto"/>
          <w:sz w:val="24"/>
          <w:szCs w:val="24"/>
        </w:rPr>
        <w:t>-5</w:t>
      </w:r>
      <w:r>
        <w:rPr>
          <w:rFonts w:hint="eastAsia" w:ascii="宋体" w:hAnsi="宋体"/>
          <w:color w:val="auto"/>
          <w:sz w:val="24"/>
          <w:szCs w:val="24"/>
        </w:rPr>
        <w:t>、符合《招标文件》有关联合体要求的声明函</w:t>
      </w:r>
    </w:p>
    <w:p>
      <w:pPr>
        <w:snapToGrid w:val="0"/>
        <w:spacing w:line="560" w:lineRule="atLeast"/>
        <w:ind w:firstLine="708" w:firstLineChars="295"/>
        <w:textAlignment w:val="top"/>
        <w:rPr>
          <w:rFonts w:ascii="宋体"/>
          <w:color w:val="auto"/>
          <w:sz w:val="24"/>
          <w:szCs w:val="24"/>
        </w:rPr>
      </w:pPr>
      <w:r>
        <w:rPr>
          <w:rFonts w:hint="eastAsia" w:ascii="宋体" w:hAnsi="宋体"/>
          <w:color w:val="auto"/>
          <w:sz w:val="24"/>
          <w:szCs w:val="24"/>
          <w:lang w:val="en-US" w:eastAsia="zh-CN"/>
        </w:rPr>
        <w:t>14</w:t>
      </w:r>
      <w:r>
        <w:rPr>
          <w:rFonts w:ascii="宋体" w:hAnsi="宋体"/>
          <w:color w:val="auto"/>
          <w:sz w:val="24"/>
          <w:szCs w:val="24"/>
        </w:rPr>
        <w:t>-6</w:t>
      </w:r>
      <w:r>
        <w:rPr>
          <w:rFonts w:hint="eastAsia" w:ascii="宋体" w:hAnsi="宋体"/>
          <w:color w:val="auto"/>
          <w:sz w:val="24"/>
          <w:szCs w:val="24"/>
        </w:rPr>
        <w:t>、供应商负责人控股、设计等相关承诺书</w:t>
      </w:r>
    </w:p>
    <w:p>
      <w:pPr>
        <w:snapToGrid w:val="0"/>
        <w:spacing w:line="560" w:lineRule="atLeast"/>
        <w:ind w:firstLine="708" w:firstLineChars="295"/>
        <w:textAlignment w:val="top"/>
        <w:rPr>
          <w:rFonts w:ascii="宋体"/>
          <w:color w:val="auto"/>
          <w:sz w:val="24"/>
          <w:szCs w:val="24"/>
        </w:rPr>
      </w:pPr>
      <w:r>
        <w:rPr>
          <w:rFonts w:hint="eastAsia" w:ascii="宋体" w:hAnsi="宋体"/>
          <w:color w:val="auto"/>
          <w:sz w:val="24"/>
          <w:szCs w:val="24"/>
          <w:lang w:val="en-US" w:eastAsia="zh-CN"/>
        </w:rPr>
        <w:t>14</w:t>
      </w:r>
      <w:r>
        <w:rPr>
          <w:rFonts w:ascii="宋体" w:hAnsi="宋体"/>
          <w:color w:val="auto"/>
          <w:sz w:val="24"/>
          <w:szCs w:val="24"/>
        </w:rPr>
        <w:t>-7</w:t>
      </w:r>
      <w:r>
        <w:rPr>
          <w:rFonts w:hint="eastAsia" w:ascii="宋体" w:hAnsi="宋体"/>
          <w:color w:val="auto"/>
          <w:sz w:val="24"/>
          <w:szCs w:val="24"/>
        </w:rPr>
        <w:t>、其他资格证明材料</w:t>
      </w:r>
    </w:p>
    <w:p>
      <w:pPr>
        <w:snapToGrid w:val="0"/>
        <w:spacing w:line="560" w:lineRule="atLeast"/>
        <w:ind w:firstLine="708" w:firstLineChars="295"/>
        <w:textAlignment w:val="top"/>
        <w:rPr>
          <w:rFonts w:ascii="宋体"/>
          <w:color w:val="auto"/>
          <w:sz w:val="24"/>
          <w:szCs w:val="24"/>
        </w:rPr>
      </w:pPr>
    </w:p>
    <w:p>
      <w:pPr>
        <w:tabs>
          <w:tab w:val="left" w:pos="540"/>
        </w:tabs>
        <w:spacing w:line="440" w:lineRule="exact"/>
        <w:jc w:val="center"/>
        <w:rPr>
          <w:rFonts w:ascii="仿宋_GB2312" w:eastAsia="仿宋_GB2312"/>
          <w:color w:val="auto"/>
          <w:sz w:val="32"/>
          <w:szCs w:val="32"/>
        </w:rPr>
      </w:pPr>
      <w:r>
        <w:rPr>
          <w:rFonts w:ascii="仿宋_GB2312" w:eastAsia="仿宋_GB2312"/>
          <w:color w:val="auto"/>
          <w:sz w:val="32"/>
          <w:szCs w:val="32"/>
        </w:rPr>
        <w:br w:type="page"/>
      </w:r>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lang w:val="en-US" w:eastAsia="zh-CN"/>
        </w:rPr>
        <w:t>13</w:t>
      </w:r>
      <w:r>
        <w:rPr>
          <w:rFonts w:hint="eastAsia" w:ascii="黑体" w:hAnsi="黑体" w:eastAsia="黑体"/>
          <w:b/>
          <w:color w:val="auto"/>
          <w:sz w:val="30"/>
          <w:szCs w:val="30"/>
        </w:rPr>
        <w:t>、关于资格的声明函</w:t>
      </w:r>
    </w:p>
    <w:p>
      <w:pPr>
        <w:snapToGrid w:val="0"/>
        <w:spacing w:line="560" w:lineRule="exact"/>
        <w:ind w:firstLine="839"/>
        <w:rPr>
          <w:color w:val="auto"/>
        </w:rPr>
      </w:pPr>
    </w:p>
    <w:p>
      <w:pPr>
        <w:snapToGrid w:val="0"/>
        <w:spacing w:line="560" w:lineRule="exact"/>
        <w:rPr>
          <w:rFonts w:ascii="宋体"/>
          <w:color w:val="auto"/>
          <w:sz w:val="24"/>
        </w:rPr>
      </w:pPr>
      <w:r>
        <w:rPr>
          <w:rFonts w:hint="eastAsia" w:ascii="宋体" w:hAnsi="宋体"/>
          <w:color w:val="auto"/>
          <w:sz w:val="24"/>
        </w:rPr>
        <w:t>中资国际工程咨询集团有限责任公司：</w:t>
      </w:r>
    </w:p>
    <w:p>
      <w:pPr>
        <w:snapToGrid w:val="0"/>
        <w:spacing w:line="560" w:lineRule="exact"/>
        <w:ind w:firstLine="555"/>
        <w:rPr>
          <w:rFonts w:ascii="宋体"/>
          <w:color w:val="auto"/>
          <w:sz w:val="24"/>
        </w:rPr>
      </w:pPr>
      <w:r>
        <w:rPr>
          <w:rFonts w:hint="eastAsia" w:ascii="宋体" w:hAnsi="宋体"/>
          <w:color w:val="auto"/>
          <w:sz w:val="24"/>
        </w:rPr>
        <w:t>关于贵方招标编号为</w:t>
      </w:r>
      <w:r>
        <w:rPr>
          <w:rFonts w:ascii="宋体" w:hAnsi="宋体"/>
          <w:color w:val="auto"/>
          <w:sz w:val="24"/>
        </w:rPr>
        <w:t xml:space="preserve">     </w:t>
      </w:r>
      <w:r>
        <w:rPr>
          <w:rFonts w:hint="eastAsia" w:ascii="宋体" w:hAnsi="宋体"/>
          <w:color w:val="auto"/>
          <w:sz w:val="24"/>
        </w:rPr>
        <w:t>的招标公告，本签字人愿意参加投标，提供招标文件中规定的产品及服务，并声明提交下列文件是准确的、真实的和有效的。</w:t>
      </w:r>
    </w:p>
    <w:p>
      <w:pPr>
        <w:snapToGrid w:val="0"/>
        <w:spacing w:line="560" w:lineRule="exact"/>
        <w:ind w:firstLine="555"/>
        <w:rPr>
          <w:rFonts w:ascii="宋体"/>
          <w:color w:val="auto"/>
          <w:sz w:val="24"/>
        </w:rPr>
      </w:pPr>
      <w:r>
        <w:rPr>
          <w:rFonts w:ascii="宋体" w:hAnsi="宋体"/>
          <w:color w:val="auto"/>
          <w:sz w:val="24"/>
        </w:rPr>
        <w:t xml:space="preserve">1. </w:t>
      </w:r>
      <w:r>
        <w:rPr>
          <w:rFonts w:hint="eastAsia" w:ascii="宋体" w:hAnsi="宋体"/>
          <w:color w:val="auto"/>
          <w:sz w:val="24"/>
        </w:rPr>
        <w:t>由工商行政管理局签发的我方营业执照。</w:t>
      </w:r>
    </w:p>
    <w:p>
      <w:pPr>
        <w:snapToGrid w:val="0"/>
        <w:spacing w:line="560" w:lineRule="exact"/>
        <w:ind w:firstLine="555"/>
        <w:rPr>
          <w:rFonts w:ascii="宋体"/>
          <w:color w:val="auto"/>
          <w:sz w:val="24"/>
        </w:rPr>
      </w:pPr>
      <w:r>
        <w:rPr>
          <w:rFonts w:ascii="宋体" w:hAnsi="宋体"/>
          <w:color w:val="auto"/>
          <w:sz w:val="24"/>
        </w:rPr>
        <w:t xml:space="preserve">2. </w:t>
      </w:r>
      <w:r>
        <w:rPr>
          <w:rFonts w:hint="eastAsia" w:ascii="宋体" w:hAnsi="宋体"/>
          <w:color w:val="auto"/>
          <w:sz w:val="24"/>
        </w:rPr>
        <w:t>税务部门颁发的《税务登记证》。</w:t>
      </w:r>
    </w:p>
    <w:p>
      <w:pPr>
        <w:snapToGrid w:val="0"/>
        <w:spacing w:line="560" w:lineRule="exact"/>
        <w:ind w:firstLine="555"/>
        <w:rPr>
          <w:rFonts w:ascii="宋体"/>
          <w:color w:val="auto"/>
          <w:sz w:val="24"/>
        </w:rPr>
      </w:pPr>
      <w:r>
        <w:rPr>
          <w:rFonts w:ascii="宋体" w:hAnsi="宋体"/>
          <w:color w:val="auto"/>
          <w:sz w:val="24"/>
        </w:rPr>
        <w:t xml:space="preserve">3. </w:t>
      </w:r>
      <w:r>
        <w:rPr>
          <w:rFonts w:hint="eastAsia" w:ascii="宋体" w:hAnsi="宋体"/>
          <w:color w:val="auto"/>
          <w:sz w:val="24"/>
        </w:rPr>
        <w:t>符合《中华人民共和国政府采购法》第二十二条规定的其他证件材料或证明材料。</w:t>
      </w:r>
    </w:p>
    <w:p>
      <w:pPr>
        <w:snapToGrid w:val="0"/>
        <w:spacing w:line="560" w:lineRule="exact"/>
        <w:ind w:firstLine="555"/>
        <w:rPr>
          <w:rFonts w:ascii="宋体"/>
          <w:color w:val="auto"/>
          <w:sz w:val="24"/>
        </w:rPr>
      </w:pPr>
      <w:r>
        <w:rPr>
          <w:rFonts w:ascii="宋体" w:hAnsi="宋体"/>
          <w:color w:val="auto"/>
          <w:sz w:val="24"/>
        </w:rPr>
        <w:t xml:space="preserve">4. </w:t>
      </w:r>
      <w:r>
        <w:rPr>
          <w:rFonts w:hint="eastAsia" w:ascii="宋体" w:hAnsi="宋体"/>
          <w:color w:val="auto"/>
          <w:sz w:val="24"/>
        </w:rPr>
        <w:t>采购项目中必须的其他证件。</w:t>
      </w:r>
    </w:p>
    <w:p>
      <w:pPr>
        <w:snapToGrid w:val="0"/>
        <w:spacing w:line="560" w:lineRule="exact"/>
        <w:ind w:firstLine="555"/>
        <w:rPr>
          <w:rFonts w:ascii="宋体"/>
          <w:color w:val="auto"/>
          <w:sz w:val="24"/>
        </w:rPr>
      </w:pPr>
      <w:r>
        <w:rPr>
          <w:rFonts w:ascii="宋体" w:hAnsi="宋体"/>
          <w:color w:val="auto"/>
          <w:sz w:val="24"/>
        </w:rPr>
        <w:t xml:space="preserve">5. </w:t>
      </w:r>
      <w:r>
        <w:rPr>
          <w:rFonts w:hint="eastAsia" w:ascii="宋体" w:hAnsi="宋体"/>
          <w:color w:val="auto"/>
          <w:sz w:val="24"/>
        </w:rPr>
        <w:t>本签字人确认资格文件中的说明是真实的、准确的。</w:t>
      </w:r>
    </w:p>
    <w:p>
      <w:pPr>
        <w:snapToGrid w:val="0"/>
        <w:spacing w:line="560" w:lineRule="exact"/>
        <w:ind w:firstLine="555"/>
        <w:rPr>
          <w:rFonts w:ascii="宋体"/>
          <w:color w:val="auto"/>
          <w:sz w:val="24"/>
        </w:rPr>
      </w:pPr>
    </w:p>
    <w:p>
      <w:pPr>
        <w:snapToGrid w:val="0"/>
        <w:spacing w:line="560" w:lineRule="exact"/>
        <w:ind w:firstLine="555"/>
        <w:rPr>
          <w:rFonts w:ascii="宋体"/>
          <w:color w:val="auto"/>
          <w:sz w:val="24"/>
        </w:rPr>
      </w:pPr>
    </w:p>
    <w:p>
      <w:pPr>
        <w:snapToGrid w:val="0"/>
        <w:spacing w:line="560" w:lineRule="exact"/>
        <w:ind w:firstLine="555"/>
        <w:rPr>
          <w:rFonts w:ascii="宋体"/>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rFonts w:ascii="宋体"/>
          <w:color w:val="auto"/>
          <w:sz w:val="24"/>
        </w:rPr>
      </w:pPr>
      <w:r>
        <w:rPr>
          <w:rFonts w:hint="eastAsia"/>
          <w:color w:val="auto"/>
          <w:sz w:val="24"/>
          <w:szCs w:val="24"/>
        </w:rPr>
        <w:t>法定代表人（电子签名）：</w:t>
      </w:r>
    </w:p>
    <w:p>
      <w:pPr>
        <w:widowControl w:val="0"/>
        <w:tabs>
          <w:tab w:val="left" w:pos="9365"/>
        </w:tabs>
        <w:snapToGrid w:val="0"/>
        <w:spacing w:after="56" w:line="560" w:lineRule="exact"/>
        <w:ind w:right="85"/>
        <w:jc w:val="left"/>
        <w:textAlignment w:val="top"/>
        <w:rPr>
          <w:rFonts w:ascii="宋体" w:cs="楷体_GB2312"/>
          <w:color w:val="auto"/>
          <w:sz w:val="24"/>
          <w:lang w:val="zh-CN"/>
        </w:rPr>
      </w:pPr>
      <w:r>
        <w:rPr>
          <w:rFonts w:hint="eastAsia" w:ascii="宋体" w:hAnsi="宋体"/>
          <w:color w:val="auto"/>
          <w:spacing w:val="8"/>
          <w:sz w:val="24"/>
        </w:rPr>
        <w:t>日期：</w:t>
      </w:r>
      <w:r>
        <w:rPr>
          <w:rFonts w:hint="eastAsia" w:ascii="宋体" w:hAnsi="宋体" w:cs="楷体_GB2312"/>
          <w:color w:val="auto"/>
          <w:sz w:val="24"/>
          <w:lang w:val="zh-CN"/>
        </w:rPr>
        <w:t>年月日</w:t>
      </w:r>
    </w:p>
    <w:p>
      <w:pPr>
        <w:widowControl w:val="0"/>
        <w:tabs>
          <w:tab w:val="left" w:pos="9365"/>
        </w:tabs>
        <w:snapToGrid w:val="0"/>
        <w:spacing w:after="56" w:line="560" w:lineRule="exact"/>
        <w:ind w:right="85"/>
        <w:jc w:val="left"/>
        <w:textAlignment w:val="top"/>
        <w:rPr>
          <w:rFonts w:ascii="宋体" w:cs="楷体_GB2312"/>
          <w:color w:val="auto"/>
          <w:sz w:val="24"/>
          <w:lang w:val="zh-CN"/>
        </w:rPr>
      </w:pPr>
      <w:r>
        <w:rPr>
          <w:rFonts w:ascii="宋体" w:cs="楷体_GB2312"/>
          <w:color w:val="auto"/>
          <w:sz w:val="24"/>
          <w:lang w:val="zh-CN"/>
        </w:rPr>
        <w:br w:type="page"/>
      </w:r>
    </w:p>
    <w:p>
      <w:pPr>
        <w:widowControl w:val="0"/>
        <w:tabs>
          <w:tab w:val="left" w:pos="9365"/>
        </w:tabs>
        <w:snapToGrid w:val="0"/>
        <w:spacing w:after="56" w:line="560" w:lineRule="exact"/>
        <w:ind w:right="85"/>
        <w:jc w:val="left"/>
        <w:textAlignment w:val="top"/>
        <w:rPr>
          <w:rFonts w:ascii="黑体" w:hAnsi="黑体" w:eastAsia="黑体"/>
          <w:b/>
          <w:color w:val="auto"/>
          <w:sz w:val="30"/>
          <w:szCs w:val="30"/>
        </w:rPr>
      </w:pPr>
      <w:r>
        <w:rPr>
          <w:rFonts w:hint="eastAsia" w:ascii="黑体" w:hAnsi="黑体" w:eastAsia="黑体"/>
          <w:b/>
          <w:color w:val="auto"/>
          <w:sz w:val="30"/>
          <w:szCs w:val="30"/>
          <w:lang w:val="en-US" w:eastAsia="zh-CN"/>
        </w:rPr>
        <w:t>14</w:t>
      </w:r>
      <w:r>
        <w:rPr>
          <w:rFonts w:hint="eastAsia" w:ascii="黑体" w:hAnsi="黑体" w:eastAsia="黑体"/>
          <w:b/>
          <w:color w:val="auto"/>
          <w:sz w:val="30"/>
          <w:szCs w:val="30"/>
        </w:rPr>
        <w:t>、《招标文件》第一章“招标公告”第二条所要求的资格性证明文件</w:t>
      </w:r>
    </w:p>
    <w:p>
      <w:pPr>
        <w:widowControl w:val="0"/>
        <w:tabs>
          <w:tab w:val="left" w:pos="9365"/>
        </w:tabs>
        <w:snapToGrid w:val="0"/>
        <w:spacing w:after="56" w:line="560" w:lineRule="exact"/>
        <w:ind w:right="85"/>
        <w:jc w:val="left"/>
        <w:textAlignment w:val="top"/>
        <w:rPr>
          <w:rFonts w:ascii="黑体" w:hAnsi="黑体" w:eastAsia="黑体"/>
          <w:b/>
          <w:color w:val="auto"/>
          <w:sz w:val="30"/>
          <w:szCs w:val="30"/>
        </w:rPr>
      </w:pPr>
    </w:p>
    <w:p>
      <w:pPr>
        <w:widowControl w:val="0"/>
        <w:tabs>
          <w:tab w:val="left" w:pos="9365"/>
        </w:tabs>
        <w:snapToGrid w:val="0"/>
        <w:spacing w:after="56" w:line="560" w:lineRule="exact"/>
        <w:ind w:right="85"/>
        <w:jc w:val="left"/>
        <w:textAlignment w:val="top"/>
        <w:rPr>
          <w:rFonts w:ascii="宋体" w:cs="楷体_GB2312"/>
          <w:color w:val="auto"/>
          <w:sz w:val="24"/>
          <w:lang w:val="zh-CN"/>
        </w:rPr>
      </w:pPr>
    </w:p>
    <w:p>
      <w:pPr>
        <w:widowControl w:val="0"/>
        <w:tabs>
          <w:tab w:val="left" w:pos="9365"/>
        </w:tabs>
        <w:snapToGrid w:val="0"/>
        <w:spacing w:after="56" w:line="560" w:lineRule="exact"/>
        <w:ind w:right="85"/>
        <w:jc w:val="left"/>
        <w:textAlignment w:val="top"/>
        <w:rPr>
          <w:rFonts w:ascii="黑体" w:hAnsi="黑体" w:eastAsia="黑体"/>
          <w:b/>
          <w:color w:val="auto"/>
          <w:sz w:val="30"/>
          <w:szCs w:val="30"/>
        </w:rPr>
      </w:pPr>
      <w:r>
        <w:rPr>
          <w:rFonts w:hint="eastAsia" w:ascii="黑体" w:hAnsi="黑体" w:eastAsia="黑体"/>
          <w:b/>
          <w:color w:val="auto"/>
          <w:sz w:val="30"/>
          <w:szCs w:val="30"/>
          <w:lang w:val="en-US" w:eastAsia="zh-CN"/>
        </w:rPr>
        <w:t>14</w:t>
      </w:r>
      <w:r>
        <w:rPr>
          <w:rFonts w:ascii="黑体" w:hAnsi="黑体" w:eastAsia="黑体"/>
          <w:b/>
          <w:color w:val="auto"/>
          <w:sz w:val="30"/>
          <w:szCs w:val="30"/>
        </w:rPr>
        <w:t>-1</w:t>
      </w:r>
      <w:r>
        <w:rPr>
          <w:rFonts w:hint="eastAsia" w:ascii="黑体" w:hAnsi="黑体" w:eastAsia="黑体"/>
          <w:b/>
          <w:color w:val="auto"/>
          <w:sz w:val="30"/>
          <w:szCs w:val="30"/>
        </w:rPr>
        <w:t>、具有独立承担民事责任能力的证明文件</w:t>
      </w:r>
    </w:p>
    <w:p>
      <w:pPr>
        <w:snapToGrid w:val="0"/>
        <w:spacing w:line="560" w:lineRule="atLeast"/>
        <w:ind w:firstLine="480" w:firstLineChars="200"/>
        <w:rPr>
          <w:rFonts w:ascii="宋体"/>
          <w:color w:val="auto"/>
          <w:sz w:val="24"/>
          <w:szCs w:val="24"/>
        </w:rPr>
      </w:pPr>
      <w:r>
        <w:rPr>
          <w:rFonts w:hint="eastAsia"/>
          <w:color w:val="auto"/>
          <w:sz w:val="24"/>
          <w:szCs w:val="24"/>
        </w:rPr>
        <w:t>见“第一章招标公告”第二条相应要求</w:t>
      </w:r>
      <w:r>
        <w:rPr>
          <w:rFonts w:hint="eastAsia" w:ascii="宋体" w:hAnsi="宋体"/>
          <w:color w:val="auto"/>
          <w:sz w:val="24"/>
          <w:szCs w:val="24"/>
        </w:rPr>
        <w:t>（按招标文件要求提供，并按要求</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w:t>
      </w:r>
    </w:p>
    <w:p>
      <w:pPr>
        <w:snapToGrid w:val="0"/>
        <w:spacing w:line="560" w:lineRule="atLeast"/>
        <w:rPr>
          <w:rFonts w:ascii="宋体"/>
          <w:color w:val="auto"/>
          <w:sz w:val="24"/>
          <w:szCs w:val="24"/>
        </w:rPr>
      </w:pPr>
    </w:p>
    <w:p>
      <w:pPr>
        <w:snapToGrid w:val="0"/>
        <w:spacing w:line="560" w:lineRule="atLeast"/>
        <w:rPr>
          <w:color w:val="auto"/>
          <w:sz w:val="24"/>
          <w:szCs w:val="24"/>
        </w:rPr>
      </w:pPr>
    </w:p>
    <w:p>
      <w:pPr>
        <w:snapToGrid w:val="0"/>
        <w:spacing w:line="560" w:lineRule="atLeast"/>
        <w:rPr>
          <w:rFonts w:ascii="宋体"/>
          <w:color w:val="auto"/>
          <w:sz w:val="24"/>
          <w:szCs w:val="24"/>
        </w:rPr>
      </w:pPr>
    </w:p>
    <w:p>
      <w:pPr>
        <w:widowControl w:val="0"/>
        <w:tabs>
          <w:tab w:val="left" w:pos="9365"/>
        </w:tabs>
        <w:snapToGrid w:val="0"/>
        <w:spacing w:after="56" w:line="560" w:lineRule="exact"/>
        <w:ind w:right="85"/>
        <w:jc w:val="left"/>
        <w:textAlignment w:val="top"/>
        <w:rPr>
          <w:rFonts w:ascii="黑体" w:hAnsi="黑体" w:eastAsia="黑体"/>
          <w:b/>
          <w:color w:val="auto"/>
          <w:sz w:val="30"/>
          <w:szCs w:val="30"/>
        </w:rPr>
      </w:pPr>
      <w:r>
        <w:rPr>
          <w:rFonts w:hint="eastAsia" w:ascii="黑体" w:hAnsi="黑体" w:eastAsia="黑体"/>
          <w:b/>
          <w:color w:val="auto"/>
          <w:sz w:val="30"/>
          <w:szCs w:val="30"/>
          <w:lang w:val="en-US" w:eastAsia="zh-CN"/>
        </w:rPr>
        <w:t>14</w:t>
      </w:r>
      <w:r>
        <w:rPr>
          <w:rFonts w:ascii="黑体" w:hAnsi="黑体" w:eastAsia="黑体"/>
          <w:b/>
          <w:color w:val="auto"/>
          <w:sz w:val="30"/>
          <w:szCs w:val="30"/>
        </w:rPr>
        <w:t>-2</w:t>
      </w:r>
      <w:r>
        <w:rPr>
          <w:rFonts w:hint="eastAsia" w:ascii="黑体" w:hAnsi="黑体" w:eastAsia="黑体"/>
          <w:b/>
          <w:color w:val="auto"/>
          <w:sz w:val="30"/>
          <w:szCs w:val="30"/>
        </w:rPr>
        <w:t>、具有良好的商业信誉和健全的财务会计制度，有依法缴纳税收和社会保障资金的良好记录的证明文件。</w:t>
      </w:r>
    </w:p>
    <w:p>
      <w:pPr>
        <w:snapToGrid w:val="0"/>
        <w:spacing w:line="560" w:lineRule="atLeast"/>
        <w:ind w:firstLine="480" w:firstLineChars="200"/>
        <w:rPr>
          <w:rFonts w:ascii="宋体"/>
          <w:color w:val="auto"/>
          <w:sz w:val="24"/>
          <w:szCs w:val="24"/>
        </w:rPr>
      </w:pPr>
      <w:r>
        <w:rPr>
          <w:rFonts w:hint="eastAsia"/>
          <w:color w:val="auto"/>
          <w:sz w:val="24"/>
          <w:szCs w:val="24"/>
        </w:rPr>
        <w:t>见“第一章招标公告”第二条相应要求</w:t>
      </w:r>
      <w:r>
        <w:rPr>
          <w:rFonts w:hint="eastAsia" w:ascii="宋体" w:hAnsi="宋体"/>
          <w:color w:val="auto"/>
          <w:sz w:val="24"/>
          <w:szCs w:val="24"/>
        </w:rPr>
        <w:t>（按招标文件要求提供，并按要求</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w:t>
      </w:r>
    </w:p>
    <w:p>
      <w:pPr>
        <w:snapToGrid w:val="0"/>
        <w:spacing w:line="560" w:lineRule="atLeast"/>
        <w:rPr>
          <w:rFonts w:ascii="宋体"/>
          <w:color w:val="auto"/>
          <w:sz w:val="24"/>
          <w:szCs w:val="24"/>
        </w:rPr>
      </w:pPr>
    </w:p>
    <w:p>
      <w:pPr>
        <w:snapToGrid w:val="0"/>
        <w:spacing w:line="560" w:lineRule="atLeast"/>
        <w:rPr>
          <w:rFonts w:ascii="宋体"/>
          <w:color w:val="auto"/>
          <w:sz w:val="24"/>
          <w:szCs w:val="24"/>
        </w:rPr>
      </w:pPr>
    </w:p>
    <w:p>
      <w:pPr>
        <w:snapToGrid w:val="0"/>
        <w:spacing w:line="560" w:lineRule="atLeast"/>
        <w:rPr>
          <w:rFonts w:ascii="宋体"/>
          <w:b/>
          <w:color w:val="auto"/>
          <w:sz w:val="24"/>
          <w:szCs w:val="24"/>
        </w:rPr>
      </w:pPr>
    </w:p>
    <w:p>
      <w:pPr>
        <w:widowControl w:val="0"/>
        <w:tabs>
          <w:tab w:val="left" w:pos="9365"/>
        </w:tabs>
        <w:snapToGrid w:val="0"/>
        <w:spacing w:after="56" w:line="560" w:lineRule="exact"/>
        <w:ind w:right="85"/>
        <w:jc w:val="left"/>
        <w:textAlignment w:val="top"/>
        <w:rPr>
          <w:rFonts w:ascii="黑体" w:hAnsi="黑体" w:eastAsia="黑体"/>
          <w:b/>
          <w:color w:val="auto"/>
          <w:sz w:val="30"/>
          <w:szCs w:val="30"/>
        </w:rPr>
      </w:pPr>
      <w:r>
        <w:rPr>
          <w:rFonts w:hint="eastAsia" w:ascii="黑体" w:hAnsi="黑体" w:eastAsia="黑体"/>
          <w:b/>
          <w:color w:val="auto"/>
          <w:sz w:val="30"/>
          <w:szCs w:val="30"/>
          <w:lang w:val="en-US" w:eastAsia="zh-CN"/>
        </w:rPr>
        <w:t>14</w:t>
      </w:r>
      <w:r>
        <w:rPr>
          <w:rFonts w:ascii="黑体" w:hAnsi="黑体" w:eastAsia="黑体"/>
          <w:b/>
          <w:color w:val="auto"/>
          <w:sz w:val="30"/>
          <w:szCs w:val="30"/>
        </w:rPr>
        <w:t>-3</w:t>
      </w:r>
      <w:r>
        <w:rPr>
          <w:rFonts w:hint="eastAsia" w:ascii="黑体" w:hAnsi="黑体" w:eastAsia="黑体"/>
          <w:b/>
          <w:color w:val="auto"/>
          <w:sz w:val="30"/>
          <w:szCs w:val="30"/>
        </w:rPr>
        <w:t>、具备履行合同所必需的设备和专业技术能力的证明文件</w:t>
      </w:r>
    </w:p>
    <w:p>
      <w:pPr>
        <w:snapToGrid w:val="0"/>
        <w:spacing w:line="560" w:lineRule="atLeast"/>
        <w:ind w:firstLine="480" w:firstLineChars="200"/>
        <w:rPr>
          <w:rFonts w:ascii="宋体"/>
          <w:color w:val="auto"/>
          <w:sz w:val="24"/>
          <w:szCs w:val="24"/>
        </w:rPr>
      </w:pPr>
      <w:r>
        <w:rPr>
          <w:rFonts w:hint="eastAsia"/>
          <w:color w:val="auto"/>
          <w:sz w:val="24"/>
          <w:szCs w:val="24"/>
        </w:rPr>
        <w:t>见“第一章招标公告”第二条相应要求</w:t>
      </w:r>
      <w:r>
        <w:rPr>
          <w:rFonts w:hint="eastAsia" w:ascii="宋体" w:hAnsi="宋体"/>
          <w:color w:val="auto"/>
          <w:sz w:val="24"/>
          <w:szCs w:val="24"/>
        </w:rPr>
        <w:t>（按招标文件要求提供，并按要求</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w:t>
      </w:r>
    </w:p>
    <w:p>
      <w:pPr>
        <w:snapToGrid w:val="0"/>
        <w:spacing w:line="560" w:lineRule="atLeast"/>
        <w:rPr>
          <w:rFonts w:ascii="宋体"/>
          <w:color w:val="auto"/>
          <w:sz w:val="24"/>
          <w:szCs w:val="24"/>
        </w:rPr>
      </w:pPr>
    </w:p>
    <w:p>
      <w:pPr>
        <w:widowControl w:val="0"/>
        <w:snapToGrid w:val="0"/>
        <w:spacing w:line="560" w:lineRule="exact"/>
        <w:jc w:val="center"/>
        <w:rPr>
          <w:rFonts w:eastAsia="方正黑体简体"/>
          <w:b/>
          <w:color w:val="auto"/>
          <w:sz w:val="30"/>
          <w:szCs w:val="30"/>
        </w:rPr>
      </w:pPr>
    </w:p>
    <w:p>
      <w:pPr>
        <w:snapToGrid w:val="0"/>
        <w:spacing w:line="560" w:lineRule="atLeast"/>
        <w:textAlignment w:val="top"/>
        <w:rPr>
          <w:color w:val="auto"/>
          <w:sz w:val="24"/>
          <w:szCs w:val="24"/>
        </w:rPr>
      </w:pP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ascii="黑体" w:hAnsi="黑体" w:eastAsia="黑体"/>
          <w:b/>
          <w:color w:val="auto"/>
          <w:sz w:val="30"/>
          <w:szCs w:val="30"/>
        </w:rPr>
        <w:br w:type="page"/>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lang w:val="en-US" w:eastAsia="zh-CN"/>
        </w:rPr>
        <w:t>14</w:t>
      </w:r>
      <w:r>
        <w:rPr>
          <w:rFonts w:ascii="黑体" w:hAnsi="黑体" w:eastAsia="黑体"/>
          <w:b/>
          <w:color w:val="auto"/>
          <w:sz w:val="30"/>
          <w:szCs w:val="30"/>
        </w:rPr>
        <w:t>-4</w:t>
      </w:r>
      <w:r>
        <w:rPr>
          <w:rFonts w:hint="eastAsia" w:ascii="黑体" w:hAnsi="黑体" w:eastAsia="黑体"/>
          <w:b/>
          <w:color w:val="auto"/>
          <w:sz w:val="30"/>
          <w:szCs w:val="30"/>
        </w:rPr>
        <w:t>、近三年无重大违法记录的声明函</w:t>
      </w:r>
    </w:p>
    <w:p>
      <w:pPr>
        <w:tabs>
          <w:tab w:val="left" w:pos="9365"/>
        </w:tabs>
        <w:spacing w:before="57" w:after="57" w:line="586" w:lineRule="atLeast"/>
        <w:ind w:right="85"/>
        <w:jc w:val="left"/>
        <w:textAlignment w:val="top"/>
        <w:rPr>
          <w:rFonts w:ascii="宋体"/>
          <w:color w:val="auto"/>
          <w:sz w:val="24"/>
          <w:szCs w:val="24"/>
        </w:rPr>
      </w:pPr>
    </w:p>
    <w:p>
      <w:pPr>
        <w:tabs>
          <w:tab w:val="left" w:pos="9365"/>
        </w:tabs>
        <w:spacing w:before="57" w:after="57" w:line="586" w:lineRule="atLeast"/>
        <w:ind w:right="85"/>
        <w:jc w:val="left"/>
        <w:textAlignment w:val="top"/>
        <w:rPr>
          <w:rFonts w:ascii="宋体"/>
          <w:color w:val="auto"/>
          <w:sz w:val="24"/>
          <w:szCs w:val="24"/>
        </w:rPr>
      </w:pPr>
      <w:r>
        <w:rPr>
          <w:rFonts w:hint="eastAsia" w:ascii="宋体" w:hAnsi="宋体"/>
          <w:color w:val="auto"/>
          <w:sz w:val="24"/>
        </w:rPr>
        <w:t>中资国际工程咨询集团有限责任公司：</w:t>
      </w:r>
    </w:p>
    <w:p>
      <w:pPr>
        <w:tabs>
          <w:tab w:val="left" w:pos="9365"/>
        </w:tabs>
        <w:spacing w:before="57" w:after="57" w:line="586" w:lineRule="atLeast"/>
        <w:ind w:right="85" w:firstLine="600" w:firstLineChars="250"/>
        <w:jc w:val="left"/>
        <w:textAlignment w:val="top"/>
        <w:rPr>
          <w:rFonts w:ascii="宋体"/>
          <w:color w:val="auto"/>
          <w:sz w:val="24"/>
          <w:szCs w:val="24"/>
        </w:rPr>
      </w:pPr>
      <w:r>
        <w:rPr>
          <w:rFonts w:hint="eastAsia" w:ascii="宋体" w:hAnsi="宋体"/>
          <w:color w:val="auto"/>
          <w:sz w:val="24"/>
          <w:szCs w:val="24"/>
        </w:rPr>
        <w:t>我单位在参加政府采购活动前三年内，在经营活动中没有重大违法记录。</w:t>
      </w:r>
    </w:p>
    <w:p>
      <w:pPr>
        <w:tabs>
          <w:tab w:val="left" w:pos="9365"/>
        </w:tabs>
        <w:spacing w:before="57" w:after="57" w:line="586" w:lineRule="atLeast"/>
        <w:ind w:right="85" w:firstLine="600" w:firstLineChars="250"/>
        <w:jc w:val="left"/>
        <w:textAlignment w:val="top"/>
        <w:rPr>
          <w:rFonts w:ascii="宋体"/>
          <w:color w:val="auto"/>
          <w:sz w:val="24"/>
          <w:szCs w:val="24"/>
        </w:rPr>
      </w:pPr>
      <w:r>
        <w:rPr>
          <w:rFonts w:hint="eastAsia" w:ascii="宋体" w:hAnsi="宋体"/>
          <w:color w:val="auto"/>
          <w:sz w:val="24"/>
          <w:szCs w:val="24"/>
        </w:rPr>
        <w:t>特此承诺。</w:t>
      </w:r>
    </w:p>
    <w:p>
      <w:pPr>
        <w:tabs>
          <w:tab w:val="left" w:pos="9365"/>
        </w:tabs>
        <w:spacing w:before="57" w:after="57" w:line="586" w:lineRule="atLeast"/>
        <w:ind w:right="85"/>
        <w:jc w:val="left"/>
        <w:textAlignment w:val="top"/>
        <w:rPr>
          <w:rFonts w:ascii="宋体"/>
          <w:color w:val="auto"/>
          <w:sz w:val="24"/>
          <w:szCs w:val="24"/>
        </w:rPr>
      </w:pPr>
    </w:p>
    <w:p>
      <w:pPr>
        <w:tabs>
          <w:tab w:val="left" w:pos="9365"/>
        </w:tabs>
        <w:spacing w:before="57" w:after="57" w:line="586" w:lineRule="atLeast"/>
        <w:ind w:right="85"/>
        <w:jc w:val="left"/>
        <w:textAlignment w:val="top"/>
        <w:rPr>
          <w:rFonts w:ascii="宋体"/>
          <w:color w:val="auto"/>
          <w:sz w:val="24"/>
          <w:szCs w:val="24"/>
        </w:rPr>
      </w:pPr>
    </w:p>
    <w:p>
      <w:pPr>
        <w:tabs>
          <w:tab w:val="left" w:pos="9365"/>
        </w:tabs>
        <w:spacing w:before="57" w:after="57" w:line="586" w:lineRule="atLeast"/>
        <w:ind w:right="85"/>
        <w:jc w:val="left"/>
        <w:textAlignment w:val="top"/>
        <w:rPr>
          <w:rFonts w:ascii="宋体"/>
          <w:color w:val="auto"/>
          <w:sz w:val="24"/>
          <w:szCs w:val="24"/>
        </w:rPr>
      </w:pPr>
    </w:p>
    <w:p>
      <w:pPr>
        <w:widowControl w:val="0"/>
        <w:snapToGrid w:val="0"/>
        <w:spacing w:line="360" w:lineRule="auto"/>
        <w:textAlignment w:val="top"/>
        <w:rPr>
          <w:color w:val="auto"/>
          <w:sz w:val="24"/>
          <w:szCs w:val="24"/>
        </w:rPr>
      </w:pPr>
      <w:r>
        <w:rPr>
          <w:rFonts w:hint="eastAsia"/>
          <w:color w:val="auto"/>
          <w:sz w:val="24"/>
          <w:szCs w:val="24"/>
        </w:rPr>
        <w:t>投标人（电子签章）：</w:t>
      </w:r>
    </w:p>
    <w:p>
      <w:pPr>
        <w:widowControl w:val="0"/>
        <w:snapToGrid w:val="0"/>
        <w:spacing w:line="360" w:lineRule="auto"/>
        <w:textAlignment w:val="top"/>
        <w:rPr>
          <w:color w:val="auto"/>
          <w:sz w:val="24"/>
          <w:szCs w:val="24"/>
        </w:rPr>
      </w:pPr>
      <w:r>
        <w:rPr>
          <w:rFonts w:hint="eastAsia"/>
          <w:color w:val="auto"/>
          <w:sz w:val="24"/>
          <w:szCs w:val="24"/>
        </w:rPr>
        <w:t>法定代表人（电子签名）：</w:t>
      </w:r>
    </w:p>
    <w:p>
      <w:pPr>
        <w:widowControl w:val="0"/>
        <w:snapToGrid w:val="0"/>
        <w:spacing w:line="360" w:lineRule="auto"/>
        <w:textAlignment w:val="top"/>
        <w:rPr>
          <w:color w:val="auto"/>
          <w:sz w:val="24"/>
          <w:szCs w:val="24"/>
        </w:rPr>
      </w:pPr>
      <w:r>
        <w:rPr>
          <w:rFonts w:hint="eastAsia"/>
          <w:color w:val="auto"/>
          <w:sz w:val="24"/>
          <w:szCs w:val="24"/>
        </w:rPr>
        <w:t>日期：年月日</w:t>
      </w:r>
    </w:p>
    <w:p>
      <w:pPr>
        <w:widowControl w:val="0"/>
        <w:snapToGrid w:val="0"/>
        <w:spacing w:line="360" w:lineRule="auto"/>
        <w:textAlignment w:val="top"/>
        <w:rPr>
          <w:color w:val="auto"/>
          <w:sz w:val="24"/>
          <w:szCs w:val="24"/>
        </w:rPr>
      </w:pPr>
    </w:p>
    <w:p>
      <w:pPr>
        <w:tabs>
          <w:tab w:val="left" w:pos="540"/>
        </w:tabs>
        <w:spacing w:line="440" w:lineRule="exact"/>
        <w:jc w:val="center"/>
        <w:rPr>
          <w:rFonts w:ascii="黑体" w:hAnsi="黑体" w:eastAsia="黑体"/>
          <w:b/>
          <w:color w:val="auto"/>
          <w:sz w:val="30"/>
          <w:szCs w:val="30"/>
        </w:rPr>
      </w:pPr>
      <w:r>
        <w:rPr>
          <w:rFonts w:ascii="黑体" w:hAnsi="黑体" w:eastAsia="黑体"/>
          <w:b/>
          <w:color w:val="auto"/>
          <w:sz w:val="30"/>
          <w:szCs w:val="30"/>
        </w:rPr>
        <w:br w:type="page"/>
      </w:r>
    </w:p>
    <w:p>
      <w:pPr>
        <w:snapToGrid w:val="0"/>
        <w:spacing w:line="560" w:lineRule="atLeast"/>
        <w:jc w:val="center"/>
        <w:rPr>
          <w:rFonts w:ascii="黑体" w:hAnsi="黑体" w:eastAsia="黑体"/>
          <w:b/>
          <w:color w:val="auto"/>
          <w:sz w:val="30"/>
          <w:szCs w:val="30"/>
        </w:rPr>
      </w:pPr>
      <w:r>
        <w:rPr>
          <w:rFonts w:hint="eastAsia" w:ascii="黑体" w:hAnsi="黑体" w:eastAsia="黑体"/>
          <w:b/>
          <w:color w:val="auto"/>
          <w:sz w:val="30"/>
          <w:szCs w:val="30"/>
          <w:lang w:val="en-US" w:eastAsia="zh-CN"/>
        </w:rPr>
        <w:t>14</w:t>
      </w:r>
      <w:r>
        <w:rPr>
          <w:rFonts w:ascii="黑体" w:hAnsi="黑体" w:eastAsia="黑体"/>
          <w:b/>
          <w:color w:val="auto"/>
          <w:sz w:val="30"/>
          <w:szCs w:val="30"/>
        </w:rPr>
        <w:t>-5</w:t>
      </w:r>
      <w:r>
        <w:rPr>
          <w:rFonts w:hint="eastAsia" w:ascii="黑体" w:hAnsi="黑体" w:eastAsia="黑体"/>
          <w:b/>
          <w:color w:val="auto"/>
          <w:sz w:val="30"/>
          <w:szCs w:val="30"/>
        </w:rPr>
        <w:t>、符合《招标文件》有关联合体要求的声明函</w:t>
      </w:r>
    </w:p>
    <w:p>
      <w:pPr>
        <w:snapToGrid w:val="0"/>
        <w:spacing w:line="560" w:lineRule="atLeast"/>
        <w:jc w:val="center"/>
        <w:rPr>
          <w:rFonts w:ascii="黑体" w:hAnsi="黑体" w:eastAsia="黑体"/>
          <w:b/>
          <w:color w:val="auto"/>
          <w:sz w:val="30"/>
          <w:szCs w:val="30"/>
        </w:rPr>
      </w:pPr>
    </w:p>
    <w:p>
      <w:pPr>
        <w:snapToGrid w:val="0"/>
        <w:spacing w:line="560" w:lineRule="atLeast"/>
        <w:jc w:val="left"/>
        <w:rPr>
          <w:rFonts w:ascii="黑体" w:hAnsi="黑体" w:eastAsia="黑体"/>
          <w:b/>
          <w:color w:val="auto"/>
          <w:sz w:val="30"/>
          <w:szCs w:val="30"/>
        </w:rPr>
      </w:pPr>
      <w:r>
        <w:rPr>
          <w:rFonts w:hint="eastAsia" w:ascii="宋体" w:hAnsi="宋体"/>
          <w:color w:val="auto"/>
          <w:sz w:val="24"/>
        </w:rPr>
        <w:t>中资国际工程咨询集团有限责任公司：</w:t>
      </w:r>
    </w:p>
    <w:p>
      <w:pPr>
        <w:snapToGrid w:val="0"/>
        <w:spacing w:line="560" w:lineRule="atLeast"/>
        <w:ind w:firstLine="600" w:firstLineChars="250"/>
        <w:rPr>
          <w:rFonts w:ascii="宋体"/>
          <w:color w:val="auto"/>
          <w:sz w:val="24"/>
          <w:szCs w:val="24"/>
        </w:rPr>
      </w:pPr>
      <w:r>
        <w:rPr>
          <w:rFonts w:hint="eastAsia" w:ascii="宋体" w:hAnsi="宋体"/>
          <w:color w:val="auto"/>
          <w:sz w:val="24"/>
          <w:szCs w:val="24"/>
        </w:rPr>
        <w:t>在招标编号为</w:t>
      </w:r>
      <w:r>
        <w:rPr>
          <w:rFonts w:ascii="宋体" w:hAnsi="宋体"/>
          <w:color w:val="auto"/>
          <w:sz w:val="24"/>
          <w:szCs w:val="24"/>
        </w:rPr>
        <w:t xml:space="preserve"> </w:t>
      </w:r>
      <w:r>
        <w:rPr>
          <w:rFonts w:hint="eastAsia" w:ascii="宋体" w:hAnsi="宋体"/>
          <w:color w:val="auto"/>
          <w:sz w:val="24"/>
          <w:szCs w:val="24"/>
        </w:rPr>
        <w:t>的</w:t>
      </w:r>
      <w:r>
        <w:rPr>
          <w:rFonts w:ascii="宋体" w:hAnsi="宋体"/>
          <w:color w:val="auto"/>
          <w:sz w:val="24"/>
          <w:szCs w:val="24"/>
          <w:u w:val="single"/>
        </w:rPr>
        <w:t xml:space="preserve">    </w:t>
      </w:r>
      <w:r>
        <w:rPr>
          <w:rFonts w:hint="eastAsia" w:ascii="宋体" w:hAnsi="宋体"/>
          <w:color w:val="auto"/>
          <w:sz w:val="24"/>
          <w:szCs w:val="24"/>
          <w:u w:val="single"/>
        </w:rPr>
        <w:t>（项目名称）</w:t>
      </w:r>
      <w:r>
        <w:rPr>
          <w:rFonts w:hint="eastAsia" w:ascii="宋体" w:hAnsi="宋体"/>
          <w:color w:val="auto"/>
          <w:sz w:val="24"/>
          <w:szCs w:val="24"/>
        </w:rPr>
        <w:t>招标活动中，按照《招标文件》有关联合体要求，我公司（是</w:t>
      </w:r>
      <w:r>
        <w:rPr>
          <w:rFonts w:ascii="宋体" w:hAnsi="宋体"/>
          <w:color w:val="auto"/>
          <w:sz w:val="24"/>
          <w:szCs w:val="24"/>
        </w:rPr>
        <w:t>/</w:t>
      </w:r>
      <w:r>
        <w:rPr>
          <w:rFonts w:hint="eastAsia" w:ascii="宋体" w:hAnsi="宋体"/>
          <w:color w:val="auto"/>
          <w:sz w:val="24"/>
          <w:szCs w:val="24"/>
        </w:rPr>
        <w:t>否）与其他供应商组成联合体参加投标。</w:t>
      </w:r>
    </w:p>
    <w:p>
      <w:pPr>
        <w:tabs>
          <w:tab w:val="left" w:pos="9365"/>
        </w:tabs>
        <w:spacing w:before="57" w:after="57" w:line="586" w:lineRule="atLeast"/>
        <w:ind w:right="85"/>
        <w:jc w:val="left"/>
        <w:textAlignment w:val="top"/>
        <w:rPr>
          <w:rFonts w:ascii="宋体"/>
          <w:color w:val="auto"/>
          <w:sz w:val="24"/>
          <w:szCs w:val="24"/>
        </w:rPr>
      </w:pPr>
    </w:p>
    <w:p>
      <w:pPr>
        <w:tabs>
          <w:tab w:val="left" w:pos="9365"/>
        </w:tabs>
        <w:spacing w:before="57" w:after="57" w:line="586" w:lineRule="atLeast"/>
        <w:ind w:right="85"/>
        <w:jc w:val="left"/>
        <w:textAlignment w:val="top"/>
        <w:rPr>
          <w:rFonts w:ascii="宋体"/>
          <w:color w:val="auto"/>
          <w:sz w:val="24"/>
          <w:szCs w:val="24"/>
        </w:rPr>
      </w:pPr>
    </w:p>
    <w:p>
      <w:pPr>
        <w:widowControl w:val="0"/>
        <w:snapToGrid w:val="0"/>
        <w:spacing w:line="360" w:lineRule="auto"/>
        <w:textAlignment w:val="top"/>
        <w:rPr>
          <w:color w:val="auto"/>
          <w:sz w:val="24"/>
          <w:szCs w:val="24"/>
        </w:rPr>
      </w:pPr>
      <w:r>
        <w:rPr>
          <w:rFonts w:hint="eastAsia"/>
          <w:color w:val="auto"/>
          <w:sz w:val="24"/>
          <w:szCs w:val="24"/>
        </w:rPr>
        <w:t>投标人（电子签章）：</w:t>
      </w:r>
    </w:p>
    <w:p>
      <w:pPr>
        <w:widowControl w:val="0"/>
        <w:snapToGrid w:val="0"/>
        <w:spacing w:line="360" w:lineRule="auto"/>
        <w:textAlignment w:val="top"/>
        <w:rPr>
          <w:color w:val="auto"/>
          <w:sz w:val="24"/>
          <w:szCs w:val="24"/>
        </w:rPr>
      </w:pPr>
      <w:r>
        <w:rPr>
          <w:rFonts w:hint="eastAsia"/>
          <w:color w:val="auto"/>
          <w:sz w:val="24"/>
          <w:szCs w:val="24"/>
        </w:rPr>
        <w:t>法定代表人（电子签名）：</w:t>
      </w:r>
    </w:p>
    <w:p>
      <w:pPr>
        <w:widowControl w:val="0"/>
        <w:snapToGrid w:val="0"/>
        <w:spacing w:line="360" w:lineRule="auto"/>
        <w:textAlignment w:val="top"/>
        <w:rPr>
          <w:color w:val="auto"/>
          <w:sz w:val="24"/>
          <w:szCs w:val="24"/>
        </w:rPr>
      </w:pPr>
      <w:r>
        <w:rPr>
          <w:rFonts w:hint="eastAsia"/>
          <w:color w:val="auto"/>
          <w:sz w:val="24"/>
          <w:szCs w:val="24"/>
        </w:rPr>
        <w:t>日期：年月日</w:t>
      </w:r>
    </w:p>
    <w:p>
      <w:pPr>
        <w:snapToGrid w:val="0"/>
        <w:spacing w:line="560" w:lineRule="atLeast"/>
        <w:rPr>
          <w:rFonts w:ascii="宋体"/>
          <w:b/>
          <w:color w:val="auto"/>
          <w:sz w:val="32"/>
          <w:szCs w:val="32"/>
        </w:rPr>
      </w:pPr>
    </w:p>
    <w:p>
      <w:pPr>
        <w:snapToGrid w:val="0"/>
        <w:spacing w:line="560" w:lineRule="atLeast"/>
        <w:rPr>
          <w:rFonts w:ascii="宋体"/>
          <w:b/>
          <w:color w:val="auto"/>
          <w:sz w:val="32"/>
          <w:szCs w:val="32"/>
        </w:rPr>
      </w:pPr>
    </w:p>
    <w:p>
      <w:pPr>
        <w:snapToGrid w:val="0"/>
        <w:spacing w:line="560" w:lineRule="atLeast"/>
        <w:rPr>
          <w:rFonts w:ascii="宋体"/>
          <w:color w:val="auto"/>
          <w:sz w:val="24"/>
          <w:szCs w:val="24"/>
        </w:rPr>
      </w:pPr>
      <w:r>
        <w:rPr>
          <w:rFonts w:hint="eastAsia" w:ascii="宋体" w:hAnsi="宋体"/>
          <w:color w:val="auto"/>
          <w:sz w:val="24"/>
          <w:szCs w:val="24"/>
        </w:rPr>
        <w:t>注：如《招标文件》接受联合体，投标人以联合体投标的，应按《招标文件》第三章</w:t>
      </w:r>
      <w:r>
        <w:rPr>
          <w:rFonts w:hint="eastAsia" w:ascii="宋体"/>
          <w:color w:val="auto"/>
          <w:sz w:val="24"/>
          <w:szCs w:val="24"/>
        </w:rPr>
        <w:t>“</w:t>
      </w:r>
      <w:r>
        <w:rPr>
          <w:rFonts w:ascii="宋体" w:hAnsi="宋体"/>
          <w:color w:val="auto"/>
          <w:sz w:val="24"/>
          <w:szCs w:val="24"/>
        </w:rPr>
        <w:t>1.4</w:t>
      </w:r>
      <w:r>
        <w:rPr>
          <w:rFonts w:hint="eastAsia" w:ascii="宋体" w:hAnsi="宋体"/>
          <w:color w:val="auto"/>
          <w:sz w:val="24"/>
          <w:szCs w:val="24"/>
        </w:rPr>
        <w:t>联合体</w:t>
      </w:r>
      <w:r>
        <w:rPr>
          <w:rFonts w:hint="eastAsia" w:ascii="宋体"/>
          <w:color w:val="auto"/>
          <w:sz w:val="24"/>
          <w:szCs w:val="24"/>
        </w:rPr>
        <w:t>”</w:t>
      </w:r>
      <w:r>
        <w:rPr>
          <w:rFonts w:hint="eastAsia" w:ascii="宋体" w:hAnsi="宋体"/>
          <w:color w:val="auto"/>
          <w:sz w:val="24"/>
          <w:szCs w:val="24"/>
        </w:rPr>
        <w:t>条款要求提供符合《招标文件》要求联合投标协议、并提供相关证明资料。</w:t>
      </w:r>
    </w:p>
    <w:p>
      <w:pPr>
        <w:snapToGrid w:val="0"/>
        <w:spacing w:line="560" w:lineRule="atLeast"/>
        <w:rPr>
          <w:rFonts w:ascii="宋体"/>
          <w:color w:val="auto"/>
          <w:sz w:val="24"/>
          <w:szCs w:val="24"/>
        </w:rPr>
      </w:pPr>
    </w:p>
    <w:p>
      <w:pPr>
        <w:spacing w:before="57" w:after="57" w:line="520" w:lineRule="exact"/>
        <w:ind w:right="85"/>
        <w:jc w:val="center"/>
        <w:textAlignment w:val="top"/>
        <w:rPr>
          <w:rFonts w:ascii="宋体"/>
          <w:color w:val="auto"/>
          <w:sz w:val="24"/>
          <w:szCs w:val="24"/>
        </w:rPr>
      </w:pPr>
      <w:r>
        <w:rPr>
          <w:rFonts w:ascii="宋体"/>
          <w:color w:val="auto"/>
          <w:sz w:val="24"/>
          <w:szCs w:val="24"/>
        </w:rPr>
        <w:br w:type="page"/>
      </w:r>
    </w:p>
    <w:p>
      <w:pPr>
        <w:snapToGrid w:val="0"/>
        <w:spacing w:line="560" w:lineRule="atLeast"/>
        <w:jc w:val="center"/>
        <w:rPr>
          <w:rFonts w:ascii="黑体" w:hAnsi="黑体" w:eastAsia="黑体"/>
          <w:b/>
          <w:color w:val="auto"/>
          <w:sz w:val="30"/>
          <w:szCs w:val="30"/>
        </w:rPr>
      </w:pPr>
      <w:r>
        <w:rPr>
          <w:rFonts w:hint="eastAsia" w:ascii="黑体" w:hAnsi="黑体" w:eastAsia="黑体"/>
          <w:b/>
          <w:color w:val="auto"/>
          <w:sz w:val="30"/>
          <w:szCs w:val="30"/>
          <w:lang w:val="en-US" w:eastAsia="zh-CN"/>
        </w:rPr>
        <w:t>14</w:t>
      </w:r>
      <w:r>
        <w:rPr>
          <w:rFonts w:ascii="黑体" w:hAnsi="黑体" w:eastAsia="黑体"/>
          <w:b/>
          <w:color w:val="auto"/>
          <w:sz w:val="30"/>
          <w:szCs w:val="30"/>
        </w:rPr>
        <w:t>-6</w:t>
      </w:r>
      <w:r>
        <w:rPr>
          <w:rFonts w:hint="eastAsia" w:ascii="黑体" w:hAnsi="黑体" w:eastAsia="黑体"/>
          <w:b/>
          <w:color w:val="auto"/>
          <w:sz w:val="30"/>
          <w:szCs w:val="30"/>
        </w:rPr>
        <w:t>、供应商负责人控股、设计等相关承诺书</w:t>
      </w:r>
    </w:p>
    <w:p>
      <w:pPr>
        <w:tabs>
          <w:tab w:val="left" w:pos="9365"/>
        </w:tabs>
        <w:spacing w:before="360" w:after="360" w:line="586" w:lineRule="atLeast"/>
        <w:ind w:right="85"/>
        <w:jc w:val="left"/>
        <w:textAlignment w:val="top"/>
        <w:rPr>
          <w:rFonts w:ascii="宋体"/>
          <w:color w:val="auto"/>
          <w:sz w:val="24"/>
          <w:szCs w:val="24"/>
        </w:rPr>
      </w:pPr>
      <w:r>
        <w:rPr>
          <w:rFonts w:hint="eastAsia" w:ascii="宋体" w:hAnsi="宋体"/>
          <w:color w:val="auto"/>
          <w:sz w:val="24"/>
          <w:szCs w:val="24"/>
        </w:rPr>
        <w:t>致：</w:t>
      </w:r>
      <w:r>
        <w:rPr>
          <w:rFonts w:ascii="宋体" w:hAnsi="宋体"/>
          <w:color w:val="auto"/>
          <w:spacing w:val="11"/>
          <w:sz w:val="24"/>
          <w:szCs w:val="24"/>
          <w:u w:val="single"/>
        </w:rPr>
        <w:t>(</w:t>
      </w:r>
      <w:r>
        <w:rPr>
          <w:rFonts w:hint="eastAsia" w:ascii="宋体" w:hAnsi="宋体"/>
          <w:color w:val="auto"/>
          <w:spacing w:val="11"/>
          <w:sz w:val="24"/>
          <w:szCs w:val="24"/>
          <w:u w:val="single"/>
        </w:rPr>
        <w:t>采购人名称）</w:t>
      </w:r>
      <w:r>
        <w:rPr>
          <w:rFonts w:ascii="宋体" w:hAnsi="宋体"/>
          <w:color w:val="auto"/>
          <w:spacing w:val="11"/>
          <w:sz w:val="24"/>
          <w:szCs w:val="24"/>
          <w:u w:val="single"/>
        </w:rPr>
        <w:t xml:space="preserve">    </w:t>
      </w:r>
    </w:p>
    <w:p>
      <w:pPr>
        <w:tabs>
          <w:tab w:val="left" w:pos="65"/>
        </w:tabs>
        <w:spacing w:line="740" w:lineRule="exact"/>
        <w:ind w:firstLine="480" w:firstLineChars="200"/>
        <w:rPr>
          <w:rFonts w:ascii="宋体"/>
          <w:color w:val="auto"/>
          <w:sz w:val="24"/>
          <w:szCs w:val="24"/>
        </w:rPr>
      </w:pPr>
      <w:r>
        <w:rPr>
          <w:rFonts w:hint="eastAsia" w:ascii="宋体" w:hAnsi="宋体"/>
          <w:color w:val="auto"/>
          <w:sz w:val="24"/>
          <w:szCs w:val="24"/>
        </w:rPr>
        <w:t>在招标编号为</w:t>
      </w:r>
      <w:r>
        <w:rPr>
          <w:rFonts w:ascii="宋体" w:hAnsi="宋体"/>
          <w:color w:val="auto"/>
          <w:sz w:val="24"/>
          <w:szCs w:val="24"/>
        </w:rPr>
        <w:t xml:space="preserve"> </w:t>
      </w:r>
      <w:r>
        <w:rPr>
          <w:rFonts w:hint="eastAsia" w:ascii="宋体" w:hAnsi="宋体"/>
          <w:color w:val="auto"/>
          <w:sz w:val="24"/>
          <w:szCs w:val="24"/>
        </w:rPr>
        <w:t>的</w:t>
      </w:r>
      <w:r>
        <w:rPr>
          <w:rFonts w:ascii="宋体" w:hAnsi="宋体"/>
          <w:color w:val="auto"/>
          <w:sz w:val="24"/>
          <w:szCs w:val="24"/>
          <w:u w:val="single"/>
        </w:rPr>
        <w:t xml:space="preserve">    </w:t>
      </w:r>
      <w:r>
        <w:rPr>
          <w:rFonts w:hint="eastAsia" w:ascii="宋体" w:hAnsi="宋体"/>
          <w:color w:val="auto"/>
          <w:sz w:val="24"/>
          <w:szCs w:val="24"/>
          <w:u w:val="single"/>
        </w:rPr>
        <w:t>（项目名称）</w:t>
      </w:r>
      <w:r>
        <w:rPr>
          <w:rFonts w:ascii="宋体" w:hAnsi="宋体"/>
          <w:color w:val="auto"/>
          <w:sz w:val="24"/>
          <w:szCs w:val="24"/>
        </w:rPr>
        <w:t xml:space="preserve"> </w:t>
      </w:r>
      <w:r>
        <w:rPr>
          <w:rFonts w:hint="eastAsia" w:ascii="宋体" w:hAnsi="宋体"/>
          <w:color w:val="auto"/>
          <w:sz w:val="24"/>
          <w:szCs w:val="24"/>
        </w:rPr>
        <w:t>招标活动中，我单位承诺满足以下要求：</w:t>
      </w:r>
    </w:p>
    <w:p>
      <w:pPr>
        <w:tabs>
          <w:tab w:val="left" w:pos="65"/>
        </w:tabs>
        <w:spacing w:line="740" w:lineRule="exact"/>
        <w:ind w:firstLine="480" w:firstLineChars="200"/>
        <w:rPr>
          <w:rFonts w:ascii="宋体"/>
          <w:color w:val="auto"/>
          <w:sz w:val="24"/>
          <w:szCs w:val="24"/>
        </w:rPr>
      </w:pPr>
      <w:r>
        <w:rPr>
          <w:rFonts w:hint="eastAsia" w:ascii="宋体" w:hAnsi="宋体"/>
          <w:color w:val="auto"/>
          <w:sz w:val="24"/>
          <w:szCs w:val="24"/>
        </w:rPr>
        <w:t>一、单位负责人为同一人或者存在直接控股、管理关系的不同供应商，不参加同一合同项下的政府采购活动。</w:t>
      </w:r>
    </w:p>
    <w:p>
      <w:pPr>
        <w:tabs>
          <w:tab w:val="left" w:pos="65"/>
        </w:tabs>
        <w:spacing w:line="740" w:lineRule="exact"/>
        <w:ind w:firstLine="480" w:firstLineChars="200"/>
        <w:rPr>
          <w:rFonts w:ascii="宋体"/>
          <w:color w:val="auto"/>
          <w:sz w:val="24"/>
          <w:szCs w:val="24"/>
        </w:rPr>
      </w:pPr>
      <w:r>
        <w:rPr>
          <w:rFonts w:hint="eastAsia" w:ascii="宋体" w:hAnsi="宋体"/>
          <w:color w:val="auto"/>
          <w:sz w:val="24"/>
          <w:szCs w:val="24"/>
        </w:rPr>
        <w:t>二、没有为本项目提供整体设计、规范编制或者项目管理、监理、检测等服务。</w:t>
      </w:r>
    </w:p>
    <w:p>
      <w:pPr>
        <w:tabs>
          <w:tab w:val="left" w:pos="9365"/>
        </w:tabs>
        <w:spacing w:before="57" w:after="57" w:line="586" w:lineRule="atLeast"/>
        <w:ind w:right="85" w:firstLine="480" w:firstLineChars="200"/>
        <w:jc w:val="left"/>
        <w:textAlignment w:val="top"/>
        <w:rPr>
          <w:rFonts w:ascii="宋体"/>
          <w:color w:val="auto"/>
          <w:sz w:val="24"/>
          <w:szCs w:val="24"/>
        </w:rPr>
      </w:pPr>
      <w:r>
        <w:rPr>
          <w:rFonts w:hint="eastAsia" w:ascii="宋体" w:hAnsi="宋体"/>
          <w:color w:val="auto"/>
          <w:sz w:val="24"/>
          <w:szCs w:val="24"/>
        </w:rPr>
        <w:t>三、若出现上述行为，我单位确认投标无效、承诺书虚假，接受相关部门按照国家法律法规等有关规定对我单位虚假承诺所给予的处理。</w:t>
      </w:r>
    </w:p>
    <w:p>
      <w:pPr>
        <w:tabs>
          <w:tab w:val="left" w:pos="9365"/>
        </w:tabs>
        <w:spacing w:before="57" w:after="57" w:line="586" w:lineRule="atLeast"/>
        <w:ind w:right="85"/>
        <w:jc w:val="left"/>
        <w:textAlignment w:val="top"/>
        <w:rPr>
          <w:rFonts w:ascii="宋体"/>
          <w:color w:val="auto"/>
          <w:sz w:val="24"/>
          <w:szCs w:val="24"/>
        </w:rPr>
      </w:pPr>
      <w:r>
        <w:rPr>
          <w:rFonts w:ascii="宋体"/>
          <w:color w:val="auto"/>
          <w:sz w:val="24"/>
          <w:szCs w:val="24"/>
        </w:rPr>
        <w:t> </w:t>
      </w:r>
    </w:p>
    <w:p>
      <w:pPr>
        <w:snapToGrid w:val="0"/>
        <w:spacing w:before="100" w:beforeAutospacing="1" w:after="100" w:afterAutospacing="1" w:line="700" w:lineRule="exact"/>
        <w:ind w:right="641"/>
        <w:rPr>
          <w:rFonts w:ascii="宋体"/>
          <w:color w:val="auto"/>
          <w:sz w:val="24"/>
          <w:szCs w:val="24"/>
        </w:rPr>
      </w:pPr>
      <w:r>
        <w:rPr>
          <w:rFonts w:hint="eastAsia" w:ascii="宋体" w:hAnsi="宋体"/>
          <w:color w:val="auto"/>
          <w:sz w:val="24"/>
          <w:szCs w:val="24"/>
        </w:rPr>
        <w:t>投标人（电子签章）：</w:t>
      </w:r>
    </w:p>
    <w:p>
      <w:pPr>
        <w:snapToGrid w:val="0"/>
        <w:spacing w:before="100" w:beforeAutospacing="1" w:after="100" w:afterAutospacing="1" w:line="700" w:lineRule="exact"/>
        <w:ind w:right="641"/>
        <w:rPr>
          <w:rFonts w:ascii="宋体"/>
          <w:color w:val="auto"/>
          <w:sz w:val="24"/>
          <w:szCs w:val="24"/>
        </w:rPr>
      </w:pPr>
      <w:r>
        <w:rPr>
          <w:rFonts w:hint="eastAsia" w:ascii="宋体" w:hAnsi="宋体"/>
          <w:color w:val="auto"/>
          <w:sz w:val="24"/>
          <w:szCs w:val="24"/>
        </w:rPr>
        <w:t>法定代表人（电子签名）：</w:t>
      </w:r>
    </w:p>
    <w:p>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szCs w:val="24"/>
        </w:rPr>
        <w:t>日期：</w:t>
      </w:r>
      <w:r>
        <w:rPr>
          <w:rFonts w:hint="eastAsia" w:ascii="宋体" w:hAnsi="宋体" w:cs="楷体_GB2312"/>
          <w:color w:val="auto"/>
          <w:sz w:val="24"/>
          <w:lang w:val="zh-CN"/>
        </w:rPr>
        <w:t>年月日</w:t>
      </w:r>
    </w:p>
    <w:p>
      <w:pPr>
        <w:tabs>
          <w:tab w:val="left" w:pos="540"/>
        </w:tabs>
        <w:spacing w:line="440" w:lineRule="exact"/>
        <w:jc w:val="left"/>
        <w:rPr>
          <w:rFonts w:ascii="宋体"/>
          <w:b/>
          <w:color w:val="auto"/>
          <w:sz w:val="32"/>
          <w:szCs w:val="32"/>
        </w:rPr>
      </w:pPr>
      <w:r>
        <w:rPr>
          <w:rFonts w:ascii="宋体"/>
          <w:b/>
          <w:color w:val="auto"/>
          <w:sz w:val="32"/>
          <w:szCs w:val="32"/>
        </w:rPr>
        <w:br w:type="page"/>
      </w:r>
    </w:p>
    <w:p>
      <w:pPr>
        <w:snapToGrid w:val="0"/>
        <w:spacing w:line="560" w:lineRule="atLeast"/>
        <w:jc w:val="center"/>
        <w:rPr>
          <w:rFonts w:ascii="宋体"/>
          <w:b/>
          <w:color w:val="auto"/>
          <w:sz w:val="32"/>
          <w:szCs w:val="32"/>
        </w:rPr>
      </w:pPr>
    </w:p>
    <w:p>
      <w:pPr>
        <w:snapToGrid w:val="0"/>
        <w:spacing w:line="560" w:lineRule="atLeast"/>
        <w:jc w:val="center"/>
        <w:rPr>
          <w:rFonts w:ascii="黑体" w:hAnsi="黑体" w:eastAsia="黑体"/>
          <w:b/>
          <w:color w:val="auto"/>
          <w:sz w:val="30"/>
          <w:szCs w:val="30"/>
        </w:rPr>
      </w:pPr>
      <w:r>
        <w:rPr>
          <w:rFonts w:hint="eastAsia" w:ascii="黑体" w:hAnsi="黑体" w:eastAsia="黑体"/>
          <w:b/>
          <w:color w:val="auto"/>
          <w:sz w:val="30"/>
          <w:szCs w:val="30"/>
          <w:lang w:val="en-US" w:eastAsia="zh-CN"/>
        </w:rPr>
        <w:t>14</w:t>
      </w:r>
      <w:r>
        <w:rPr>
          <w:rFonts w:ascii="黑体" w:hAnsi="黑体" w:eastAsia="黑体"/>
          <w:b/>
          <w:color w:val="auto"/>
          <w:sz w:val="30"/>
          <w:szCs w:val="30"/>
        </w:rPr>
        <w:t>-7</w:t>
      </w:r>
      <w:r>
        <w:rPr>
          <w:rFonts w:hint="eastAsia" w:ascii="黑体" w:hAnsi="黑体" w:eastAsia="黑体"/>
          <w:b/>
          <w:color w:val="auto"/>
          <w:sz w:val="30"/>
          <w:szCs w:val="30"/>
        </w:rPr>
        <w:t>、其他资格证明材料</w:t>
      </w:r>
    </w:p>
    <w:p>
      <w:pPr>
        <w:snapToGrid w:val="0"/>
        <w:spacing w:line="560" w:lineRule="atLeast"/>
        <w:ind w:firstLine="480" w:firstLineChars="200"/>
        <w:rPr>
          <w:rFonts w:ascii="宋体"/>
          <w:b/>
          <w:color w:val="auto"/>
          <w:sz w:val="24"/>
          <w:szCs w:val="24"/>
        </w:rPr>
      </w:pPr>
      <w:r>
        <w:rPr>
          <w:rFonts w:hint="eastAsia" w:ascii="宋体" w:hAnsi="宋体"/>
          <w:color w:val="auto"/>
          <w:sz w:val="24"/>
          <w:szCs w:val="24"/>
        </w:rPr>
        <w:t>按招标文件要求提供的其他资格证明材料或供应商认为有必要提供的其他证明材料。（按招标文件要求</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w:t>
      </w:r>
    </w:p>
    <w:p>
      <w:pPr>
        <w:tabs>
          <w:tab w:val="left" w:pos="9365"/>
        </w:tabs>
        <w:spacing w:before="360" w:after="360" w:line="586" w:lineRule="atLeast"/>
        <w:ind w:right="85" w:firstLine="600" w:firstLineChars="250"/>
        <w:jc w:val="left"/>
        <w:textAlignment w:val="top"/>
        <w:rPr>
          <w:rFonts w:ascii="宋体"/>
          <w:color w:val="auto"/>
          <w:sz w:val="24"/>
          <w:szCs w:val="24"/>
        </w:rPr>
      </w:pPr>
    </w:p>
    <w:p>
      <w:pPr>
        <w:snapToGrid w:val="0"/>
        <w:spacing w:before="240" w:after="240" w:line="540" w:lineRule="exact"/>
        <w:ind w:right="85"/>
        <w:jc w:val="left"/>
        <w:textAlignment w:val="top"/>
        <w:rPr>
          <w:rFonts w:ascii="宋体"/>
          <w:color w:val="auto"/>
          <w:sz w:val="24"/>
          <w:szCs w:val="24"/>
        </w:rPr>
      </w:pPr>
    </w:p>
    <w:p>
      <w:pPr>
        <w:snapToGrid w:val="0"/>
        <w:spacing w:line="560" w:lineRule="atLeast"/>
        <w:jc w:val="center"/>
        <w:rPr>
          <w:rFonts w:ascii="宋体"/>
          <w:b/>
          <w:color w:val="auto"/>
          <w:sz w:val="32"/>
          <w:szCs w:val="32"/>
        </w:rPr>
      </w:pPr>
    </w:p>
    <w:p>
      <w:pPr>
        <w:widowControl w:val="0"/>
        <w:snapToGrid w:val="0"/>
        <w:spacing w:line="560" w:lineRule="exact"/>
        <w:jc w:val="center"/>
        <w:rPr>
          <w:rFonts w:eastAsia="方正黑体简体"/>
          <w:b/>
          <w:color w:val="auto"/>
          <w:sz w:val="30"/>
          <w:szCs w:val="30"/>
        </w:rPr>
      </w:pPr>
    </w:p>
    <w:p>
      <w:pPr>
        <w:widowControl w:val="0"/>
        <w:snapToGrid w:val="0"/>
        <w:spacing w:line="560" w:lineRule="exact"/>
        <w:rPr>
          <w:rFonts w:eastAsia="方正黑体简体"/>
          <w:b/>
          <w:color w:val="auto"/>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黑体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Adobe 宋体 Std L">
    <w:altName w:val="黑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left"/>
      <w:rPr>
        <w:rFonts w:ascii="宋体"/>
        <w:szCs w:val="21"/>
        <w:u w:val="single"/>
      </w:rPr>
    </w:pPr>
    <w:r>
      <w:rPr>
        <w:rFonts w:hint="eastAsia" w:ascii="宋体" w:hAnsi="宋体"/>
        <w:szCs w:val="21"/>
        <w:u w:val="single"/>
      </w:rPr>
      <w:t>《招标文件》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7"/>
        <w:rFonts w:ascii="宋体" w:hAnsi="宋体"/>
        <w:szCs w:val="21"/>
        <w:u w:val="single"/>
      </w:rPr>
      <w:fldChar w:fldCharType="begin"/>
    </w:r>
    <w:r>
      <w:rPr>
        <w:rStyle w:val="27"/>
        <w:rFonts w:ascii="宋体" w:hAnsi="宋体"/>
        <w:szCs w:val="21"/>
        <w:u w:val="single"/>
      </w:rPr>
      <w:instrText xml:space="preserve"> PAGE </w:instrText>
    </w:r>
    <w:r>
      <w:rPr>
        <w:rStyle w:val="27"/>
        <w:rFonts w:ascii="宋体" w:hAnsi="宋体"/>
        <w:szCs w:val="21"/>
        <w:u w:val="single"/>
      </w:rPr>
      <w:fldChar w:fldCharType="separate"/>
    </w:r>
    <w:r>
      <w:rPr>
        <w:rStyle w:val="27"/>
        <w:rFonts w:ascii="宋体" w:hAnsi="宋体"/>
        <w:szCs w:val="21"/>
        <w:u w:val="single"/>
      </w:rPr>
      <w:t>16</w:t>
    </w:r>
    <w:r>
      <w:rPr>
        <w:rStyle w:val="27"/>
        <w:rFonts w:ascii="宋体" w:hAnsi="宋体"/>
        <w:szCs w:val="21"/>
        <w:u w:val="single"/>
      </w:rPr>
      <w:fldChar w:fldCharType="end"/>
    </w:r>
    <w:r>
      <mc:AlternateContent>
        <mc:Choice Requires="wps">
          <w:drawing>
            <wp:anchor distT="0" distB="0" distL="114300" distR="114300" simplePos="0" relativeHeight="251662336"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upright="1"/>
                  </wps:wsp>
                </a:graphicData>
              </a:graphic>
            </wp:anchor>
          </w:drawing>
        </mc:Choice>
        <mc:Fallback>
          <w:pict>
            <v:shape id="_x0000_s1026" o:spid="_x0000_s1026" o:spt="202" type="#_x0000_t202" style="position:absolute;left:0pt;margin-left:70.85pt;margin-top:799.35pt;height:14.15pt;width:453.5pt;mso-position-horizontal-relative:page;mso-position-vertical-relative:page;z-index:-251654144;mso-width-relative:page;mso-height-relative:page;" filled="f" stroked="f" coordsize="21600,21600" o:allowincell="f" o:gfxdata="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rUISk1wAAAA4BAAAP&#10;AAAAAAAAAAEAIAAAACIAAABkcnMvZG93bnJldi54bWxQSwECFAAUAAAACACHTuJAc+3cIqcBAABD&#10;AwAADgAAAAAAAAABACAAAAAmAQAAZHJzL2Uyb0RvYy54bWxQSwUGAAAAAAYABgBZAQAAPwUAAAAA&#10;">
              <v:fill on="f" focussize="0,0"/>
              <v:stroke on="f"/>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szCs w:val="21"/>
      </w:rPr>
    </w:pPr>
    <w: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1" name="Text Box 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upright="1"/>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6192;mso-width-relative:page;mso-height-relative:page;" filled="f" stroked="f" coordsize="21600,21600" o:allowincell="f" o:gfxdata="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Gugt+LXAAAACgEAAA8AAAAAAAAAAQAgAAAAIgAA&#10;AGRycy9kb3ducmV2LnhtbFBLAQIUABQAAAAIAIdO4kDcq+qplwEAAEIDAAAOAAAAAAAAAAEAIAAA&#10;ACYBAABkcnMvZTJvRG9jLnhtbFBLBQYAAAAABgAGAFkBAAAvBQAAAAA=&#10;">
              <v:fill on="f" focussize="0,0"/>
              <v:stroke on="f"/>
              <v:imagedata o:title=""/>
              <o:lock v:ext="edit" aspectratio="f"/>
            </v:shape>
          </w:pict>
        </mc:Fallback>
      </mc:AlternateContent>
    </w:r>
    <w:r>
      <w:rPr>
        <w:rFonts w:hint="eastAsia" w:ascii="宋体" w:hAnsi="宋体"/>
        <w:szCs w:val="21"/>
      </w:rPr>
      <w:t>中资国际工程咨询集团有限责任公司</w:t>
    </w:r>
    <w:r>
      <w:rPr>
        <w:rFonts w:hint="eastAsia" w:ascii="宋体" w:hAnsi="宋体"/>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4309A1"/>
    <w:multiLevelType w:val="singleLevel"/>
    <w:tmpl w:val="B74309A1"/>
    <w:lvl w:ilvl="0" w:tentative="0">
      <w:start w:val="6"/>
      <w:numFmt w:val="decimal"/>
      <w:suff w:val="nothing"/>
      <w:lvlText w:val="%1、"/>
      <w:lvlJc w:val="left"/>
      <w:rPr>
        <w:rFonts w:cs="Times New Roman"/>
      </w:rPr>
    </w:lvl>
  </w:abstractNum>
  <w:abstractNum w:abstractNumId="1">
    <w:nsid w:val="BE7C5E4D"/>
    <w:multiLevelType w:val="singleLevel"/>
    <w:tmpl w:val="BE7C5E4D"/>
    <w:lvl w:ilvl="0" w:tentative="0">
      <w:start w:val="3"/>
      <w:numFmt w:val="chineseCounting"/>
      <w:suff w:val="nothing"/>
      <w:lvlText w:val="%1、"/>
      <w:lvlJc w:val="left"/>
      <w:rPr>
        <w:rFonts w:hint="eastAsia" w:cs="Times New Roman"/>
      </w:rPr>
    </w:lvl>
  </w:abstractNum>
  <w:abstractNum w:abstractNumId="2">
    <w:nsid w:val="FB372597"/>
    <w:multiLevelType w:val="singleLevel"/>
    <w:tmpl w:val="FB372597"/>
    <w:lvl w:ilvl="0" w:tentative="0">
      <w:start w:val="1"/>
      <w:numFmt w:val="chineseCounting"/>
      <w:suff w:val="nothing"/>
      <w:lvlText w:val="%1、"/>
      <w:lvlJc w:val="left"/>
      <w:rPr>
        <w:rFonts w:hint="eastAsia"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7A"/>
    <w:rsid w:val="00004D87"/>
    <w:rsid w:val="00006184"/>
    <w:rsid w:val="000118FF"/>
    <w:rsid w:val="00011F9D"/>
    <w:rsid w:val="000129C4"/>
    <w:rsid w:val="00013814"/>
    <w:rsid w:val="00013DB2"/>
    <w:rsid w:val="00014FA0"/>
    <w:rsid w:val="00016334"/>
    <w:rsid w:val="00017560"/>
    <w:rsid w:val="0001783F"/>
    <w:rsid w:val="00017E1E"/>
    <w:rsid w:val="00020336"/>
    <w:rsid w:val="00023676"/>
    <w:rsid w:val="00024608"/>
    <w:rsid w:val="00025438"/>
    <w:rsid w:val="00025F1E"/>
    <w:rsid w:val="0002701F"/>
    <w:rsid w:val="0002737B"/>
    <w:rsid w:val="0003123D"/>
    <w:rsid w:val="0003321D"/>
    <w:rsid w:val="000339BC"/>
    <w:rsid w:val="0003567F"/>
    <w:rsid w:val="00036AA4"/>
    <w:rsid w:val="00041891"/>
    <w:rsid w:val="00042CA8"/>
    <w:rsid w:val="00042F27"/>
    <w:rsid w:val="000437D6"/>
    <w:rsid w:val="00043821"/>
    <w:rsid w:val="00043CBA"/>
    <w:rsid w:val="00043D90"/>
    <w:rsid w:val="000441FD"/>
    <w:rsid w:val="00045899"/>
    <w:rsid w:val="000458E7"/>
    <w:rsid w:val="000461AB"/>
    <w:rsid w:val="0005020C"/>
    <w:rsid w:val="00050832"/>
    <w:rsid w:val="0005218D"/>
    <w:rsid w:val="00055D11"/>
    <w:rsid w:val="00056356"/>
    <w:rsid w:val="00056595"/>
    <w:rsid w:val="00056986"/>
    <w:rsid w:val="00056C7E"/>
    <w:rsid w:val="00057BA0"/>
    <w:rsid w:val="00057F78"/>
    <w:rsid w:val="0006134B"/>
    <w:rsid w:val="000622B5"/>
    <w:rsid w:val="00062784"/>
    <w:rsid w:val="00062821"/>
    <w:rsid w:val="00065301"/>
    <w:rsid w:val="000672D6"/>
    <w:rsid w:val="00070DCC"/>
    <w:rsid w:val="00071C34"/>
    <w:rsid w:val="000723ED"/>
    <w:rsid w:val="00072834"/>
    <w:rsid w:val="000732AB"/>
    <w:rsid w:val="0007358E"/>
    <w:rsid w:val="0007390E"/>
    <w:rsid w:val="00073A45"/>
    <w:rsid w:val="00074985"/>
    <w:rsid w:val="00077629"/>
    <w:rsid w:val="00080AE9"/>
    <w:rsid w:val="00081801"/>
    <w:rsid w:val="00081C6C"/>
    <w:rsid w:val="000823AD"/>
    <w:rsid w:val="000829A8"/>
    <w:rsid w:val="000829DB"/>
    <w:rsid w:val="00083869"/>
    <w:rsid w:val="0008390C"/>
    <w:rsid w:val="00084C56"/>
    <w:rsid w:val="00085435"/>
    <w:rsid w:val="00086B70"/>
    <w:rsid w:val="000906F2"/>
    <w:rsid w:val="00090D6B"/>
    <w:rsid w:val="00090EB6"/>
    <w:rsid w:val="00091C5E"/>
    <w:rsid w:val="0009268E"/>
    <w:rsid w:val="000929AC"/>
    <w:rsid w:val="00093A6B"/>
    <w:rsid w:val="000956CE"/>
    <w:rsid w:val="00095C92"/>
    <w:rsid w:val="000962DF"/>
    <w:rsid w:val="000A1EF0"/>
    <w:rsid w:val="000A2F4F"/>
    <w:rsid w:val="000A3FE8"/>
    <w:rsid w:val="000A443D"/>
    <w:rsid w:val="000A4640"/>
    <w:rsid w:val="000A55EE"/>
    <w:rsid w:val="000A61F5"/>
    <w:rsid w:val="000A688B"/>
    <w:rsid w:val="000A7A3C"/>
    <w:rsid w:val="000B1334"/>
    <w:rsid w:val="000B2559"/>
    <w:rsid w:val="000B3DD8"/>
    <w:rsid w:val="000B44CF"/>
    <w:rsid w:val="000B4758"/>
    <w:rsid w:val="000B535A"/>
    <w:rsid w:val="000B5412"/>
    <w:rsid w:val="000B6571"/>
    <w:rsid w:val="000C0358"/>
    <w:rsid w:val="000C17C5"/>
    <w:rsid w:val="000C2AA6"/>
    <w:rsid w:val="000C418B"/>
    <w:rsid w:val="000C5E57"/>
    <w:rsid w:val="000C710A"/>
    <w:rsid w:val="000D1898"/>
    <w:rsid w:val="000D2520"/>
    <w:rsid w:val="000D2631"/>
    <w:rsid w:val="000E02FC"/>
    <w:rsid w:val="000E127A"/>
    <w:rsid w:val="000E3935"/>
    <w:rsid w:val="000E4019"/>
    <w:rsid w:val="000E41D5"/>
    <w:rsid w:val="000E48FC"/>
    <w:rsid w:val="000E54A0"/>
    <w:rsid w:val="000E576F"/>
    <w:rsid w:val="000E6E96"/>
    <w:rsid w:val="000F06A5"/>
    <w:rsid w:val="000F0906"/>
    <w:rsid w:val="000F108C"/>
    <w:rsid w:val="000F3188"/>
    <w:rsid w:val="000F3282"/>
    <w:rsid w:val="000F3D46"/>
    <w:rsid w:val="000F3E7E"/>
    <w:rsid w:val="000F4146"/>
    <w:rsid w:val="000F4C91"/>
    <w:rsid w:val="000F71A3"/>
    <w:rsid w:val="000F756B"/>
    <w:rsid w:val="000F7917"/>
    <w:rsid w:val="000F79CB"/>
    <w:rsid w:val="000F7EBC"/>
    <w:rsid w:val="0010005D"/>
    <w:rsid w:val="00100B7D"/>
    <w:rsid w:val="00103B89"/>
    <w:rsid w:val="00105453"/>
    <w:rsid w:val="001056D3"/>
    <w:rsid w:val="00105FB9"/>
    <w:rsid w:val="00107435"/>
    <w:rsid w:val="00110434"/>
    <w:rsid w:val="00111476"/>
    <w:rsid w:val="001118D4"/>
    <w:rsid w:val="00113C61"/>
    <w:rsid w:val="00113D0A"/>
    <w:rsid w:val="00115075"/>
    <w:rsid w:val="001163D8"/>
    <w:rsid w:val="00117724"/>
    <w:rsid w:val="00120466"/>
    <w:rsid w:val="001210B7"/>
    <w:rsid w:val="00123128"/>
    <w:rsid w:val="0012490D"/>
    <w:rsid w:val="00124C33"/>
    <w:rsid w:val="0012536B"/>
    <w:rsid w:val="00126132"/>
    <w:rsid w:val="00131B13"/>
    <w:rsid w:val="00131CCB"/>
    <w:rsid w:val="00132364"/>
    <w:rsid w:val="001331D2"/>
    <w:rsid w:val="001342A5"/>
    <w:rsid w:val="00135227"/>
    <w:rsid w:val="00136101"/>
    <w:rsid w:val="00136241"/>
    <w:rsid w:val="001364C3"/>
    <w:rsid w:val="001373F3"/>
    <w:rsid w:val="001376B5"/>
    <w:rsid w:val="001378C9"/>
    <w:rsid w:val="001401E4"/>
    <w:rsid w:val="001403FB"/>
    <w:rsid w:val="001409F2"/>
    <w:rsid w:val="0014409B"/>
    <w:rsid w:val="00144530"/>
    <w:rsid w:val="001531FB"/>
    <w:rsid w:val="001532B2"/>
    <w:rsid w:val="001537D5"/>
    <w:rsid w:val="0015450A"/>
    <w:rsid w:val="001567DE"/>
    <w:rsid w:val="00157A88"/>
    <w:rsid w:val="00161EAD"/>
    <w:rsid w:val="0016561B"/>
    <w:rsid w:val="00166938"/>
    <w:rsid w:val="0016693E"/>
    <w:rsid w:val="00167109"/>
    <w:rsid w:val="0016783C"/>
    <w:rsid w:val="001708C3"/>
    <w:rsid w:val="00170AE1"/>
    <w:rsid w:val="00170BB0"/>
    <w:rsid w:val="0017176A"/>
    <w:rsid w:val="001717B5"/>
    <w:rsid w:val="001719D7"/>
    <w:rsid w:val="00172136"/>
    <w:rsid w:val="00172A27"/>
    <w:rsid w:val="00172A7E"/>
    <w:rsid w:val="0017384B"/>
    <w:rsid w:val="00174B8B"/>
    <w:rsid w:val="00175E3A"/>
    <w:rsid w:val="00180C37"/>
    <w:rsid w:val="00181145"/>
    <w:rsid w:val="00182CA9"/>
    <w:rsid w:val="001863AB"/>
    <w:rsid w:val="00186884"/>
    <w:rsid w:val="001918A1"/>
    <w:rsid w:val="00194451"/>
    <w:rsid w:val="001965DC"/>
    <w:rsid w:val="0019697C"/>
    <w:rsid w:val="00196E5D"/>
    <w:rsid w:val="001A02B0"/>
    <w:rsid w:val="001A0F2C"/>
    <w:rsid w:val="001A1BB5"/>
    <w:rsid w:val="001A1D5B"/>
    <w:rsid w:val="001A2564"/>
    <w:rsid w:val="001A3E7C"/>
    <w:rsid w:val="001A46D0"/>
    <w:rsid w:val="001A5D00"/>
    <w:rsid w:val="001A733E"/>
    <w:rsid w:val="001B3387"/>
    <w:rsid w:val="001B353D"/>
    <w:rsid w:val="001B4202"/>
    <w:rsid w:val="001B4985"/>
    <w:rsid w:val="001B5626"/>
    <w:rsid w:val="001B598B"/>
    <w:rsid w:val="001B6072"/>
    <w:rsid w:val="001B7085"/>
    <w:rsid w:val="001B7B35"/>
    <w:rsid w:val="001C015C"/>
    <w:rsid w:val="001C050D"/>
    <w:rsid w:val="001C219F"/>
    <w:rsid w:val="001C22A5"/>
    <w:rsid w:val="001C2389"/>
    <w:rsid w:val="001C2D34"/>
    <w:rsid w:val="001C3250"/>
    <w:rsid w:val="001C397C"/>
    <w:rsid w:val="001C4B92"/>
    <w:rsid w:val="001C56BF"/>
    <w:rsid w:val="001C6505"/>
    <w:rsid w:val="001C6FC8"/>
    <w:rsid w:val="001D14A1"/>
    <w:rsid w:val="001D17A7"/>
    <w:rsid w:val="001D292F"/>
    <w:rsid w:val="001D2CF7"/>
    <w:rsid w:val="001D2F63"/>
    <w:rsid w:val="001D3921"/>
    <w:rsid w:val="001D3B0B"/>
    <w:rsid w:val="001D5FE0"/>
    <w:rsid w:val="001D6772"/>
    <w:rsid w:val="001D6C63"/>
    <w:rsid w:val="001D742A"/>
    <w:rsid w:val="001D79E1"/>
    <w:rsid w:val="001D7FC1"/>
    <w:rsid w:val="001E04F2"/>
    <w:rsid w:val="001E0A3F"/>
    <w:rsid w:val="001E1A46"/>
    <w:rsid w:val="001E25BA"/>
    <w:rsid w:val="001E25FA"/>
    <w:rsid w:val="001E2ED6"/>
    <w:rsid w:val="001E30AE"/>
    <w:rsid w:val="001E364B"/>
    <w:rsid w:val="001E45BE"/>
    <w:rsid w:val="001F21F4"/>
    <w:rsid w:val="001F6921"/>
    <w:rsid w:val="001F7D39"/>
    <w:rsid w:val="001F7ECB"/>
    <w:rsid w:val="00202679"/>
    <w:rsid w:val="00202D93"/>
    <w:rsid w:val="00202E2A"/>
    <w:rsid w:val="00203933"/>
    <w:rsid w:val="00204C09"/>
    <w:rsid w:val="002052BF"/>
    <w:rsid w:val="0020536F"/>
    <w:rsid w:val="00205670"/>
    <w:rsid w:val="00205DC9"/>
    <w:rsid w:val="0020635B"/>
    <w:rsid w:val="002064E1"/>
    <w:rsid w:val="00206F9A"/>
    <w:rsid w:val="00207968"/>
    <w:rsid w:val="00207B50"/>
    <w:rsid w:val="002100E9"/>
    <w:rsid w:val="00212022"/>
    <w:rsid w:val="002126DD"/>
    <w:rsid w:val="00214228"/>
    <w:rsid w:val="0021493D"/>
    <w:rsid w:val="00214DD7"/>
    <w:rsid w:val="00214F54"/>
    <w:rsid w:val="002155C5"/>
    <w:rsid w:val="0021708F"/>
    <w:rsid w:val="002225B6"/>
    <w:rsid w:val="002228C6"/>
    <w:rsid w:val="00223742"/>
    <w:rsid w:val="0022386A"/>
    <w:rsid w:val="002238AE"/>
    <w:rsid w:val="002238BD"/>
    <w:rsid w:val="002247B5"/>
    <w:rsid w:val="0022623B"/>
    <w:rsid w:val="0022680B"/>
    <w:rsid w:val="0023012A"/>
    <w:rsid w:val="00231D21"/>
    <w:rsid w:val="0023225F"/>
    <w:rsid w:val="0023255F"/>
    <w:rsid w:val="00235797"/>
    <w:rsid w:val="0023589D"/>
    <w:rsid w:val="00235F2B"/>
    <w:rsid w:val="00236EE2"/>
    <w:rsid w:val="00237A15"/>
    <w:rsid w:val="00240733"/>
    <w:rsid w:val="00240BA4"/>
    <w:rsid w:val="0024101B"/>
    <w:rsid w:val="00241D3A"/>
    <w:rsid w:val="002423AD"/>
    <w:rsid w:val="0024269B"/>
    <w:rsid w:val="00244532"/>
    <w:rsid w:val="00244845"/>
    <w:rsid w:val="00244B40"/>
    <w:rsid w:val="00246A36"/>
    <w:rsid w:val="00247523"/>
    <w:rsid w:val="002475F4"/>
    <w:rsid w:val="00247993"/>
    <w:rsid w:val="00247F59"/>
    <w:rsid w:val="00250423"/>
    <w:rsid w:val="0025043E"/>
    <w:rsid w:val="00250D5C"/>
    <w:rsid w:val="00253446"/>
    <w:rsid w:val="00254149"/>
    <w:rsid w:val="00254F6E"/>
    <w:rsid w:val="0025656F"/>
    <w:rsid w:val="002574D7"/>
    <w:rsid w:val="00257B22"/>
    <w:rsid w:val="002665E4"/>
    <w:rsid w:val="002673AF"/>
    <w:rsid w:val="00270437"/>
    <w:rsid w:val="0027067C"/>
    <w:rsid w:val="00270D09"/>
    <w:rsid w:val="00270FE1"/>
    <w:rsid w:val="0027193B"/>
    <w:rsid w:val="00271ABB"/>
    <w:rsid w:val="0027281A"/>
    <w:rsid w:val="00272DEC"/>
    <w:rsid w:val="002759A2"/>
    <w:rsid w:val="00276204"/>
    <w:rsid w:val="00276C58"/>
    <w:rsid w:val="00280E45"/>
    <w:rsid w:val="002810F8"/>
    <w:rsid w:val="00282504"/>
    <w:rsid w:val="00283767"/>
    <w:rsid w:val="002901A4"/>
    <w:rsid w:val="002904D3"/>
    <w:rsid w:val="00290D50"/>
    <w:rsid w:val="00291105"/>
    <w:rsid w:val="002936B7"/>
    <w:rsid w:val="00293A2C"/>
    <w:rsid w:val="0029442F"/>
    <w:rsid w:val="0029595B"/>
    <w:rsid w:val="00295A34"/>
    <w:rsid w:val="00296501"/>
    <w:rsid w:val="00297034"/>
    <w:rsid w:val="002975BF"/>
    <w:rsid w:val="002976E1"/>
    <w:rsid w:val="0029799B"/>
    <w:rsid w:val="002A0906"/>
    <w:rsid w:val="002A1CD2"/>
    <w:rsid w:val="002A2B5C"/>
    <w:rsid w:val="002A2B93"/>
    <w:rsid w:val="002A4898"/>
    <w:rsid w:val="002A4F6F"/>
    <w:rsid w:val="002A5411"/>
    <w:rsid w:val="002A6206"/>
    <w:rsid w:val="002B01D6"/>
    <w:rsid w:val="002B1AC3"/>
    <w:rsid w:val="002B2CE9"/>
    <w:rsid w:val="002B2F3A"/>
    <w:rsid w:val="002B5E0D"/>
    <w:rsid w:val="002B6471"/>
    <w:rsid w:val="002B7A62"/>
    <w:rsid w:val="002C00FF"/>
    <w:rsid w:val="002C021B"/>
    <w:rsid w:val="002C3F5C"/>
    <w:rsid w:val="002C40A5"/>
    <w:rsid w:val="002C4340"/>
    <w:rsid w:val="002C4F66"/>
    <w:rsid w:val="002C61E4"/>
    <w:rsid w:val="002C65FF"/>
    <w:rsid w:val="002C6802"/>
    <w:rsid w:val="002C75BE"/>
    <w:rsid w:val="002D157C"/>
    <w:rsid w:val="002D3793"/>
    <w:rsid w:val="002D3A86"/>
    <w:rsid w:val="002D40BF"/>
    <w:rsid w:val="002D5753"/>
    <w:rsid w:val="002D6B6F"/>
    <w:rsid w:val="002D6F7F"/>
    <w:rsid w:val="002D7A77"/>
    <w:rsid w:val="002D7BE8"/>
    <w:rsid w:val="002E098C"/>
    <w:rsid w:val="002E3E40"/>
    <w:rsid w:val="002E41B0"/>
    <w:rsid w:val="002E76EF"/>
    <w:rsid w:val="002E7E70"/>
    <w:rsid w:val="002F08C6"/>
    <w:rsid w:val="002F14E3"/>
    <w:rsid w:val="002F24F3"/>
    <w:rsid w:val="002F2754"/>
    <w:rsid w:val="002F2CD7"/>
    <w:rsid w:val="002F37CB"/>
    <w:rsid w:val="002F4ADA"/>
    <w:rsid w:val="002F5465"/>
    <w:rsid w:val="002F7AD0"/>
    <w:rsid w:val="002F7EF3"/>
    <w:rsid w:val="0030169A"/>
    <w:rsid w:val="00303A7C"/>
    <w:rsid w:val="00304B61"/>
    <w:rsid w:val="00304E26"/>
    <w:rsid w:val="00306123"/>
    <w:rsid w:val="00307CF1"/>
    <w:rsid w:val="0031007D"/>
    <w:rsid w:val="003107DD"/>
    <w:rsid w:val="0031173F"/>
    <w:rsid w:val="00311B9B"/>
    <w:rsid w:val="00311CDC"/>
    <w:rsid w:val="0031279C"/>
    <w:rsid w:val="00313380"/>
    <w:rsid w:val="00313E93"/>
    <w:rsid w:val="003142BE"/>
    <w:rsid w:val="0031536A"/>
    <w:rsid w:val="003157D1"/>
    <w:rsid w:val="0031658C"/>
    <w:rsid w:val="00317222"/>
    <w:rsid w:val="00321555"/>
    <w:rsid w:val="00322799"/>
    <w:rsid w:val="00323D00"/>
    <w:rsid w:val="003241F1"/>
    <w:rsid w:val="00324984"/>
    <w:rsid w:val="00325EB2"/>
    <w:rsid w:val="0032649F"/>
    <w:rsid w:val="003301E5"/>
    <w:rsid w:val="00333BB7"/>
    <w:rsid w:val="00334CC7"/>
    <w:rsid w:val="003355B7"/>
    <w:rsid w:val="00336C72"/>
    <w:rsid w:val="0034044F"/>
    <w:rsid w:val="00343634"/>
    <w:rsid w:val="00343A1D"/>
    <w:rsid w:val="00343D9C"/>
    <w:rsid w:val="00344987"/>
    <w:rsid w:val="003459A8"/>
    <w:rsid w:val="003463EF"/>
    <w:rsid w:val="00346AF1"/>
    <w:rsid w:val="00347CFE"/>
    <w:rsid w:val="0035017D"/>
    <w:rsid w:val="0035121B"/>
    <w:rsid w:val="00352A69"/>
    <w:rsid w:val="00352D4E"/>
    <w:rsid w:val="00353D74"/>
    <w:rsid w:val="0035556C"/>
    <w:rsid w:val="0035574A"/>
    <w:rsid w:val="00356466"/>
    <w:rsid w:val="00360A1D"/>
    <w:rsid w:val="00360ACB"/>
    <w:rsid w:val="00361811"/>
    <w:rsid w:val="00363155"/>
    <w:rsid w:val="0036363A"/>
    <w:rsid w:val="00363B02"/>
    <w:rsid w:val="003642B6"/>
    <w:rsid w:val="003649C7"/>
    <w:rsid w:val="00365BD8"/>
    <w:rsid w:val="003676C5"/>
    <w:rsid w:val="0037102A"/>
    <w:rsid w:val="003716BF"/>
    <w:rsid w:val="00371760"/>
    <w:rsid w:val="00372E14"/>
    <w:rsid w:val="003758BE"/>
    <w:rsid w:val="00376869"/>
    <w:rsid w:val="003768B2"/>
    <w:rsid w:val="00376AC6"/>
    <w:rsid w:val="003778E8"/>
    <w:rsid w:val="00380598"/>
    <w:rsid w:val="00380ED1"/>
    <w:rsid w:val="00381B01"/>
    <w:rsid w:val="003829D9"/>
    <w:rsid w:val="00383B17"/>
    <w:rsid w:val="00384A92"/>
    <w:rsid w:val="003854F3"/>
    <w:rsid w:val="00385956"/>
    <w:rsid w:val="00386518"/>
    <w:rsid w:val="00391A61"/>
    <w:rsid w:val="00392028"/>
    <w:rsid w:val="00396453"/>
    <w:rsid w:val="00397B1C"/>
    <w:rsid w:val="00397E86"/>
    <w:rsid w:val="003A01CC"/>
    <w:rsid w:val="003A027C"/>
    <w:rsid w:val="003A1388"/>
    <w:rsid w:val="003A1D20"/>
    <w:rsid w:val="003A258C"/>
    <w:rsid w:val="003A40E7"/>
    <w:rsid w:val="003A4472"/>
    <w:rsid w:val="003A5DC1"/>
    <w:rsid w:val="003A5E5D"/>
    <w:rsid w:val="003A66AB"/>
    <w:rsid w:val="003A78B7"/>
    <w:rsid w:val="003A7C5B"/>
    <w:rsid w:val="003B06A2"/>
    <w:rsid w:val="003B0EA2"/>
    <w:rsid w:val="003B13BE"/>
    <w:rsid w:val="003B5B12"/>
    <w:rsid w:val="003B5BD6"/>
    <w:rsid w:val="003B5D7B"/>
    <w:rsid w:val="003B5F19"/>
    <w:rsid w:val="003B6A79"/>
    <w:rsid w:val="003B72E5"/>
    <w:rsid w:val="003C0E0B"/>
    <w:rsid w:val="003C1220"/>
    <w:rsid w:val="003C2C2C"/>
    <w:rsid w:val="003C5333"/>
    <w:rsid w:val="003C5626"/>
    <w:rsid w:val="003C570C"/>
    <w:rsid w:val="003C6339"/>
    <w:rsid w:val="003C6417"/>
    <w:rsid w:val="003C680B"/>
    <w:rsid w:val="003C6B76"/>
    <w:rsid w:val="003C6C5D"/>
    <w:rsid w:val="003C6D3A"/>
    <w:rsid w:val="003D1D58"/>
    <w:rsid w:val="003D2AD7"/>
    <w:rsid w:val="003D39A5"/>
    <w:rsid w:val="003D3B92"/>
    <w:rsid w:val="003D4056"/>
    <w:rsid w:val="003D415D"/>
    <w:rsid w:val="003D46D1"/>
    <w:rsid w:val="003D71CB"/>
    <w:rsid w:val="003E0C12"/>
    <w:rsid w:val="003E1356"/>
    <w:rsid w:val="003E3F82"/>
    <w:rsid w:val="003E4925"/>
    <w:rsid w:val="003E58E5"/>
    <w:rsid w:val="003E7C9B"/>
    <w:rsid w:val="003E7D25"/>
    <w:rsid w:val="003F0417"/>
    <w:rsid w:val="003F19AA"/>
    <w:rsid w:val="003F36ED"/>
    <w:rsid w:val="003F428A"/>
    <w:rsid w:val="003F5AB0"/>
    <w:rsid w:val="003F6324"/>
    <w:rsid w:val="00400949"/>
    <w:rsid w:val="00400F91"/>
    <w:rsid w:val="00402338"/>
    <w:rsid w:val="00403958"/>
    <w:rsid w:val="00405A9D"/>
    <w:rsid w:val="00406CCB"/>
    <w:rsid w:val="00406E3F"/>
    <w:rsid w:val="00406E48"/>
    <w:rsid w:val="0041246A"/>
    <w:rsid w:val="004137F3"/>
    <w:rsid w:val="00415470"/>
    <w:rsid w:val="00416388"/>
    <w:rsid w:val="00417D4F"/>
    <w:rsid w:val="00420D65"/>
    <w:rsid w:val="004223F4"/>
    <w:rsid w:val="004224DB"/>
    <w:rsid w:val="00423EC7"/>
    <w:rsid w:val="00427087"/>
    <w:rsid w:val="004300B5"/>
    <w:rsid w:val="0043103D"/>
    <w:rsid w:val="00431912"/>
    <w:rsid w:val="004342C9"/>
    <w:rsid w:val="00435B06"/>
    <w:rsid w:val="00436A49"/>
    <w:rsid w:val="00436DE1"/>
    <w:rsid w:val="00440412"/>
    <w:rsid w:val="00440F3E"/>
    <w:rsid w:val="00443674"/>
    <w:rsid w:val="00443769"/>
    <w:rsid w:val="00443935"/>
    <w:rsid w:val="004442B3"/>
    <w:rsid w:val="00444A73"/>
    <w:rsid w:val="00445986"/>
    <w:rsid w:val="00446613"/>
    <w:rsid w:val="0044662E"/>
    <w:rsid w:val="00447654"/>
    <w:rsid w:val="004476BD"/>
    <w:rsid w:val="004476E6"/>
    <w:rsid w:val="004513F9"/>
    <w:rsid w:val="004529F7"/>
    <w:rsid w:val="00452F36"/>
    <w:rsid w:val="00453130"/>
    <w:rsid w:val="0045394E"/>
    <w:rsid w:val="00453C73"/>
    <w:rsid w:val="00454B5D"/>
    <w:rsid w:val="00455B44"/>
    <w:rsid w:val="00456FA3"/>
    <w:rsid w:val="004573D6"/>
    <w:rsid w:val="0045754E"/>
    <w:rsid w:val="00457860"/>
    <w:rsid w:val="0046086D"/>
    <w:rsid w:val="004624DE"/>
    <w:rsid w:val="00462CC5"/>
    <w:rsid w:val="004640E1"/>
    <w:rsid w:val="00464491"/>
    <w:rsid w:val="00465DE3"/>
    <w:rsid w:val="004672E4"/>
    <w:rsid w:val="004708B7"/>
    <w:rsid w:val="004722EA"/>
    <w:rsid w:val="0047305B"/>
    <w:rsid w:val="00474598"/>
    <w:rsid w:val="004755C3"/>
    <w:rsid w:val="00475A0F"/>
    <w:rsid w:val="004766C8"/>
    <w:rsid w:val="00476D69"/>
    <w:rsid w:val="004771A7"/>
    <w:rsid w:val="00477DF1"/>
    <w:rsid w:val="004805E1"/>
    <w:rsid w:val="0048194E"/>
    <w:rsid w:val="00481A4B"/>
    <w:rsid w:val="00484682"/>
    <w:rsid w:val="004852F8"/>
    <w:rsid w:val="004864A7"/>
    <w:rsid w:val="00486D4E"/>
    <w:rsid w:val="00491F15"/>
    <w:rsid w:val="00492B91"/>
    <w:rsid w:val="0049352F"/>
    <w:rsid w:val="00493D28"/>
    <w:rsid w:val="00495099"/>
    <w:rsid w:val="004964CB"/>
    <w:rsid w:val="004A1557"/>
    <w:rsid w:val="004A40B9"/>
    <w:rsid w:val="004A465C"/>
    <w:rsid w:val="004A6204"/>
    <w:rsid w:val="004A73CD"/>
    <w:rsid w:val="004A791C"/>
    <w:rsid w:val="004B0C70"/>
    <w:rsid w:val="004B10CD"/>
    <w:rsid w:val="004B2765"/>
    <w:rsid w:val="004B2A37"/>
    <w:rsid w:val="004B30E9"/>
    <w:rsid w:val="004B3309"/>
    <w:rsid w:val="004B362E"/>
    <w:rsid w:val="004B43B7"/>
    <w:rsid w:val="004B6541"/>
    <w:rsid w:val="004B6984"/>
    <w:rsid w:val="004B70A2"/>
    <w:rsid w:val="004C01CB"/>
    <w:rsid w:val="004C05F2"/>
    <w:rsid w:val="004C223F"/>
    <w:rsid w:val="004C2689"/>
    <w:rsid w:val="004C2B0F"/>
    <w:rsid w:val="004C407E"/>
    <w:rsid w:val="004C4AB1"/>
    <w:rsid w:val="004C7A15"/>
    <w:rsid w:val="004D0D10"/>
    <w:rsid w:val="004D11B7"/>
    <w:rsid w:val="004D128D"/>
    <w:rsid w:val="004D3F97"/>
    <w:rsid w:val="004D52E2"/>
    <w:rsid w:val="004D55CE"/>
    <w:rsid w:val="004D57A0"/>
    <w:rsid w:val="004D61D0"/>
    <w:rsid w:val="004D69B9"/>
    <w:rsid w:val="004E0448"/>
    <w:rsid w:val="004E0791"/>
    <w:rsid w:val="004E0DB8"/>
    <w:rsid w:val="004E1C15"/>
    <w:rsid w:val="004E2110"/>
    <w:rsid w:val="004E44CC"/>
    <w:rsid w:val="004E5C16"/>
    <w:rsid w:val="004E5CA5"/>
    <w:rsid w:val="004E635C"/>
    <w:rsid w:val="004E640D"/>
    <w:rsid w:val="004E7CA1"/>
    <w:rsid w:val="004E7D70"/>
    <w:rsid w:val="004F04CE"/>
    <w:rsid w:val="004F0E19"/>
    <w:rsid w:val="004F2997"/>
    <w:rsid w:val="004F345D"/>
    <w:rsid w:val="004F354D"/>
    <w:rsid w:val="004F6977"/>
    <w:rsid w:val="004F7B32"/>
    <w:rsid w:val="00501FA2"/>
    <w:rsid w:val="005034FC"/>
    <w:rsid w:val="00503F67"/>
    <w:rsid w:val="005045FB"/>
    <w:rsid w:val="005055E2"/>
    <w:rsid w:val="005106D5"/>
    <w:rsid w:val="00510994"/>
    <w:rsid w:val="005112F3"/>
    <w:rsid w:val="005126E8"/>
    <w:rsid w:val="0051591D"/>
    <w:rsid w:val="005171DA"/>
    <w:rsid w:val="00517BF1"/>
    <w:rsid w:val="00520645"/>
    <w:rsid w:val="00520920"/>
    <w:rsid w:val="0052107B"/>
    <w:rsid w:val="00521372"/>
    <w:rsid w:val="00523184"/>
    <w:rsid w:val="0052357A"/>
    <w:rsid w:val="00523AEC"/>
    <w:rsid w:val="00530CE7"/>
    <w:rsid w:val="005316A8"/>
    <w:rsid w:val="00531DBF"/>
    <w:rsid w:val="00535C65"/>
    <w:rsid w:val="005409FB"/>
    <w:rsid w:val="00540A7F"/>
    <w:rsid w:val="00540FEC"/>
    <w:rsid w:val="005414D6"/>
    <w:rsid w:val="00541F83"/>
    <w:rsid w:val="005430C7"/>
    <w:rsid w:val="00543809"/>
    <w:rsid w:val="00543CB6"/>
    <w:rsid w:val="005446B0"/>
    <w:rsid w:val="005465AC"/>
    <w:rsid w:val="0054690E"/>
    <w:rsid w:val="00546B8F"/>
    <w:rsid w:val="005475A9"/>
    <w:rsid w:val="00547E4F"/>
    <w:rsid w:val="00550074"/>
    <w:rsid w:val="00551DFC"/>
    <w:rsid w:val="0055211A"/>
    <w:rsid w:val="00552F55"/>
    <w:rsid w:val="0055455F"/>
    <w:rsid w:val="00555BCD"/>
    <w:rsid w:val="005605F8"/>
    <w:rsid w:val="005633D7"/>
    <w:rsid w:val="0056343B"/>
    <w:rsid w:val="00563DD5"/>
    <w:rsid w:val="005650C2"/>
    <w:rsid w:val="00565484"/>
    <w:rsid w:val="00565A8C"/>
    <w:rsid w:val="00565EF8"/>
    <w:rsid w:val="00574068"/>
    <w:rsid w:val="0057682D"/>
    <w:rsid w:val="005807B2"/>
    <w:rsid w:val="00580954"/>
    <w:rsid w:val="00581DAF"/>
    <w:rsid w:val="0058265B"/>
    <w:rsid w:val="00582FCA"/>
    <w:rsid w:val="00583A5C"/>
    <w:rsid w:val="005850D6"/>
    <w:rsid w:val="0058565E"/>
    <w:rsid w:val="0058643C"/>
    <w:rsid w:val="00586EDA"/>
    <w:rsid w:val="005913DA"/>
    <w:rsid w:val="00591FF6"/>
    <w:rsid w:val="005927CD"/>
    <w:rsid w:val="005928E6"/>
    <w:rsid w:val="00592F0D"/>
    <w:rsid w:val="0059343A"/>
    <w:rsid w:val="005946B8"/>
    <w:rsid w:val="00595680"/>
    <w:rsid w:val="00595F94"/>
    <w:rsid w:val="005964EC"/>
    <w:rsid w:val="00596E98"/>
    <w:rsid w:val="005971FD"/>
    <w:rsid w:val="0059746C"/>
    <w:rsid w:val="005A0661"/>
    <w:rsid w:val="005A111A"/>
    <w:rsid w:val="005A1194"/>
    <w:rsid w:val="005A129B"/>
    <w:rsid w:val="005A1DA9"/>
    <w:rsid w:val="005A1FDF"/>
    <w:rsid w:val="005A4F1F"/>
    <w:rsid w:val="005A522B"/>
    <w:rsid w:val="005A6732"/>
    <w:rsid w:val="005A6BD9"/>
    <w:rsid w:val="005A6F0F"/>
    <w:rsid w:val="005B0458"/>
    <w:rsid w:val="005B143F"/>
    <w:rsid w:val="005B213E"/>
    <w:rsid w:val="005B216A"/>
    <w:rsid w:val="005B4690"/>
    <w:rsid w:val="005B49EB"/>
    <w:rsid w:val="005B5992"/>
    <w:rsid w:val="005B7FA4"/>
    <w:rsid w:val="005C3296"/>
    <w:rsid w:val="005C528B"/>
    <w:rsid w:val="005C70CC"/>
    <w:rsid w:val="005D2CB5"/>
    <w:rsid w:val="005D37A8"/>
    <w:rsid w:val="005D386F"/>
    <w:rsid w:val="005D3969"/>
    <w:rsid w:val="005D5994"/>
    <w:rsid w:val="005D72C1"/>
    <w:rsid w:val="005E0D21"/>
    <w:rsid w:val="005E1048"/>
    <w:rsid w:val="005E268A"/>
    <w:rsid w:val="005E2B0A"/>
    <w:rsid w:val="005E4813"/>
    <w:rsid w:val="005E6E82"/>
    <w:rsid w:val="005E7DDA"/>
    <w:rsid w:val="005F1051"/>
    <w:rsid w:val="005F6167"/>
    <w:rsid w:val="00600921"/>
    <w:rsid w:val="00601855"/>
    <w:rsid w:val="006026FD"/>
    <w:rsid w:val="006031DC"/>
    <w:rsid w:val="00604425"/>
    <w:rsid w:val="0060535C"/>
    <w:rsid w:val="0060542A"/>
    <w:rsid w:val="006061C8"/>
    <w:rsid w:val="00607538"/>
    <w:rsid w:val="006102B7"/>
    <w:rsid w:val="00613D71"/>
    <w:rsid w:val="0061459D"/>
    <w:rsid w:val="00624132"/>
    <w:rsid w:val="006243E7"/>
    <w:rsid w:val="006254F3"/>
    <w:rsid w:val="006255B9"/>
    <w:rsid w:val="00625C51"/>
    <w:rsid w:val="00625F00"/>
    <w:rsid w:val="006266EB"/>
    <w:rsid w:val="00627144"/>
    <w:rsid w:val="00627321"/>
    <w:rsid w:val="006313EC"/>
    <w:rsid w:val="006324C9"/>
    <w:rsid w:val="006326CB"/>
    <w:rsid w:val="0063507E"/>
    <w:rsid w:val="00635319"/>
    <w:rsid w:val="0063697C"/>
    <w:rsid w:val="006369CC"/>
    <w:rsid w:val="006374EF"/>
    <w:rsid w:val="00640E45"/>
    <w:rsid w:val="006428C7"/>
    <w:rsid w:val="00643275"/>
    <w:rsid w:val="00643E16"/>
    <w:rsid w:val="00645391"/>
    <w:rsid w:val="00646631"/>
    <w:rsid w:val="00646F06"/>
    <w:rsid w:val="00647E12"/>
    <w:rsid w:val="00647F26"/>
    <w:rsid w:val="00651697"/>
    <w:rsid w:val="00652737"/>
    <w:rsid w:val="006536D6"/>
    <w:rsid w:val="00654653"/>
    <w:rsid w:val="006555AD"/>
    <w:rsid w:val="006560FF"/>
    <w:rsid w:val="0065628B"/>
    <w:rsid w:val="00657569"/>
    <w:rsid w:val="00661118"/>
    <w:rsid w:val="00662875"/>
    <w:rsid w:val="00663399"/>
    <w:rsid w:val="00663870"/>
    <w:rsid w:val="00663C71"/>
    <w:rsid w:val="006641C6"/>
    <w:rsid w:val="006647CF"/>
    <w:rsid w:val="00664E25"/>
    <w:rsid w:val="006656A2"/>
    <w:rsid w:val="00665738"/>
    <w:rsid w:val="00666247"/>
    <w:rsid w:val="006679EB"/>
    <w:rsid w:val="0067234C"/>
    <w:rsid w:val="00672A26"/>
    <w:rsid w:val="00674C5F"/>
    <w:rsid w:val="00674F5E"/>
    <w:rsid w:val="00675866"/>
    <w:rsid w:val="006763B3"/>
    <w:rsid w:val="006765BB"/>
    <w:rsid w:val="006778A5"/>
    <w:rsid w:val="00677A19"/>
    <w:rsid w:val="00680491"/>
    <w:rsid w:val="00682F0F"/>
    <w:rsid w:val="006830A1"/>
    <w:rsid w:val="00683222"/>
    <w:rsid w:val="00683387"/>
    <w:rsid w:val="0068463D"/>
    <w:rsid w:val="00686A7A"/>
    <w:rsid w:val="00686F46"/>
    <w:rsid w:val="00687B51"/>
    <w:rsid w:val="006900BC"/>
    <w:rsid w:val="006907CD"/>
    <w:rsid w:val="00692DDF"/>
    <w:rsid w:val="0069376A"/>
    <w:rsid w:val="00694BF0"/>
    <w:rsid w:val="00696721"/>
    <w:rsid w:val="006A10EC"/>
    <w:rsid w:val="006A14CE"/>
    <w:rsid w:val="006A1725"/>
    <w:rsid w:val="006A17CE"/>
    <w:rsid w:val="006A5EAE"/>
    <w:rsid w:val="006A6BBF"/>
    <w:rsid w:val="006A76FE"/>
    <w:rsid w:val="006B46DC"/>
    <w:rsid w:val="006B5A11"/>
    <w:rsid w:val="006B5E17"/>
    <w:rsid w:val="006B666A"/>
    <w:rsid w:val="006B755E"/>
    <w:rsid w:val="006B7F89"/>
    <w:rsid w:val="006C0C8E"/>
    <w:rsid w:val="006C1787"/>
    <w:rsid w:val="006C199D"/>
    <w:rsid w:val="006C3846"/>
    <w:rsid w:val="006C4725"/>
    <w:rsid w:val="006D0FE2"/>
    <w:rsid w:val="006D1FA6"/>
    <w:rsid w:val="006D21F0"/>
    <w:rsid w:val="006D2952"/>
    <w:rsid w:val="006D3EDC"/>
    <w:rsid w:val="006D4845"/>
    <w:rsid w:val="006D5CDB"/>
    <w:rsid w:val="006D6ADF"/>
    <w:rsid w:val="006D6BD7"/>
    <w:rsid w:val="006D7839"/>
    <w:rsid w:val="006E02B1"/>
    <w:rsid w:val="006E0414"/>
    <w:rsid w:val="006E06C4"/>
    <w:rsid w:val="006E157D"/>
    <w:rsid w:val="006E34FF"/>
    <w:rsid w:val="006E53A3"/>
    <w:rsid w:val="006E6DDB"/>
    <w:rsid w:val="006E7DFB"/>
    <w:rsid w:val="006F0AC4"/>
    <w:rsid w:val="006F2128"/>
    <w:rsid w:val="006F2CEE"/>
    <w:rsid w:val="006F4297"/>
    <w:rsid w:val="006F5195"/>
    <w:rsid w:val="006F61C3"/>
    <w:rsid w:val="006F730A"/>
    <w:rsid w:val="006F7546"/>
    <w:rsid w:val="00700495"/>
    <w:rsid w:val="00701907"/>
    <w:rsid w:val="0070375B"/>
    <w:rsid w:val="00704686"/>
    <w:rsid w:val="007064D1"/>
    <w:rsid w:val="00706C75"/>
    <w:rsid w:val="00707EEA"/>
    <w:rsid w:val="007106FF"/>
    <w:rsid w:val="00710932"/>
    <w:rsid w:val="00711C46"/>
    <w:rsid w:val="00714BDB"/>
    <w:rsid w:val="00714E63"/>
    <w:rsid w:val="0071751C"/>
    <w:rsid w:val="00717680"/>
    <w:rsid w:val="00720AF1"/>
    <w:rsid w:val="00721159"/>
    <w:rsid w:val="00725BFA"/>
    <w:rsid w:val="00726131"/>
    <w:rsid w:val="007269A4"/>
    <w:rsid w:val="00727559"/>
    <w:rsid w:val="00732632"/>
    <w:rsid w:val="00732B0E"/>
    <w:rsid w:val="00732BD2"/>
    <w:rsid w:val="00733AA3"/>
    <w:rsid w:val="00733E60"/>
    <w:rsid w:val="007342B2"/>
    <w:rsid w:val="00734BF0"/>
    <w:rsid w:val="007358D4"/>
    <w:rsid w:val="00737B33"/>
    <w:rsid w:val="00737D3F"/>
    <w:rsid w:val="0074025C"/>
    <w:rsid w:val="00742808"/>
    <w:rsid w:val="0074297D"/>
    <w:rsid w:val="00743951"/>
    <w:rsid w:val="0074407F"/>
    <w:rsid w:val="007453C6"/>
    <w:rsid w:val="00745C40"/>
    <w:rsid w:val="00746653"/>
    <w:rsid w:val="00750CFD"/>
    <w:rsid w:val="00753442"/>
    <w:rsid w:val="00754000"/>
    <w:rsid w:val="0075586C"/>
    <w:rsid w:val="007561EF"/>
    <w:rsid w:val="0075646B"/>
    <w:rsid w:val="00757C0C"/>
    <w:rsid w:val="00760447"/>
    <w:rsid w:val="00760C76"/>
    <w:rsid w:val="0076115B"/>
    <w:rsid w:val="007623A6"/>
    <w:rsid w:val="00763BF2"/>
    <w:rsid w:val="007644D4"/>
    <w:rsid w:val="00767E50"/>
    <w:rsid w:val="00771BDB"/>
    <w:rsid w:val="00774DD6"/>
    <w:rsid w:val="007806EF"/>
    <w:rsid w:val="007830DD"/>
    <w:rsid w:val="0078437C"/>
    <w:rsid w:val="00784AE6"/>
    <w:rsid w:val="00784CA4"/>
    <w:rsid w:val="00784D51"/>
    <w:rsid w:val="0078521D"/>
    <w:rsid w:val="00787769"/>
    <w:rsid w:val="00793D13"/>
    <w:rsid w:val="00794040"/>
    <w:rsid w:val="0079449C"/>
    <w:rsid w:val="00795130"/>
    <w:rsid w:val="00795370"/>
    <w:rsid w:val="00797162"/>
    <w:rsid w:val="007A030A"/>
    <w:rsid w:val="007A0608"/>
    <w:rsid w:val="007A2172"/>
    <w:rsid w:val="007A2E2A"/>
    <w:rsid w:val="007A31E6"/>
    <w:rsid w:val="007A3201"/>
    <w:rsid w:val="007A4951"/>
    <w:rsid w:val="007A69E3"/>
    <w:rsid w:val="007A7D92"/>
    <w:rsid w:val="007B1D8C"/>
    <w:rsid w:val="007B2424"/>
    <w:rsid w:val="007B252E"/>
    <w:rsid w:val="007B39B5"/>
    <w:rsid w:val="007B76CF"/>
    <w:rsid w:val="007C06DB"/>
    <w:rsid w:val="007C07F2"/>
    <w:rsid w:val="007C3CB3"/>
    <w:rsid w:val="007C442F"/>
    <w:rsid w:val="007C5596"/>
    <w:rsid w:val="007C7F1C"/>
    <w:rsid w:val="007D19D1"/>
    <w:rsid w:val="007D26D0"/>
    <w:rsid w:val="007D2F6E"/>
    <w:rsid w:val="007D31FD"/>
    <w:rsid w:val="007D4096"/>
    <w:rsid w:val="007D502C"/>
    <w:rsid w:val="007D5FE6"/>
    <w:rsid w:val="007D71B9"/>
    <w:rsid w:val="007D79F3"/>
    <w:rsid w:val="007E03DA"/>
    <w:rsid w:val="007E21C1"/>
    <w:rsid w:val="007E37B6"/>
    <w:rsid w:val="007E7377"/>
    <w:rsid w:val="007E7CC7"/>
    <w:rsid w:val="007F0892"/>
    <w:rsid w:val="007F12B7"/>
    <w:rsid w:val="007F1AEC"/>
    <w:rsid w:val="007F1EC8"/>
    <w:rsid w:val="007F25A9"/>
    <w:rsid w:val="007F33A7"/>
    <w:rsid w:val="007F40D3"/>
    <w:rsid w:val="007F539D"/>
    <w:rsid w:val="007F5717"/>
    <w:rsid w:val="00800944"/>
    <w:rsid w:val="00801036"/>
    <w:rsid w:val="00801575"/>
    <w:rsid w:val="00804AE3"/>
    <w:rsid w:val="00804F81"/>
    <w:rsid w:val="00807AA6"/>
    <w:rsid w:val="00810FF6"/>
    <w:rsid w:val="0081368C"/>
    <w:rsid w:val="00813D5B"/>
    <w:rsid w:val="008147EC"/>
    <w:rsid w:val="008154D1"/>
    <w:rsid w:val="00815D71"/>
    <w:rsid w:val="008164DC"/>
    <w:rsid w:val="00820836"/>
    <w:rsid w:val="008231BA"/>
    <w:rsid w:val="00824E2B"/>
    <w:rsid w:val="008268CD"/>
    <w:rsid w:val="00826980"/>
    <w:rsid w:val="008306DE"/>
    <w:rsid w:val="008313B2"/>
    <w:rsid w:val="00832B98"/>
    <w:rsid w:val="00832EED"/>
    <w:rsid w:val="00835309"/>
    <w:rsid w:val="00835CFE"/>
    <w:rsid w:val="00837F0A"/>
    <w:rsid w:val="00840112"/>
    <w:rsid w:val="00840199"/>
    <w:rsid w:val="008405A7"/>
    <w:rsid w:val="00841923"/>
    <w:rsid w:val="00842423"/>
    <w:rsid w:val="00843DEE"/>
    <w:rsid w:val="00846055"/>
    <w:rsid w:val="00847405"/>
    <w:rsid w:val="00850132"/>
    <w:rsid w:val="00850758"/>
    <w:rsid w:val="00853B1B"/>
    <w:rsid w:val="00855A00"/>
    <w:rsid w:val="00856495"/>
    <w:rsid w:val="0085721D"/>
    <w:rsid w:val="008577D4"/>
    <w:rsid w:val="0086059E"/>
    <w:rsid w:val="00860DDC"/>
    <w:rsid w:val="00862065"/>
    <w:rsid w:val="00863DB6"/>
    <w:rsid w:val="00863FD0"/>
    <w:rsid w:val="008644A7"/>
    <w:rsid w:val="008656D1"/>
    <w:rsid w:val="008657F9"/>
    <w:rsid w:val="00865F80"/>
    <w:rsid w:val="00866479"/>
    <w:rsid w:val="008720D8"/>
    <w:rsid w:val="0087367F"/>
    <w:rsid w:val="00873A06"/>
    <w:rsid w:val="00874D70"/>
    <w:rsid w:val="00875555"/>
    <w:rsid w:val="00880915"/>
    <w:rsid w:val="00883E6C"/>
    <w:rsid w:val="00884F84"/>
    <w:rsid w:val="00885715"/>
    <w:rsid w:val="00885AD4"/>
    <w:rsid w:val="008862B5"/>
    <w:rsid w:val="0088721E"/>
    <w:rsid w:val="0088740B"/>
    <w:rsid w:val="00887544"/>
    <w:rsid w:val="00887BDD"/>
    <w:rsid w:val="0089060D"/>
    <w:rsid w:val="008908F5"/>
    <w:rsid w:val="00890A4C"/>
    <w:rsid w:val="00890DDA"/>
    <w:rsid w:val="00891513"/>
    <w:rsid w:val="00891914"/>
    <w:rsid w:val="008945FD"/>
    <w:rsid w:val="008951AC"/>
    <w:rsid w:val="008961B7"/>
    <w:rsid w:val="0089654C"/>
    <w:rsid w:val="0089677E"/>
    <w:rsid w:val="008978CC"/>
    <w:rsid w:val="008A0B15"/>
    <w:rsid w:val="008A1F71"/>
    <w:rsid w:val="008A226B"/>
    <w:rsid w:val="008A44B7"/>
    <w:rsid w:val="008A694E"/>
    <w:rsid w:val="008B0920"/>
    <w:rsid w:val="008B354A"/>
    <w:rsid w:val="008B5987"/>
    <w:rsid w:val="008B6B10"/>
    <w:rsid w:val="008C2E65"/>
    <w:rsid w:val="008C34DE"/>
    <w:rsid w:val="008C37C8"/>
    <w:rsid w:val="008C4DFD"/>
    <w:rsid w:val="008C5BD8"/>
    <w:rsid w:val="008C5C8C"/>
    <w:rsid w:val="008D0BF5"/>
    <w:rsid w:val="008D114B"/>
    <w:rsid w:val="008D34FE"/>
    <w:rsid w:val="008D4E68"/>
    <w:rsid w:val="008D6987"/>
    <w:rsid w:val="008D7B32"/>
    <w:rsid w:val="008D7DDB"/>
    <w:rsid w:val="008E08F8"/>
    <w:rsid w:val="008E1F19"/>
    <w:rsid w:val="008E5912"/>
    <w:rsid w:val="008F075C"/>
    <w:rsid w:val="008F0AF1"/>
    <w:rsid w:val="008F0B32"/>
    <w:rsid w:val="008F11E2"/>
    <w:rsid w:val="008F3660"/>
    <w:rsid w:val="008F3F09"/>
    <w:rsid w:val="008F436E"/>
    <w:rsid w:val="008F5180"/>
    <w:rsid w:val="008F7B87"/>
    <w:rsid w:val="009007EB"/>
    <w:rsid w:val="00901F97"/>
    <w:rsid w:val="009025A6"/>
    <w:rsid w:val="009027DA"/>
    <w:rsid w:val="00902C55"/>
    <w:rsid w:val="00904F5A"/>
    <w:rsid w:val="00906098"/>
    <w:rsid w:val="00907206"/>
    <w:rsid w:val="00907611"/>
    <w:rsid w:val="00910BF0"/>
    <w:rsid w:val="00911114"/>
    <w:rsid w:val="00911C69"/>
    <w:rsid w:val="009121CD"/>
    <w:rsid w:val="009129DD"/>
    <w:rsid w:val="00912DEC"/>
    <w:rsid w:val="0091364C"/>
    <w:rsid w:val="009149A9"/>
    <w:rsid w:val="009152A2"/>
    <w:rsid w:val="00915D80"/>
    <w:rsid w:val="0092040D"/>
    <w:rsid w:val="009204DC"/>
    <w:rsid w:val="009205BD"/>
    <w:rsid w:val="00922616"/>
    <w:rsid w:val="009265F8"/>
    <w:rsid w:val="009301F1"/>
    <w:rsid w:val="00930D8F"/>
    <w:rsid w:val="00933311"/>
    <w:rsid w:val="00934A69"/>
    <w:rsid w:val="00935197"/>
    <w:rsid w:val="009356A4"/>
    <w:rsid w:val="009359D6"/>
    <w:rsid w:val="009366CE"/>
    <w:rsid w:val="00936722"/>
    <w:rsid w:val="009376A3"/>
    <w:rsid w:val="00937A0D"/>
    <w:rsid w:val="009405F0"/>
    <w:rsid w:val="00940F46"/>
    <w:rsid w:val="009451C2"/>
    <w:rsid w:val="009458C6"/>
    <w:rsid w:val="0095018E"/>
    <w:rsid w:val="00950448"/>
    <w:rsid w:val="00950C28"/>
    <w:rsid w:val="009528ED"/>
    <w:rsid w:val="00952920"/>
    <w:rsid w:val="00952DEC"/>
    <w:rsid w:val="00954212"/>
    <w:rsid w:val="00954222"/>
    <w:rsid w:val="009546D8"/>
    <w:rsid w:val="00954877"/>
    <w:rsid w:val="009548FE"/>
    <w:rsid w:val="00954B36"/>
    <w:rsid w:val="009558F0"/>
    <w:rsid w:val="00957A1C"/>
    <w:rsid w:val="009603E2"/>
    <w:rsid w:val="00962BA0"/>
    <w:rsid w:val="009632D7"/>
    <w:rsid w:val="00963962"/>
    <w:rsid w:val="00964509"/>
    <w:rsid w:val="0096489B"/>
    <w:rsid w:val="00964DAF"/>
    <w:rsid w:val="00965A62"/>
    <w:rsid w:val="00965A8D"/>
    <w:rsid w:val="00966C54"/>
    <w:rsid w:val="009678FD"/>
    <w:rsid w:val="0097123A"/>
    <w:rsid w:val="00972789"/>
    <w:rsid w:val="00972CB3"/>
    <w:rsid w:val="0097416F"/>
    <w:rsid w:val="0097541B"/>
    <w:rsid w:val="00975828"/>
    <w:rsid w:val="00975DA4"/>
    <w:rsid w:val="0097649D"/>
    <w:rsid w:val="00977987"/>
    <w:rsid w:val="00982BA6"/>
    <w:rsid w:val="00984598"/>
    <w:rsid w:val="00984F86"/>
    <w:rsid w:val="009853EE"/>
    <w:rsid w:val="00987D47"/>
    <w:rsid w:val="00990D29"/>
    <w:rsid w:val="009916C7"/>
    <w:rsid w:val="00991914"/>
    <w:rsid w:val="00992DFF"/>
    <w:rsid w:val="00994036"/>
    <w:rsid w:val="009941A4"/>
    <w:rsid w:val="009944E0"/>
    <w:rsid w:val="00994E8C"/>
    <w:rsid w:val="00995CE5"/>
    <w:rsid w:val="00996635"/>
    <w:rsid w:val="009969FD"/>
    <w:rsid w:val="009A23E0"/>
    <w:rsid w:val="009A32F5"/>
    <w:rsid w:val="009A42A8"/>
    <w:rsid w:val="009A4397"/>
    <w:rsid w:val="009A4C74"/>
    <w:rsid w:val="009A5462"/>
    <w:rsid w:val="009A57A5"/>
    <w:rsid w:val="009A58EC"/>
    <w:rsid w:val="009A5BB3"/>
    <w:rsid w:val="009A5BBB"/>
    <w:rsid w:val="009A6073"/>
    <w:rsid w:val="009A70D7"/>
    <w:rsid w:val="009A7DF7"/>
    <w:rsid w:val="009B09C6"/>
    <w:rsid w:val="009B1ACA"/>
    <w:rsid w:val="009B2C71"/>
    <w:rsid w:val="009B4243"/>
    <w:rsid w:val="009B4A2A"/>
    <w:rsid w:val="009B5B0A"/>
    <w:rsid w:val="009B6BD1"/>
    <w:rsid w:val="009B717A"/>
    <w:rsid w:val="009C073F"/>
    <w:rsid w:val="009C0A02"/>
    <w:rsid w:val="009C0FC8"/>
    <w:rsid w:val="009C149E"/>
    <w:rsid w:val="009C2256"/>
    <w:rsid w:val="009C3479"/>
    <w:rsid w:val="009C3782"/>
    <w:rsid w:val="009C3E2A"/>
    <w:rsid w:val="009C4B02"/>
    <w:rsid w:val="009C53AF"/>
    <w:rsid w:val="009C5A69"/>
    <w:rsid w:val="009D0BFE"/>
    <w:rsid w:val="009D182C"/>
    <w:rsid w:val="009D408D"/>
    <w:rsid w:val="009D4ED5"/>
    <w:rsid w:val="009D5001"/>
    <w:rsid w:val="009D5869"/>
    <w:rsid w:val="009D6688"/>
    <w:rsid w:val="009D7BCF"/>
    <w:rsid w:val="009E26B9"/>
    <w:rsid w:val="009E3502"/>
    <w:rsid w:val="009E39EA"/>
    <w:rsid w:val="009E3B58"/>
    <w:rsid w:val="009E40DD"/>
    <w:rsid w:val="009E45C9"/>
    <w:rsid w:val="009E56B5"/>
    <w:rsid w:val="009E662A"/>
    <w:rsid w:val="009E6BFC"/>
    <w:rsid w:val="009E74C5"/>
    <w:rsid w:val="009E776F"/>
    <w:rsid w:val="009F0DB1"/>
    <w:rsid w:val="009F1936"/>
    <w:rsid w:val="009F2040"/>
    <w:rsid w:val="009F2104"/>
    <w:rsid w:val="009F218E"/>
    <w:rsid w:val="009F2584"/>
    <w:rsid w:val="009F278F"/>
    <w:rsid w:val="009F2800"/>
    <w:rsid w:val="009F412B"/>
    <w:rsid w:val="009F47A2"/>
    <w:rsid w:val="009F6808"/>
    <w:rsid w:val="009F6A0B"/>
    <w:rsid w:val="009F6C6B"/>
    <w:rsid w:val="009F7BBD"/>
    <w:rsid w:val="009F7BF9"/>
    <w:rsid w:val="00A00951"/>
    <w:rsid w:val="00A009A2"/>
    <w:rsid w:val="00A02E8A"/>
    <w:rsid w:val="00A03446"/>
    <w:rsid w:val="00A03AF5"/>
    <w:rsid w:val="00A03BF8"/>
    <w:rsid w:val="00A049F9"/>
    <w:rsid w:val="00A04E05"/>
    <w:rsid w:val="00A051C8"/>
    <w:rsid w:val="00A061F5"/>
    <w:rsid w:val="00A06B44"/>
    <w:rsid w:val="00A10960"/>
    <w:rsid w:val="00A141B7"/>
    <w:rsid w:val="00A14D5E"/>
    <w:rsid w:val="00A17418"/>
    <w:rsid w:val="00A221D9"/>
    <w:rsid w:val="00A2594E"/>
    <w:rsid w:val="00A26BE5"/>
    <w:rsid w:val="00A26C1C"/>
    <w:rsid w:val="00A30F8F"/>
    <w:rsid w:val="00A31F25"/>
    <w:rsid w:val="00A323CC"/>
    <w:rsid w:val="00A32C0E"/>
    <w:rsid w:val="00A32EFD"/>
    <w:rsid w:val="00A3358B"/>
    <w:rsid w:val="00A34916"/>
    <w:rsid w:val="00A34F62"/>
    <w:rsid w:val="00A35B95"/>
    <w:rsid w:val="00A35F40"/>
    <w:rsid w:val="00A360FE"/>
    <w:rsid w:val="00A363CB"/>
    <w:rsid w:val="00A4131F"/>
    <w:rsid w:val="00A4301B"/>
    <w:rsid w:val="00A44252"/>
    <w:rsid w:val="00A4766A"/>
    <w:rsid w:val="00A47817"/>
    <w:rsid w:val="00A50F48"/>
    <w:rsid w:val="00A527BC"/>
    <w:rsid w:val="00A52E90"/>
    <w:rsid w:val="00A53099"/>
    <w:rsid w:val="00A53408"/>
    <w:rsid w:val="00A60663"/>
    <w:rsid w:val="00A60D25"/>
    <w:rsid w:val="00A61370"/>
    <w:rsid w:val="00A61F5D"/>
    <w:rsid w:val="00A6310F"/>
    <w:rsid w:val="00A636CF"/>
    <w:rsid w:val="00A6575E"/>
    <w:rsid w:val="00A65E12"/>
    <w:rsid w:val="00A66FC6"/>
    <w:rsid w:val="00A67467"/>
    <w:rsid w:val="00A712E2"/>
    <w:rsid w:val="00A722B9"/>
    <w:rsid w:val="00A73C3F"/>
    <w:rsid w:val="00A74655"/>
    <w:rsid w:val="00A74B2E"/>
    <w:rsid w:val="00A758F4"/>
    <w:rsid w:val="00A75E9A"/>
    <w:rsid w:val="00A80C48"/>
    <w:rsid w:val="00A81916"/>
    <w:rsid w:val="00A82897"/>
    <w:rsid w:val="00A8399D"/>
    <w:rsid w:val="00A85161"/>
    <w:rsid w:val="00A919AE"/>
    <w:rsid w:val="00A9310B"/>
    <w:rsid w:val="00A9411B"/>
    <w:rsid w:val="00A94213"/>
    <w:rsid w:val="00A945E8"/>
    <w:rsid w:val="00A94A12"/>
    <w:rsid w:val="00A96FC8"/>
    <w:rsid w:val="00A975AF"/>
    <w:rsid w:val="00AA0467"/>
    <w:rsid w:val="00AA0A0E"/>
    <w:rsid w:val="00AA19AA"/>
    <w:rsid w:val="00AA2110"/>
    <w:rsid w:val="00AA236A"/>
    <w:rsid w:val="00AA2E8C"/>
    <w:rsid w:val="00AA2EB8"/>
    <w:rsid w:val="00AA33E7"/>
    <w:rsid w:val="00AA347C"/>
    <w:rsid w:val="00AA4AFD"/>
    <w:rsid w:val="00AA51FF"/>
    <w:rsid w:val="00AA6675"/>
    <w:rsid w:val="00AA66A4"/>
    <w:rsid w:val="00AA6CAA"/>
    <w:rsid w:val="00AA7C31"/>
    <w:rsid w:val="00AB03EF"/>
    <w:rsid w:val="00AB300F"/>
    <w:rsid w:val="00AB3041"/>
    <w:rsid w:val="00AB3D2E"/>
    <w:rsid w:val="00AB4415"/>
    <w:rsid w:val="00AB6C79"/>
    <w:rsid w:val="00AC01EA"/>
    <w:rsid w:val="00AC09DC"/>
    <w:rsid w:val="00AC298F"/>
    <w:rsid w:val="00AC5D36"/>
    <w:rsid w:val="00AC6D00"/>
    <w:rsid w:val="00AD0562"/>
    <w:rsid w:val="00AD067A"/>
    <w:rsid w:val="00AD50CA"/>
    <w:rsid w:val="00AD5870"/>
    <w:rsid w:val="00AD5C4D"/>
    <w:rsid w:val="00AE1BD0"/>
    <w:rsid w:val="00AE2C10"/>
    <w:rsid w:val="00AE35E2"/>
    <w:rsid w:val="00AE3BA1"/>
    <w:rsid w:val="00AE4B00"/>
    <w:rsid w:val="00AE5250"/>
    <w:rsid w:val="00AE5259"/>
    <w:rsid w:val="00AE5C8E"/>
    <w:rsid w:val="00AE6B15"/>
    <w:rsid w:val="00AE6FD6"/>
    <w:rsid w:val="00AE7253"/>
    <w:rsid w:val="00AE7D2B"/>
    <w:rsid w:val="00AF0A7B"/>
    <w:rsid w:val="00AF0B6C"/>
    <w:rsid w:val="00AF2763"/>
    <w:rsid w:val="00AF2881"/>
    <w:rsid w:val="00AF384E"/>
    <w:rsid w:val="00AF5259"/>
    <w:rsid w:val="00AF6957"/>
    <w:rsid w:val="00AF7B50"/>
    <w:rsid w:val="00B0185D"/>
    <w:rsid w:val="00B029B7"/>
    <w:rsid w:val="00B0328B"/>
    <w:rsid w:val="00B03E26"/>
    <w:rsid w:val="00B04199"/>
    <w:rsid w:val="00B0583F"/>
    <w:rsid w:val="00B05932"/>
    <w:rsid w:val="00B0669C"/>
    <w:rsid w:val="00B11780"/>
    <w:rsid w:val="00B11E69"/>
    <w:rsid w:val="00B125C6"/>
    <w:rsid w:val="00B125E0"/>
    <w:rsid w:val="00B12E1D"/>
    <w:rsid w:val="00B134AB"/>
    <w:rsid w:val="00B13CDA"/>
    <w:rsid w:val="00B14377"/>
    <w:rsid w:val="00B14C3D"/>
    <w:rsid w:val="00B15365"/>
    <w:rsid w:val="00B15AE4"/>
    <w:rsid w:val="00B20054"/>
    <w:rsid w:val="00B236AA"/>
    <w:rsid w:val="00B23F20"/>
    <w:rsid w:val="00B25C02"/>
    <w:rsid w:val="00B275F1"/>
    <w:rsid w:val="00B308A3"/>
    <w:rsid w:val="00B31F02"/>
    <w:rsid w:val="00B32E6F"/>
    <w:rsid w:val="00B33815"/>
    <w:rsid w:val="00B342C1"/>
    <w:rsid w:val="00B343FF"/>
    <w:rsid w:val="00B35ABB"/>
    <w:rsid w:val="00B35E7F"/>
    <w:rsid w:val="00B36561"/>
    <w:rsid w:val="00B36CA6"/>
    <w:rsid w:val="00B400EA"/>
    <w:rsid w:val="00B403D1"/>
    <w:rsid w:val="00B40A75"/>
    <w:rsid w:val="00B40D41"/>
    <w:rsid w:val="00B41904"/>
    <w:rsid w:val="00B434EE"/>
    <w:rsid w:val="00B46129"/>
    <w:rsid w:val="00B46ADD"/>
    <w:rsid w:val="00B46C85"/>
    <w:rsid w:val="00B46CD8"/>
    <w:rsid w:val="00B535E8"/>
    <w:rsid w:val="00B547C8"/>
    <w:rsid w:val="00B55839"/>
    <w:rsid w:val="00B56BBA"/>
    <w:rsid w:val="00B57631"/>
    <w:rsid w:val="00B60182"/>
    <w:rsid w:val="00B6146A"/>
    <w:rsid w:val="00B630CF"/>
    <w:rsid w:val="00B63F97"/>
    <w:rsid w:val="00B65358"/>
    <w:rsid w:val="00B65ACE"/>
    <w:rsid w:val="00B65C97"/>
    <w:rsid w:val="00B65EC2"/>
    <w:rsid w:val="00B66FE1"/>
    <w:rsid w:val="00B7007B"/>
    <w:rsid w:val="00B70732"/>
    <w:rsid w:val="00B71476"/>
    <w:rsid w:val="00B728F3"/>
    <w:rsid w:val="00B73982"/>
    <w:rsid w:val="00B73ECE"/>
    <w:rsid w:val="00B764F7"/>
    <w:rsid w:val="00B77029"/>
    <w:rsid w:val="00B77183"/>
    <w:rsid w:val="00B77648"/>
    <w:rsid w:val="00B817E0"/>
    <w:rsid w:val="00B81E36"/>
    <w:rsid w:val="00B83416"/>
    <w:rsid w:val="00B83455"/>
    <w:rsid w:val="00B83578"/>
    <w:rsid w:val="00B843CD"/>
    <w:rsid w:val="00B84BD5"/>
    <w:rsid w:val="00B85057"/>
    <w:rsid w:val="00B850B3"/>
    <w:rsid w:val="00B86B05"/>
    <w:rsid w:val="00B86B09"/>
    <w:rsid w:val="00B86B7A"/>
    <w:rsid w:val="00B87698"/>
    <w:rsid w:val="00B876EF"/>
    <w:rsid w:val="00B92014"/>
    <w:rsid w:val="00B93713"/>
    <w:rsid w:val="00B94616"/>
    <w:rsid w:val="00B96979"/>
    <w:rsid w:val="00B96A9D"/>
    <w:rsid w:val="00BA19EC"/>
    <w:rsid w:val="00BA2225"/>
    <w:rsid w:val="00BA39C4"/>
    <w:rsid w:val="00BA3BB4"/>
    <w:rsid w:val="00BA474B"/>
    <w:rsid w:val="00BB0D8F"/>
    <w:rsid w:val="00BB3AEE"/>
    <w:rsid w:val="00BB417F"/>
    <w:rsid w:val="00BB444A"/>
    <w:rsid w:val="00BB6334"/>
    <w:rsid w:val="00BB64EA"/>
    <w:rsid w:val="00BB6C2F"/>
    <w:rsid w:val="00BC028B"/>
    <w:rsid w:val="00BC0862"/>
    <w:rsid w:val="00BC1E7E"/>
    <w:rsid w:val="00BC2990"/>
    <w:rsid w:val="00BC2AA4"/>
    <w:rsid w:val="00BC2AE2"/>
    <w:rsid w:val="00BC2C37"/>
    <w:rsid w:val="00BC375A"/>
    <w:rsid w:val="00BC4B4D"/>
    <w:rsid w:val="00BC55A1"/>
    <w:rsid w:val="00BC5C45"/>
    <w:rsid w:val="00BC7D96"/>
    <w:rsid w:val="00BD006F"/>
    <w:rsid w:val="00BD081E"/>
    <w:rsid w:val="00BD2099"/>
    <w:rsid w:val="00BD25BF"/>
    <w:rsid w:val="00BD32FA"/>
    <w:rsid w:val="00BD79D8"/>
    <w:rsid w:val="00BE0054"/>
    <w:rsid w:val="00BE0F2C"/>
    <w:rsid w:val="00BE0F82"/>
    <w:rsid w:val="00BE1020"/>
    <w:rsid w:val="00BE14AC"/>
    <w:rsid w:val="00BE309E"/>
    <w:rsid w:val="00BE312A"/>
    <w:rsid w:val="00BE4694"/>
    <w:rsid w:val="00BE51FD"/>
    <w:rsid w:val="00BE5CD8"/>
    <w:rsid w:val="00BE5D49"/>
    <w:rsid w:val="00BE73F0"/>
    <w:rsid w:val="00BF00E3"/>
    <w:rsid w:val="00BF0778"/>
    <w:rsid w:val="00BF13A5"/>
    <w:rsid w:val="00BF16D5"/>
    <w:rsid w:val="00BF2689"/>
    <w:rsid w:val="00BF3213"/>
    <w:rsid w:val="00BF3DEE"/>
    <w:rsid w:val="00BF44BF"/>
    <w:rsid w:val="00BF496D"/>
    <w:rsid w:val="00BF54E8"/>
    <w:rsid w:val="00BF6435"/>
    <w:rsid w:val="00BF760E"/>
    <w:rsid w:val="00BF7F71"/>
    <w:rsid w:val="00C00872"/>
    <w:rsid w:val="00C00F07"/>
    <w:rsid w:val="00C01BD4"/>
    <w:rsid w:val="00C02817"/>
    <w:rsid w:val="00C029DF"/>
    <w:rsid w:val="00C0359C"/>
    <w:rsid w:val="00C04198"/>
    <w:rsid w:val="00C0489E"/>
    <w:rsid w:val="00C04E48"/>
    <w:rsid w:val="00C0541B"/>
    <w:rsid w:val="00C055C3"/>
    <w:rsid w:val="00C066DE"/>
    <w:rsid w:val="00C0725D"/>
    <w:rsid w:val="00C0742D"/>
    <w:rsid w:val="00C116D2"/>
    <w:rsid w:val="00C126FA"/>
    <w:rsid w:val="00C12952"/>
    <w:rsid w:val="00C14230"/>
    <w:rsid w:val="00C15A1F"/>
    <w:rsid w:val="00C167AC"/>
    <w:rsid w:val="00C16B96"/>
    <w:rsid w:val="00C17BF6"/>
    <w:rsid w:val="00C20E2F"/>
    <w:rsid w:val="00C2119F"/>
    <w:rsid w:val="00C21346"/>
    <w:rsid w:val="00C22776"/>
    <w:rsid w:val="00C23CC8"/>
    <w:rsid w:val="00C2476B"/>
    <w:rsid w:val="00C250DA"/>
    <w:rsid w:val="00C25E5D"/>
    <w:rsid w:val="00C3000A"/>
    <w:rsid w:val="00C31CCC"/>
    <w:rsid w:val="00C32997"/>
    <w:rsid w:val="00C32FDE"/>
    <w:rsid w:val="00C335EC"/>
    <w:rsid w:val="00C34C50"/>
    <w:rsid w:val="00C35819"/>
    <w:rsid w:val="00C374B1"/>
    <w:rsid w:val="00C37A1C"/>
    <w:rsid w:val="00C45049"/>
    <w:rsid w:val="00C45F57"/>
    <w:rsid w:val="00C46500"/>
    <w:rsid w:val="00C471C7"/>
    <w:rsid w:val="00C47957"/>
    <w:rsid w:val="00C50250"/>
    <w:rsid w:val="00C51A8A"/>
    <w:rsid w:val="00C51EDF"/>
    <w:rsid w:val="00C5250C"/>
    <w:rsid w:val="00C529FC"/>
    <w:rsid w:val="00C55918"/>
    <w:rsid w:val="00C55D0F"/>
    <w:rsid w:val="00C56001"/>
    <w:rsid w:val="00C57D0B"/>
    <w:rsid w:val="00C62CB0"/>
    <w:rsid w:val="00C63D24"/>
    <w:rsid w:val="00C640CD"/>
    <w:rsid w:val="00C65CD9"/>
    <w:rsid w:val="00C65E89"/>
    <w:rsid w:val="00C66EC7"/>
    <w:rsid w:val="00C671F1"/>
    <w:rsid w:val="00C700AE"/>
    <w:rsid w:val="00C70F5A"/>
    <w:rsid w:val="00C712D1"/>
    <w:rsid w:val="00C727A7"/>
    <w:rsid w:val="00C729BA"/>
    <w:rsid w:val="00C72A14"/>
    <w:rsid w:val="00C72DC4"/>
    <w:rsid w:val="00C72E5F"/>
    <w:rsid w:val="00C73520"/>
    <w:rsid w:val="00C73CA6"/>
    <w:rsid w:val="00C8145D"/>
    <w:rsid w:val="00C8592B"/>
    <w:rsid w:val="00C8660A"/>
    <w:rsid w:val="00C91DD7"/>
    <w:rsid w:val="00C92F61"/>
    <w:rsid w:val="00C96F31"/>
    <w:rsid w:val="00C978AA"/>
    <w:rsid w:val="00CA279F"/>
    <w:rsid w:val="00CA49C2"/>
    <w:rsid w:val="00CA569B"/>
    <w:rsid w:val="00CA652B"/>
    <w:rsid w:val="00CA6FFD"/>
    <w:rsid w:val="00CA7199"/>
    <w:rsid w:val="00CB3BE0"/>
    <w:rsid w:val="00CB5FD7"/>
    <w:rsid w:val="00CB68AF"/>
    <w:rsid w:val="00CB74C4"/>
    <w:rsid w:val="00CB7BB9"/>
    <w:rsid w:val="00CB7F74"/>
    <w:rsid w:val="00CC14C1"/>
    <w:rsid w:val="00CC157B"/>
    <w:rsid w:val="00CC25EB"/>
    <w:rsid w:val="00CC2AE0"/>
    <w:rsid w:val="00CC4269"/>
    <w:rsid w:val="00CC4F4E"/>
    <w:rsid w:val="00CC5A42"/>
    <w:rsid w:val="00CC6ED1"/>
    <w:rsid w:val="00CC7CE2"/>
    <w:rsid w:val="00CC7ED1"/>
    <w:rsid w:val="00CD05FD"/>
    <w:rsid w:val="00CD12D7"/>
    <w:rsid w:val="00CD1819"/>
    <w:rsid w:val="00CD1B66"/>
    <w:rsid w:val="00CD1B8D"/>
    <w:rsid w:val="00CD2730"/>
    <w:rsid w:val="00CD2896"/>
    <w:rsid w:val="00CD44A9"/>
    <w:rsid w:val="00CD57D3"/>
    <w:rsid w:val="00CD5CB4"/>
    <w:rsid w:val="00CD6149"/>
    <w:rsid w:val="00CD69B2"/>
    <w:rsid w:val="00CD6FD1"/>
    <w:rsid w:val="00CD7D98"/>
    <w:rsid w:val="00CE3598"/>
    <w:rsid w:val="00CE4865"/>
    <w:rsid w:val="00CE4BF4"/>
    <w:rsid w:val="00CE529F"/>
    <w:rsid w:val="00CE5B3A"/>
    <w:rsid w:val="00CE6A45"/>
    <w:rsid w:val="00CE73E6"/>
    <w:rsid w:val="00CE79BB"/>
    <w:rsid w:val="00CF0A0F"/>
    <w:rsid w:val="00CF23E3"/>
    <w:rsid w:val="00CF2968"/>
    <w:rsid w:val="00CF328E"/>
    <w:rsid w:val="00CF6051"/>
    <w:rsid w:val="00D01398"/>
    <w:rsid w:val="00D019E2"/>
    <w:rsid w:val="00D032D8"/>
    <w:rsid w:val="00D03688"/>
    <w:rsid w:val="00D067CA"/>
    <w:rsid w:val="00D06DA1"/>
    <w:rsid w:val="00D07978"/>
    <w:rsid w:val="00D14E9B"/>
    <w:rsid w:val="00D17DC1"/>
    <w:rsid w:val="00D20263"/>
    <w:rsid w:val="00D21F09"/>
    <w:rsid w:val="00D22BD0"/>
    <w:rsid w:val="00D22EDD"/>
    <w:rsid w:val="00D2454F"/>
    <w:rsid w:val="00D30C94"/>
    <w:rsid w:val="00D3146C"/>
    <w:rsid w:val="00D31AD2"/>
    <w:rsid w:val="00D32503"/>
    <w:rsid w:val="00D32A20"/>
    <w:rsid w:val="00D32F52"/>
    <w:rsid w:val="00D34B0E"/>
    <w:rsid w:val="00D35EF8"/>
    <w:rsid w:val="00D363F6"/>
    <w:rsid w:val="00D36D1E"/>
    <w:rsid w:val="00D37296"/>
    <w:rsid w:val="00D37B8E"/>
    <w:rsid w:val="00D4118C"/>
    <w:rsid w:val="00D43D85"/>
    <w:rsid w:val="00D44D80"/>
    <w:rsid w:val="00D44FF9"/>
    <w:rsid w:val="00D4654C"/>
    <w:rsid w:val="00D46743"/>
    <w:rsid w:val="00D46CDB"/>
    <w:rsid w:val="00D46DF1"/>
    <w:rsid w:val="00D50964"/>
    <w:rsid w:val="00D50FE7"/>
    <w:rsid w:val="00D51C9A"/>
    <w:rsid w:val="00D5414D"/>
    <w:rsid w:val="00D541DC"/>
    <w:rsid w:val="00D55412"/>
    <w:rsid w:val="00D5593F"/>
    <w:rsid w:val="00D56AFD"/>
    <w:rsid w:val="00D571D9"/>
    <w:rsid w:val="00D62201"/>
    <w:rsid w:val="00D6227C"/>
    <w:rsid w:val="00D62645"/>
    <w:rsid w:val="00D631BC"/>
    <w:rsid w:val="00D63C60"/>
    <w:rsid w:val="00D64231"/>
    <w:rsid w:val="00D651DD"/>
    <w:rsid w:val="00D70BC5"/>
    <w:rsid w:val="00D72099"/>
    <w:rsid w:val="00D749BA"/>
    <w:rsid w:val="00D7649C"/>
    <w:rsid w:val="00D77666"/>
    <w:rsid w:val="00D810E8"/>
    <w:rsid w:val="00D82AD9"/>
    <w:rsid w:val="00D83165"/>
    <w:rsid w:val="00D8376F"/>
    <w:rsid w:val="00D86C21"/>
    <w:rsid w:val="00D87350"/>
    <w:rsid w:val="00D87E6F"/>
    <w:rsid w:val="00D9279B"/>
    <w:rsid w:val="00D937F4"/>
    <w:rsid w:val="00D94630"/>
    <w:rsid w:val="00D94E6E"/>
    <w:rsid w:val="00D96227"/>
    <w:rsid w:val="00D96679"/>
    <w:rsid w:val="00D97347"/>
    <w:rsid w:val="00D97AEA"/>
    <w:rsid w:val="00DA1BEE"/>
    <w:rsid w:val="00DA42EF"/>
    <w:rsid w:val="00DA43B9"/>
    <w:rsid w:val="00DA4B0E"/>
    <w:rsid w:val="00DA6702"/>
    <w:rsid w:val="00DA6ACF"/>
    <w:rsid w:val="00DA7DED"/>
    <w:rsid w:val="00DB026F"/>
    <w:rsid w:val="00DB0C79"/>
    <w:rsid w:val="00DB11F4"/>
    <w:rsid w:val="00DB2DC1"/>
    <w:rsid w:val="00DB41B7"/>
    <w:rsid w:val="00DB43E8"/>
    <w:rsid w:val="00DB45ED"/>
    <w:rsid w:val="00DB6685"/>
    <w:rsid w:val="00DB6C15"/>
    <w:rsid w:val="00DB74DE"/>
    <w:rsid w:val="00DB77AA"/>
    <w:rsid w:val="00DC0C54"/>
    <w:rsid w:val="00DC13B7"/>
    <w:rsid w:val="00DC1CA3"/>
    <w:rsid w:val="00DC1FAF"/>
    <w:rsid w:val="00DC25CB"/>
    <w:rsid w:val="00DC2724"/>
    <w:rsid w:val="00DC393D"/>
    <w:rsid w:val="00DC4987"/>
    <w:rsid w:val="00DC4E08"/>
    <w:rsid w:val="00DC511E"/>
    <w:rsid w:val="00DC59C7"/>
    <w:rsid w:val="00DC6790"/>
    <w:rsid w:val="00DC7436"/>
    <w:rsid w:val="00DD091C"/>
    <w:rsid w:val="00DD427D"/>
    <w:rsid w:val="00DD45DA"/>
    <w:rsid w:val="00DD5A53"/>
    <w:rsid w:val="00DD6102"/>
    <w:rsid w:val="00DD72A0"/>
    <w:rsid w:val="00DE1263"/>
    <w:rsid w:val="00DE1A0A"/>
    <w:rsid w:val="00DE2088"/>
    <w:rsid w:val="00DE2698"/>
    <w:rsid w:val="00DE3DFD"/>
    <w:rsid w:val="00DE471B"/>
    <w:rsid w:val="00DE4A6B"/>
    <w:rsid w:val="00DE517F"/>
    <w:rsid w:val="00DE584B"/>
    <w:rsid w:val="00DF1BCB"/>
    <w:rsid w:val="00DF3462"/>
    <w:rsid w:val="00DF4A45"/>
    <w:rsid w:val="00DF4D6C"/>
    <w:rsid w:val="00DF57F6"/>
    <w:rsid w:val="00DF6A98"/>
    <w:rsid w:val="00E03DFC"/>
    <w:rsid w:val="00E054BB"/>
    <w:rsid w:val="00E05876"/>
    <w:rsid w:val="00E05DE6"/>
    <w:rsid w:val="00E06B35"/>
    <w:rsid w:val="00E06CC8"/>
    <w:rsid w:val="00E071CC"/>
    <w:rsid w:val="00E107B3"/>
    <w:rsid w:val="00E10F19"/>
    <w:rsid w:val="00E1181B"/>
    <w:rsid w:val="00E11826"/>
    <w:rsid w:val="00E11AB5"/>
    <w:rsid w:val="00E11C6F"/>
    <w:rsid w:val="00E11E49"/>
    <w:rsid w:val="00E1403F"/>
    <w:rsid w:val="00E14D21"/>
    <w:rsid w:val="00E15791"/>
    <w:rsid w:val="00E17330"/>
    <w:rsid w:val="00E1741D"/>
    <w:rsid w:val="00E1750C"/>
    <w:rsid w:val="00E200B1"/>
    <w:rsid w:val="00E20CA3"/>
    <w:rsid w:val="00E228EA"/>
    <w:rsid w:val="00E23D18"/>
    <w:rsid w:val="00E23F29"/>
    <w:rsid w:val="00E240A5"/>
    <w:rsid w:val="00E247F0"/>
    <w:rsid w:val="00E25817"/>
    <w:rsid w:val="00E266D4"/>
    <w:rsid w:val="00E27F56"/>
    <w:rsid w:val="00E300EC"/>
    <w:rsid w:val="00E36F26"/>
    <w:rsid w:val="00E37B70"/>
    <w:rsid w:val="00E4038B"/>
    <w:rsid w:val="00E449A7"/>
    <w:rsid w:val="00E459F7"/>
    <w:rsid w:val="00E45C76"/>
    <w:rsid w:val="00E465EC"/>
    <w:rsid w:val="00E5153C"/>
    <w:rsid w:val="00E523EB"/>
    <w:rsid w:val="00E530DB"/>
    <w:rsid w:val="00E5378C"/>
    <w:rsid w:val="00E57728"/>
    <w:rsid w:val="00E57A7F"/>
    <w:rsid w:val="00E602CC"/>
    <w:rsid w:val="00E63CFB"/>
    <w:rsid w:val="00E644E0"/>
    <w:rsid w:val="00E65E72"/>
    <w:rsid w:val="00E66159"/>
    <w:rsid w:val="00E677EB"/>
    <w:rsid w:val="00E679D7"/>
    <w:rsid w:val="00E702E6"/>
    <w:rsid w:val="00E70AF7"/>
    <w:rsid w:val="00E70F72"/>
    <w:rsid w:val="00E71F55"/>
    <w:rsid w:val="00E72EFB"/>
    <w:rsid w:val="00E77002"/>
    <w:rsid w:val="00E770A3"/>
    <w:rsid w:val="00E77246"/>
    <w:rsid w:val="00E80091"/>
    <w:rsid w:val="00E80344"/>
    <w:rsid w:val="00E80B46"/>
    <w:rsid w:val="00E818AD"/>
    <w:rsid w:val="00E84974"/>
    <w:rsid w:val="00E85EB4"/>
    <w:rsid w:val="00E86344"/>
    <w:rsid w:val="00E917E6"/>
    <w:rsid w:val="00E91CB8"/>
    <w:rsid w:val="00E91FF3"/>
    <w:rsid w:val="00E93352"/>
    <w:rsid w:val="00E95B75"/>
    <w:rsid w:val="00E97D13"/>
    <w:rsid w:val="00EA1510"/>
    <w:rsid w:val="00EA499B"/>
    <w:rsid w:val="00EA4F20"/>
    <w:rsid w:val="00EA6050"/>
    <w:rsid w:val="00EA64A9"/>
    <w:rsid w:val="00EA6552"/>
    <w:rsid w:val="00EA73DB"/>
    <w:rsid w:val="00EA77E5"/>
    <w:rsid w:val="00EB0C2C"/>
    <w:rsid w:val="00EB0E5E"/>
    <w:rsid w:val="00EB119F"/>
    <w:rsid w:val="00EB23AB"/>
    <w:rsid w:val="00EB6D1C"/>
    <w:rsid w:val="00EB7072"/>
    <w:rsid w:val="00EB7C31"/>
    <w:rsid w:val="00EC03F8"/>
    <w:rsid w:val="00EC2B31"/>
    <w:rsid w:val="00EC5B6B"/>
    <w:rsid w:val="00EC5BB3"/>
    <w:rsid w:val="00EC72F5"/>
    <w:rsid w:val="00ED1122"/>
    <w:rsid w:val="00ED11C2"/>
    <w:rsid w:val="00ED1498"/>
    <w:rsid w:val="00ED1FF5"/>
    <w:rsid w:val="00ED266E"/>
    <w:rsid w:val="00ED2770"/>
    <w:rsid w:val="00ED28B5"/>
    <w:rsid w:val="00ED2F36"/>
    <w:rsid w:val="00ED4032"/>
    <w:rsid w:val="00ED4DC8"/>
    <w:rsid w:val="00ED6BB4"/>
    <w:rsid w:val="00ED78BD"/>
    <w:rsid w:val="00EE01E6"/>
    <w:rsid w:val="00EE3505"/>
    <w:rsid w:val="00EE5CB2"/>
    <w:rsid w:val="00EE6E75"/>
    <w:rsid w:val="00EE70D2"/>
    <w:rsid w:val="00EE749F"/>
    <w:rsid w:val="00EF0CBB"/>
    <w:rsid w:val="00EF1773"/>
    <w:rsid w:val="00EF1E03"/>
    <w:rsid w:val="00EF21EC"/>
    <w:rsid w:val="00EF4897"/>
    <w:rsid w:val="00EF4C51"/>
    <w:rsid w:val="00EF4DDF"/>
    <w:rsid w:val="00EF7D5A"/>
    <w:rsid w:val="00EF7F19"/>
    <w:rsid w:val="00F026B7"/>
    <w:rsid w:val="00F03617"/>
    <w:rsid w:val="00F043E1"/>
    <w:rsid w:val="00F04AA0"/>
    <w:rsid w:val="00F04EF2"/>
    <w:rsid w:val="00F05110"/>
    <w:rsid w:val="00F05FA7"/>
    <w:rsid w:val="00F06192"/>
    <w:rsid w:val="00F063DF"/>
    <w:rsid w:val="00F06EAB"/>
    <w:rsid w:val="00F0733C"/>
    <w:rsid w:val="00F112EA"/>
    <w:rsid w:val="00F114C9"/>
    <w:rsid w:val="00F11D35"/>
    <w:rsid w:val="00F13519"/>
    <w:rsid w:val="00F16C66"/>
    <w:rsid w:val="00F2010B"/>
    <w:rsid w:val="00F201B3"/>
    <w:rsid w:val="00F2061F"/>
    <w:rsid w:val="00F20C89"/>
    <w:rsid w:val="00F23948"/>
    <w:rsid w:val="00F245E0"/>
    <w:rsid w:val="00F25C21"/>
    <w:rsid w:val="00F2626E"/>
    <w:rsid w:val="00F26B4C"/>
    <w:rsid w:val="00F275C1"/>
    <w:rsid w:val="00F275ED"/>
    <w:rsid w:val="00F27BCF"/>
    <w:rsid w:val="00F31C39"/>
    <w:rsid w:val="00F33581"/>
    <w:rsid w:val="00F34DA5"/>
    <w:rsid w:val="00F34EF1"/>
    <w:rsid w:val="00F35EC8"/>
    <w:rsid w:val="00F3777C"/>
    <w:rsid w:val="00F377A4"/>
    <w:rsid w:val="00F409AF"/>
    <w:rsid w:val="00F41368"/>
    <w:rsid w:val="00F41834"/>
    <w:rsid w:val="00F41A16"/>
    <w:rsid w:val="00F425F4"/>
    <w:rsid w:val="00F44420"/>
    <w:rsid w:val="00F45258"/>
    <w:rsid w:val="00F45CFC"/>
    <w:rsid w:val="00F469BA"/>
    <w:rsid w:val="00F50BFB"/>
    <w:rsid w:val="00F52628"/>
    <w:rsid w:val="00F55D7F"/>
    <w:rsid w:val="00F55FA6"/>
    <w:rsid w:val="00F56133"/>
    <w:rsid w:val="00F56462"/>
    <w:rsid w:val="00F5774B"/>
    <w:rsid w:val="00F60480"/>
    <w:rsid w:val="00F62CCB"/>
    <w:rsid w:val="00F6313D"/>
    <w:rsid w:val="00F635CC"/>
    <w:rsid w:val="00F64272"/>
    <w:rsid w:val="00F646CF"/>
    <w:rsid w:val="00F64A08"/>
    <w:rsid w:val="00F64A51"/>
    <w:rsid w:val="00F668DD"/>
    <w:rsid w:val="00F672B8"/>
    <w:rsid w:val="00F678E0"/>
    <w:rsid w:val="00F703CA"/>
    <w:rsid w:val="00F715E6"/>
    <w:rsid w:val="00F71A6D"/>
    <w:rsid w:val="00F7263B"/>
    <w:rsid w:val="00F741D6"/>
    <w:rsid w:val="00F76279"/>
    <w:rsid w:val="00F76B51"/>
    <w:rsid w:val="00F774B6"/>
    <w:rsid w:val="00F779CD"/>
    <w:rsid w:val="00F806D6"/>
    <w:rsid w:val="00F80A6A"/>
    <w:rsid w:val="00F8129F"/>
    <w:rsid w:val="00F82D21"/>
    <w:rsid w:val="00F837B8"/>
    <w:rsid w:val="00F84D96"/>
    <w:rsid w:val="00F85108"/>
    <w:rsid w:val="00F86002"/>
    <w:rsid w:val="00F9007D"/>
    <w:rsid w:val="00F91422"/>
    <w:rsid w:val="00F9159D"/>
    <w:rsid w:val="00F9167A"/>
    <w:rsid w:val="00F91D1F"/>
    <w:rsid w:val="00F91DBB"/>
    <w:rsid w:val="00F92EFE"/>
    <w:rsid w:val="00F9344F"/>
    <w:rsid w:val="00F961B9"/>
    <w:rsid w:val="00F97856"/>
    <w:rsid w:val="00F97B1B"/>
    <w:rsid w:val="00FA291D"/>
    <w:rsid w:val="00FA3EAA"/>
    <w:rsid w:val="00FA4D0E"/>
    <w:rsid w:val="00FA5195"/>
    <w:rsid w:val="00FA7568"/>
    <w:rsid w:val="00FB2B62"/>
    <w:rsid w:val="00FB3398"/>
    <w:rsid w:val="00FB38B9"/>
    <w:rsid w:val="00FB3C4F"/>
    <w:rsid w:val="00FB3EF3"/>
    <w:rsid w:val="00FB4FC4"/>
    <w:rsid w:val="00FB50D6"/>
    <w:rsid w:val="00FB665C"/>
    <w:rsid w:val="00FB668B"/>
    <w:rsid w:val="00FB69A4"/>
    <w:rsid w:val="00FC072E"/>
    <w:rsid w:val="00FC16C3"/>
    <w:rsid w:val="00FC22C3"/>
    <w:rsid w:val="00FC368D"/>
    <w:rsid w:val="00FC4388"/>
    <w:rsid w:val="00FD094D"/>
    <w:rsid w:val="00FD1533"/>
    <w:rsid w:val="00FD258F"/>
    <w:rsid w:val="00FD4348"/>
    <w:rsid w:val="00FD5E24"/>
    <w:rsid w:val="00FD7735"/>
    <w:rsid w:val="00FD7D5C"/>
    <w:rsid w:val="00FE0D99"/>
    <w:rsid w:val="00FE1080"/>
    <w:rsid w:val="00FE133D"/>
    <w:rsid w:val="00FE2E92"/>
    <w:rsid w:val="00FE4D17"/>
    <w:rsid w:val="00FE5427"/>
    <w:rsid w:val="00FE63A1"/>
    <w:rsid w:val="00FE6774"/>
    <w:rsid w:val="00FE6A29"/>
    <w:rsid w:val="00FF23BD"/>
    <w:rsid w:val="00FF2B7F"/>
    <w:rsid w:val="00FF536D"/>
    <w:rsid w:val="00FF623A"/>
    <w:rsid w:val="00FF6240"/>
    <w:rsid w:val="00FF680E"/>
    <w:rsid w:val="01672F3A"/>
    <w:rsid w:val="016A3AB1"/>
    <w:rsid w:val="01A72650"/>
    <w:rsid w:val="01D25C9E"/>
    <w:rsid w:val="01E062E5"/>
    <w:rsid w:val="024A4A9D"/>
    <w:rsid w:val="02BC2178"/>
    <w:rsid w:val="031B6379"/>
    <w:rsid w:val="03295735"/>
    <w:rsid w:val="03744ABF"/>
    <w:rsid w:val="04646FE6"/>
    <w:rsid w:val="046B7907"/>
    <w:rsid w:val="051B26A1"/>
    <w:rsid w:val="06F51977"/>
    <w:rsid w:val="070A54B3"/>
    <w:rsid w:val="07BA4E04"/>
    <w:rsid w:val="07DE68D7"/>
    <w:rsid w:val="0817025E"/>
    <w:rsid w:val="0836756D"/>
    <w:rsid w:val="08C50F02"/>
    <w:rsid w:val="0A5120F0"/>
    <w:rsid w:val="0A641613"/>
    <w:rsid w:val="0AB06243"/>
    <w:rsid w:val="0B0E3183"/>
    <w:rsid w:val="0B567E9E"/>
    <w:rsid w:val="0B621E9D"/>
    <w:rsid w:val="0B731EC1"/>
    <w:rsid w:val="0C53412A"/>
    <w:rsid w:val="0D6D1FAF"/>
    <w:rsid w:val="0DBD1B6F"/>
    <w:rsid w:val="0DE73CE2"/>
    <w:rsid w:val="0E3161A9"/>
    <w:rsid w:val="0E632DB1"/>
    <w:rsid w:val="0E6B10C2"/>
    <w:rsid w:val="0E8543CB"/>
    <w:rsid w:val="0EA9580B"/>
    <w:rsid w:val="0F1E000F"/>
    <w:rsid w:val="0F366B09"/>
    <w:rsid w:val="0F3E3BC5"/>
    <w:rsid w:val="0F4705C7"/>
    <w:rsid w:val="0F7D081D"/>
    <w:rsid w:val="0FA87BB9"/>
    <w:rsid w:val="0FCA3F87"/>
    <w:rsid w:val="1005081D"/>
    <w:rsid w:val="10806839"/>
    <w:rsid w:val="109B4D9E"/>
    <w:rsid w:val="10D341A8"/>
    <w:rsid w:val="111933DC"/>
    <w:rsid w:val="122F5719"/>
    <w:rsid w:val="1239659E"/>
    <w:rsid w:val="13EA3365"/>
    <w:rsid w:val="147D034A"/>
    <w:rsid w:val="14AA0767"/>
    <w:rsid w:val="151326B8"/>
    <w:rsid w:val="16027B04"/>
    <w:rsid w:val="16226AC8"/>
    <w:rsid w:val="16233ADC"/>
    <w:rsid w:val="1688374B"/>
    <w:rsid w:val="169A1187"/>
    <w:rsid w:val="185028BF"/>
    <w:rsid w:val="19BF0914"/>
    <w:rsid w:val="19F6257D"/>
    <w:rsid w:val="1A067102"/>
    <w:rsid w:val="1AB14E0D"/>
    <w:rsid w:val="1AC13E11"/>
    <w:rsid w:val="1B115939"/>
    <w:rsid w:val="1C545ADC"/>
    <w:rsid w:val="1CC5773E"/>
    <w:rsid w:val="1CDC7248"/>
    <w:rsid w:val="1D8F4B85"/>
    <w:rsid w:val="1FCF21FF"/>
    <w:rsid w:val="206C1816"/>
    <w:rsid w:val="20940121"/>
    <w:rsid w:val="20B220DB"/>
    <w:rsid w:val="21626110"/>
    <w:rsid w:val="21F36170"/>
    <w:rsid w:val="22287FB2"/>
    <w:rsid w:val="226E6B73"/>
    <w:rsid w:val="226F4CED"/>
    <w:rsid w:val="228732FC"/>
    <w:rsid w:val="22B22B5B"/>
    <w:rsid w:val="23926E06"/>
    <w:rsid w:val="23B80F9D"/>
    <w:rsid w:val="24083A2A"/>
    <w:rsid w:val="24187101"/>
    <w:rsid w:val="24CA6F18"/>
    <w:rsid w:val="26463531"/>
    <w:rsid w:val="270B67EC"/>
    <w:rsid w:val="274671AE"/>
    <w:rsid w:val="27952665"/>
    <w:rsid w:val="27DE4E88"/>
    <w:rsid w:val="27F86B87"/>
    <w:rsid w:val="27FA094A"/>
    <w:rsid w:val="28382C3A"/>
    <w:rsid w:val="28406F06"/>
    <w:rsid w:val="28650EEC"/>
    <w:rsid w:val="288876F3"/>
    <w:rsid w:val="289A327D"/>
    <w:rsid w:val="290D7785"/>
    <w:rsid w:val="2A447068"/>
    <w:rsid w:val="2A481556"/>
    <w:rsid w:val="2A973629"/>
    <w:rsid w:val="2AE41350"/>
    <w:rsid w:val="2AF65CED"/>
    <w:rsid w:val="2B3C6527"/>
    <w:rsid w:val="2B765B74"/>
    <w:rsid w:val="2B7C5AD9"/>
    <w:rsid w:val="2BC20363"/>
    <w:rsid w:val="2BDD4609"/>
    <w:rsid w:val="2C535EA4"/>
    <w:rsid w:val="2C69247B"/>
    <w:rsid w:val="2D214D6C"/>
    <w:rsid w:val="2D354936"/>
    <w:rsid w:val="2E9A47BE"/>
    <w:rsid w:val="2F03121C"/>
    <w:rsid w:val="2F131005"/>
    <w:rsid w:val="2F8210B3"/>
    <w:rsid w:val="30164402"/>
    <w:rsid w:val="31482E1C"/>
    <w:rsid w:val="31E665DF"/>
    <w:rsid w:val="32D57D47"/>
    <w:rsid w:val="33C648F9"/>
    <w:rsid w:val="33D82E89"/>
    <w:rsid w:val="346343DA"/>
    <w:rsid w:val="3623352B"/>
    <w:rsid w:val="371C4C36"/>
    <w:rsid w:val="3741665C"/>
    <w:rsid w:val="38347CE7"/>
    <w:rsid w:val="38720606"/>
    <w:rsid w:val="38B30E8F"/>
    <w:rsid w:val="393A7E95"/>
    <w:rsid w:val="3A3268D1"/>
    <w:rsid w:val="3A3C03AD"/>
    <w:rsid w:val="3A3F4118"/>
    <w:rsid w:val="3BF5486A"/>
    <w:rsid w:val="3C3168BE"/>
    <w:rsid w:val="3C9A0656"/>
    <w:rsid w:val="3D4C2721"/>
    <w:rsid w:val="3D7E31B8"/>
    <w:rsid w:val="3D99743B"/>
    <w:rsid w:val="3DBB0E04"/>
    <w:rsid w:val="3E0E1926"/>
    <w:rsid w:val="3E1D58B4"/>
    <w:rsid w:val="3E325895"/>
    <w:rsid w:val="3ED6550B"/>
    <w:rsid w:val="3F9553BE"/>
    <w:rsid w:val="40A47C41"/>
    <w:rsid w:val="40D45C03"/>
    <w:rsid w:val="41DC03B5"/>
    <w:rsid w:val="41E74FCF"/>
    <w:rsid w:val="430C77F4"/>
    <w:rsid w:val="43944FB3"/>
    <w:rsid w:val="4423603D"/>
    <w:rsid w:val="443D03D8"/>
    <w:rsid w:val="44F664B0"/>
    <w:rsid w:val="453827AF"/>
    <w:rsid w:val="4567225C"/>
    <w:rsid w:val="4680041D"/>
    <w:rsid w:val="49BF7C88"/>
    <w:rsid w:val="4A516E1D"/>
    <w:rsid w:val="4A625A5E"/>
    <w:rsid w:val="4AF33DEA"/>
    <w:rsid w:val="4B5D1840"/>
    <w:rsid w:val="4C4826F1"/>
    <w:rsid w:val="4D0A3F77"/>
    <w:rsid w:val="4D452C51"/>
    <w:rsid w:val="4D8C4007"/>
    <w:rsid w:val="4D900A1A"/>
    <w:rsid w:val="4E544A35"/>
    <w:rsid w:val="4ECB30AA"/>
    <w:rsid w:val="4FCA543F"/>
    <w:rsid w:val="4FEB2D12"/>
    <w:rsid w:val="50B54156"/>
    <w:rsid w:val="50D319A7"/>
    <w:rsid w:val="514404EC"/>
    <w:rsid w:val="51886CEC"/>
    <w:rsid w:val="525C37D5"/>
    <w:rsid w:val="52ED5697"/>
    <w:rsid w:val="53072E08"/>
    <w:rsid w:val="533C7D4B"/>
    <w:rsid w:val="547B3CF5"/>
    <w:rsid w:val="55226681"/>
    <w:rsid w:val="55626BC4"/>
    <w:rsid w:val="559C43F1"/>
    <w:rsid w:val="55EC14D0"/>
    <w:rsid w:val="578D2E23"/>
    <w:rsid w:val="596514F6"/>
    <w:rsid w:val="59722344"/>
    <w:rsid w:val="59990B68"/>
    <w:rsid w:val="59CB2FA6"/>
    <w:rsid w:val="59F04429"/>
    <w:rsid w:val="5AE22454"/>
    <w:rsid w:val="5B785AE5"/>
    <w:rsid w:val="5B8B0801"/>
    <w:rsid w:val="5BAA4146"/>
    <w:rsid w:val="5BD32012"/>
    <w:rsid w:val="5C2853B4"/>
    <w:rsid w:val="5C606E77"/>
    <w:rsid w:val="5D097999"/>
    <w:rsid w:val="5D6212DF"/>
    <w:rsid w:val="5E4A5C67"/>
    <w:rsid w:val="5F272FD5"/>
    <w:rsid w:val="5F4C51FB"/>
    <w:rsid w:val="5F8C4929"/>
    <w:rsid w:val="5FA16249"/>
    <w:rsid w:val="5FB769D0"/>
    <w:rsid w:val="5FC12758"/>
    <w:rsid w:val="60984F8C"/>
    <w:rsid w:val="615F4CCE"/>
    <w:rsid w:val="61E752E3"/>
    <w:rsid w:val="624431DC"/>
    <w:rsid w:val="62FD54F6"/>
    <w:rsid w:val="665149C6"/>
    <w:rsid w:val="66E92BD3"/>
    <w:rsid w:val="67E14CAE"/>
    <w:rsid w:val="68225871"/>
    <w:rsid w:val="68583D2E"/>
    <w:rsid w:val="68903FD6"/>
    <w:rsid w:val="68DC3034"/>
    <w:rsid w:val="69165538"/>
    <w:rsid w:val="69F634F5"/>
    <w:rsid w:val="6B335982"/>
    <w:rsid w:val="6BA70BFA"/>
    <w:rsid w:val="6BC021C5"/>
    <w:rsid w:val="6C0C6EAC"/>
    <w:rsid w:val="6C3F2A41"/>
    <w:rsid w:val="6D7F232E"/>
    <w:rsid w:val="6D9E158E"/>
    <w:rsid w:val="6DE34614"/>
    <w:rsid w:val="6DEF5514"/>
    <w:rsid w:val="6DF333A7"/>
    <w:rsid w:val="6F833692"/>
    <w:rsid w:val="6FC30EBF"/>
    <w:rsid w:val="6FF17B76"/>
    <w:rsid w:val="7077425D"/>
    <w:rsid w:val="70945105"/>
    <w:rsid w:val="70A22B04"/>
    <w:rsid w:val="71461689"/>
    <w:rsid w:val="717A0043"/>
    <w:rsid w:val="718305A2"/>
    <w:rsid w:val="736815F7"/>
    <w:rsid w:val="7457706A"/>
    <w:rsid w:val="746203D0"/>
    <w:rsid w:val="75341533"/>
    <w:rsid w:val="758615AA"/>
    <w:rsid w:val="75A7351A"/>
    <w:rsid w:val="75A84ED9"/>
    <w:rsid w:val="762C4E50"/>
    <w:rsid w:val="76553AC9"/>
    <w:rsid w:val="76974F3A"/>
    <w:rsid w:val="76C25A1E"/>
    <w:rsid w:val="771504B2"/>
    <w:rsid w:val="777334A8"/>
    <w:rsid w:val="77B1083D"/>
    <w:rsid w:val="78ED1464"/>
    <w:rsid w:val="79116962"/>
    <w:rsid w:val="791270CE"/>
    <w:rsid w:val="796964AC"/>
    <w:rsid w:val="79FB4BA0"/>
    <w:rsid w:val="7A0469BC"/>
    <w:rsid w:val="7A101758"/>
    <w:rsid w:val="7A1D14A4"/>
    <w:rsid w:val="7ABC1D0A"/>
    <w:rsid w:val="7B440CB2"/>
    <w:rsid w:val="7BC50C0D"/>
    <w:rsid w:val="7BEC1C11"/>
    <w:rsid w:val="7C514001"/>
    <w:rsid w:val="7CB55829"/>
    <w:rsid w:val="7CF92813"/>
    <w:rsid w:val="7E3361EE"/>
    <w:rsid w:val="7F7C7EC8"/>
    <w:rsid w:val="7FA1752E"/>
    <w:rsid w:val="7FBC326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ocked="1"/>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99" w:semiHidden="0"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ocked="1"/>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宋体" w:cs="Times New Roman"/>
      <w:color w:val="000000"/>
      <w:kern w:val="0"/>
      <w:sz w:val="21"/>
      <w:szCs w:val="20"/>
      <w:u w:color="000000"/>
      <w:lang w:val="en-US" w:eastAsia="zh-CN" w:bidi="ar-SA"/>
    </w:rPr>
  </w:style>
  <w:style w:type="paragraph" w:styleId="3">
    <w:name w:val="heading 1"/>
    <w:basedOn w:val="1"/>
    <w:next w:val="1"/>
    <w:link w:val="49"/>
    <w:qFormat/>
    <w:uiPriority w:val="99"/>
    <w:pPr>
      <w:keepNext/>
      <w:keepLines/>
      <w:widowControl w:val="0"/>
      <w:spacing w:before="340" w:after="330" w:line="576" w:lineRule="auto"/>
      <w:textAlignment w:val="auto"/>
      <w:outlineLvl w:val="0"/>
    </w:pPr>
    <w:rPr>
      <w:rFonts w:ascii="Calibri" w:hAnsi="Calibri"/>
      <w:b/>
      <w:bCs/>
      <w:color w:val="auto"/>
      <w:kern w:val="44"/>
      <w:sz w:val="44"/>
      <w:szCs w:val="44"/>
    </w:rPr>
  </w:style>
  <w:style w:type="paragraph" w:styleId="4">
    <w:name w:val="heading 2"/>
    <w:basedOn w:val="1"/>
    <w:next w:val="1"/>
    <w:link w:val="34"/>
    <w:qFormat/>
    <w:uiPriority w:val="9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35"/>
    <w:qFormat/>
    <w:uiPriority w:val="99"/>
    <w:pPr>
      <w:keepNext/>
      <w:keepLines/>
      <w:spacing w:before="260" w:after="260" w:line="416" w:lineRule="atLeast"/>
      <w:outlineLvl w:val="2"/>
    </w:pPr>
    <w:rPr>
      <w:b/>
      <w:bCs/>
      <w:sz w:val="32"/>
      <w:szCs w:val="32"/>
    </w:rPr>
  </w:style>
  <w:style w:type="paragraph" w:styleId="6">
    <w:name w:val="heading 4"/>
    <w:basedOn w:val="1"/>
    <w:next w:val="1"/>
    <w:link w:val="36"/>
    <w:qFormat/>
    <w:uiPriority w:val="99"/>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qFormat/>
    <w:uiPriority w:val="99"/>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99"/>
    <w:pPr>
      <w:widowControl w:val="0"/>
      <w:jc w:val="both"/>
    </w:pPr>
    <w:rPr>
      <w:rFonts w:ascii="Times New Roman" w:hAnsi="Times New Roman" w:eastAsia="宋体" w:cs="Times New Roman"/>
      <w:kern w:val="2"/>
      <w:sz w:val="21"/>
      <w:szCs w:val="20"/>
      <w:lang w:val="en-US" w:eastAsia="zh-CN" w:bidi="ar-SA"/>
    </w:rPr>
  </w:style>
  <w:style w:type="paragraph" w:styleId="7">
    <w:name w:val="Normal Indent"/>
    <w:basedOn w:val="1"/>
    <w:qFormat/>
    <w:locked/>
    <w:uiPriority w:val="99"/>
    <w:pPr>
      <w:ind w:firstLine="420"/>
    </w:pPr>
  </w:style>
  <w:style w:type="paragraph" w:styleId="8">
    <w:name w:val="annotation text"/>
    <w:basedOn w:val="1"/>
    <w:link w:val="37"/>
    <w:qFormat/>
    <w:locked/>
    <w:uiPriority w:val="99"/>
    <w:pPr>
      <w:jc w:val="left"/>
    </w:pPr>
  </w:style>
  <w:style w:type="paragraph" w:styleId="9">
    <w:name w:val="Body Text"/>
    <w:basedOn w:val="1"/>
    <w:link w:val="38"/>
    <w:qFormat/>
    <w:locked/>
    <w:uiPriority w:val="99"/>
    <w:pPr>
      <w:spacing w:after="120"/>
    </w:pPr>
  </w:style>
  <w:style w:type="paragraph" w:styleId="10">
    <w:name w:val="Body Text Indent"/>
    <w:basedOn w:val="1"/>
    <w:link w:val="39"/>
    <w:qFormat/>
    <w:uiPriority w:val="99"/>
    <w:pPr>
      <w:widowControl w:val="0"/>
      <w:snapToGrid w:val="0"/>
      <w:spacing w:before="283" w:line="560" w:lineRule="exact"/>
      <w:ind w:firstLine="510"/>
    </w:pPr>
    <w:rPr>
      <w:sz w:val="20"/>
    </w:rPr>
  </w:style>
  <w:style w:type="paragraph" w:styleId="11">
    <w:name w:val="Plain Text"/>
    <w:basedOn w:val="1"/>
    <w:link w:val="73"/>
    <w:qFormat/>
    <w:uiPriority w:val="99"/>
    <w:pPr>
      <w:widowControl w:val="0"/>
      <w:spacing w:line="240" w:lineRule="auto"/>
      <w:textAlignment w:val="auto"/>
    </w:pPr>
    <w:rPr>
      <w:rFonts w:ascii="宋体" w:hAnsi="Courier New"/>
    </w:rPr>
  </w:style>
  <w:style w:type="paragraph" w:styleId="12">
    <w:name w:val="Date"/>
    <w:basedOn w:val="1"/>
    <w:next w:val="1"/>
    <w:link w:val="41"/>
    <w:qFormat/>
    <w:uiPriority w:val="99"/>
    <w:pPr>
      <w:ind w:left="100" w:leftChars="2500"/>
    </w:pPr>
  </w:style>
  <w:style w:type="paragraph" w:styleId="13">
    <w:name w:val="Balloon Text"/>
    <w:basedOn w:val="1"/>
    <w:link w:val="42"/>
    <w:qFormat/>
    <w:uiPriority w:val="99"/>
    <w:pPr>
      <w:spacing w:line="240" w:lineRule="auto"/>
    </w:pPr>
    <w:rPr>
      <w:sz w:val="18"/>
      <w:szCs w:val="18"/>
    </w:rPr>
  </w:style>
  <w:style w:type="paragraph" w:styleId="14">
    <w:name w:val="footer"/>
    <w:basedOn w:val="1"/>
    <w:link w:val="43"/>
    <w:qFormat/>
    <w:uiPriority w:val="99"/>
    <w:pPr>
      <w:tabs>
        <w:tab w:val="center" w:pos="4153"/>
        <w:tab w:val="right" w:pos="8306"/>
      </w:tabs>
      <w:snapToGrid w:val="0"/>
      <w:spacing w:line="240" w:lineRule="atLeast"/>
      <w:jc w:val="left"/>
    </w:pPr>
    <w:rPr>
      <w:sz w:val="18"/>
      <w:szCs w:val="18"/>
    </w:rPr>
  </w:style>
  <w:style w:type="paragraph" w:styleId="15">
    <w:name w:val="header"/>
    <w:basedOn w:val="1"/>
    <w:link w:val="44"/>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qFormat/>
    <w:uiPriority w:val="99"/>
  </w:style>
  <w:style w:type="paragraph" w:styleId="17">
    <w:name w:val="toc 2"/>
    <w:basedOn w:val="1"/>
    <w:next w:val="1"/>
    <w:qFormat/>
    <w:uiPriority w:val="99"/>
    <w:pPr>
      <w:ind w:left="420" w:leftChars="200"/>
    </w:pPr>
  </w:style>
  <w:style w:type="paragraph" w:styleId="18">
    <w:name w:val="Body Text 2"/>
    <w:basedOn w:val="1"/>
    <w:link w:val="45"/>
    <w:qFormat/>
    <w:uiPriority w:val="99"/>
    <w:pPr>
      <w:spacing w:after="120" w:line="480" w:lineRule="auto"/>
    </w:pPr>
    <w:rPr>
      <w:sz w:val="20"/>
    </w:rPr>
  </w:style>
  <w:style w:type="paragraph" w:styleId="19">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20">
    <w:name w:val="annotation subject"/>
    <w:basedOn w:val="8"/>
    <w:next w:val="8"/>
    <w:link w:val="46"/>
    <w:semiHidden/>
    <w:qFormat/>
    <w:locked/>
    <w:uiPriority w:val="99"/>
    <w:rPr>
      <w:b/>
      <w:bCs/>
    </w:rPr>
  </w:style>
  <w:style w:type="paragraph" w:styleId="21">
    <w:name w:val="Body Text First Indent"/>
    <w:basedOn w:val="9"/>
    <w:link w:val="47"/>
    <w:qFormat/>
    <w:locked/>
    <w:uiPriority w:val="99"/>
    <w:pPr>
      <w:ind w:firstLine="420"/>
    </w:pPr>
    <w:rPr>
      <w:rFonts w:ascii="楷体_GB2312" w:eastAsia="楷体_GB2312"/>
      <w:sz w:val="32"/>
    </w:rPr>
  </w:style>
  <w:style w:type="paragraph" w:styleId="22">
    <w:name w:val="Body Text First Indent 2"/>
    <w:basedOn w:val="10"/>
    <w:link w:val="48"/>
    <w:qFormat/>
    <w:locked/>
    <w:uiPriority w:val="99"/>
    <w:pPr>
      <w:ind w:firstLine="420" w:firstLineChars="200"/>
    </w:pPr>
    <w:rPr>
      <w:rFonts w:eastAsia="华文楷体"/>
      <w:szCs w:val="21"/>
    </w:rPr>
  </w:style>
  <w:style w:type="table" w:styleId="24">
    <w:name w:val="Table Grid"/>
    <w:basedOn w:val="2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99"/>
    <w:rPr>
      <w:rFonts w:cs="Times New Roman"/>
      <w:b/>
    </w:rPr>
  </w:style>
  <w:style w:type="character" w:styleId="27">
    <w:name w:val="page number"/>
    <w:basedOn w:val="25"/>
    <w:qFormat/>
    <w:uiPriority w:val="99"/>
    <w:rPr>
      <w:rFonts w:cs="Times New Roman"/>
    </w:rPr>
  </w:style>
  <w:style w:type="character" w:styleId="28">
    <w:name w:val="FollowedHyperlink"/>
    <w:basedOn w:val="25"/>
    <w:semiHidden/>
    <w:qFormat/>
    <w:locked/>
    <w:uiPriority w:val="99"/>
    <w:rPr>
      <w:rFonts w:ascii="微软雅黑" w:hAnsi="微软雅黑" w:eastAsia="微软雅黑" w:cs="微软雅黑"/>
      <w:color w:val="02396F"/>
      <w:u w:val="single"/>
    </w:rPr>
  </w:style>
  <w:style w:type="character" w:styleId="29">
    <w:name w:val="Emphasis"/>
    <w:basedOn w:val="25"/>
    <w:qFormat/>
    <w:uiPriority w:val="99"/>
    <w:rPr>
      <w:rFonts w:cs="Times New Roman"/>
      <w:color w:val="CC0000"/>
    </w:rPr>
  </w:style>
  <w:style w:type="character" w:styleId="30">
    <w:name w:val="Hyperlink"/>
    <w:basedOn w:val="25"/>
    <w:qFormat/>
    <w:uiPriority w:val="99"/>
    <w:rPr>
      <w:rFonts w:cs="Times New Roman"/>
      <w:color w:val="0368A8"/>
      <w:u w:val="none"/>
    </w:rPr>
  </w:style>
  <w:style w:type="character" w:styleId="31">
    <w:name w:val="annotation reference"/>
    <w:basedOn w:val="25"/>
    <w:semiHidden/>
    <w:qFormat/>
    <w:locked/>
    <w:uiPriority w:val="99"/>
    <w:rPr>
      <w:rFonts w:cs="Times New Roman"/>
      <w:sz w:val="21"/>
      <w:szCs w:val="21"/>
    </w:rPr>
  </w:style>
  <w:style w:type="character" w:styleId="32">
    <w:name w:val="HTML Cite"/>
    <w:basedOn w:val="25"/>
    <w:semiHidden/>
    <w:qFormat/>
    <w:locked/>
    <w:uiPriority w:val="99"/>
    <w:rPr>
      <w:rFonts w:cs="Times New Roman"/>
      <w:color w:val="008000"/>
    </w:rPr>
  </w:style>
  <w:style w:type="character" w:customStyle="1" w:styleId="33">
    <w:name w:val="Heading 1 Char"/>
    <w:basedOn w:val="25"/>
    <w:link w:val="3"/>
    <w:qFormat/>
    <w:locked/>
    <w:uiPriority w:val="99"/>
    <w:rPr>
      <w:rFonts w:ascii="Calibri" w:hAnsi="Calibri" w:eastAsia="宋体" w:cs="Times New Roman"/>
      <w:b/>
      <w:kern w:val="44"/>
      <w:sz w:val="44"/>
    </w:rPr>
  </w:style>
  <w:style w:type="character" w:customStyle="1" w:styleId="34">
    <w:name w:val="Heading 2 Char"/>
    <w:basedOn w:val="25"/>
    <w:link w:val="4"/>
    <w:semiHidden/>
    <w:qFormat/>
    <w:locked/>
    <w:uiPriority w:val="99"/>
    <w:rPr>
      <w:rFonts w:ascii="Cambria" w:hAnsi="Cambria" w:eastAsia="宋体" w:cs="Times New Roman"/>
      <w:b/>
      <w:bCs/>
      <w:color w:val="000000"/>
      <w:kern w:val="0"/>
      <w:sz w:val="32"/>
      <w:szCs w:val="32"/>
      <w:u w:color="000000"/>
    </w:rPr>
  </w:style>
  <w:style w:type="character" w:customStyle="1" w:styleId="35">
    <w:name w:val="Heading 3 Char"/>
    <w:basedOn w:val="25"/>
    <w:link w:val="5"/>
    <w:semiHidden/>
    <w:qFormat/>
    <w:locked/>
    <w:uiPriority w:val="99"/>
    <w:rPr>
      <w:rFonts w:cs="Times New Roman"/>
      <w:b/>
      <w:color w:val="000000"/>
      <w:sz w:val="32"/>
      <w:u w:val="none" w:color="000000"/>
    </w:rPr>
  </w:style>
  <w:style w:type="character" w:customStyle="1" w:styleId="36">
    <w:name w:val="Heading 4 Char"/>
    <w:basedOn w:val="25"/>
    <w:link w:val="6"/>
    <w:semiHidden/>
    <w:qFormat/>
    <w:locked/>
    <w:uiPriority w:val="99"/>
    <w:rPr>
      <w:rFonts w:ascii="Cambria" w:hAnsi="Cambria" w:eastAsia="宋体" w:cs="Times New Roman"/>
      <w:b/>
      <w:bCs/>
      <w:color w:val="000000"/>
      <w:kern w:val="0"/>
      <w:sz w:val="28"/>
      <w:szCs w:val="28"/>
      <w:u w:color="000000"/>
    </w:rPr>
  </w:style>
  <w:style w:type="character" w:customStyle="1" w:styleId="37">
    <w:name w:val="Comment Text Char"/>
    <w:basedOn w:val="25"/>
    <w:link w:val="8"/>
    <w:semiHidden/>
    <w:qFormat/>
    <w:locked/>
    <w:uiPriority w:val="99"/>
    <w:rPr>
      <w:rFonts w:cs="Times New Roman"/>
      <w:color w:val="000000"/>
      <w:sz w:val="21"/>
      <w:u w:color="000000"/>
    </w:rPr>
  </w:style>
  <w:style w:type="character" w:customStyle="1" w:styleId="38">
    <w:name w:val="Body Text Char"/>
    <w:basedOn w:val="25"/>
    <w:link w:val="9"/>
    <w:semiHidden/>
    <w:qFormat/>
    <w:locked/>
    <w:uiPriority w:val="99"/>
    <w:rPr>
      <w:rFonts w:cs="Times New Roman"/>
      <w:color w:val="000000"/>
      <w:kern w:val="0"/>
      <w:sz w:val="20"/>
      <w:szCs w:val="20"/>
      <w:u w:color="000000"/>
    </w:rPr>
  </w:style>
  <w:style w:type="character" w:customStyle="1" w:styleId="39">
    <w:name w:val="Body Text Indent Char"/>
    <w:basedOn w:val="25"/>
    <w:link w:val="10"/>
    <w:semiHidden/>
    <w:qFormat/>
    <w:locked/>
    <w:uiPriority w:val="99"/>
    <w:rPr>
      <w:rFonts w:cs="Times New Roman"/>
      <w:color w:val="000000"/>
      <w:kern w:val="0"/>
      <w:sz w:val="20"/>
      <w:u w:val="none" w:color="000000"/>
    </w:rPr>
  </w:style>
  <w:style w:type="character" w:customStyle="1" w:styleId="40">
    <w:name w:val="Plain Text Char"/>
    <w:basedOn w:val="25"/>
    <w:link w:val="11"/>
    <w:qFormat/>
    <w:locked/>
    <w:uiPriority w:val="99"/>
    <w:rPr>
      <w:rFonts w:ascii="宋体" w:hAnsi="Courier New" w:eastAsia="宋体" w:cs="Times New Roman"/>
      <w:kern w:val="2"/>
      <w:sz w:val="21"/>
      <w:lang w:val="en-US" w:eastAsia="zh-CN"/>
    </w:rPr>
  </w:style>
  <w:style w:type="character" w:customStyle="1" w:styleId="41">
    <w:name w:val="Date Char"/>
    <w:basedOn w:val="25"/>
    <w:link w:val="12"/>
    <w:qFormat/>
    <w:locked/>
    <w:uiPriority w:val="99"/>
    <w:rPr>
      <w:rFonts w:cs="Times New Roman"/>
      <w:color w:val="000000"/>
      <w:sz w:val="21"/>
      <w:u w:val="none" w:color="000000"/>
    </w:rPr>
  </w:style>
  <w:style w:type="character" w:customStyle="1" w:styleId="42">
    <w:name w:val="Balloon Text Char"/>
    <w:basedOn w:val="25"/>
    <w:link w:val="13"/>
    <w:qFormat/>
    <w:locked/>
    <w:uiPriority w:val="99"/>
    <w:rPr>
      <w:rFonts w:cs="Times New Roman"/>
      <w:color w:val="000000"/>
      <w:sz w:val="18"/>
      <w:u w:val="none" w:color="000000"/>
    </w:rPr>
  </w:style>
  <w:style w:type="character" w:customStyle="1" w:styleId="43">
    <w:name w:val="Footer Char"/>
    <w:basedOn w:val="25"/>
    <w:link w:val="14"/>
    <w:semiHidden/>
    <w:qFormat/>
    <w:locked/>
    <w:uiPriority w:val="99"/>
    <w:rPr>
      <w:rFonts w:cs="Times New Roman"/>
      <w:color w:val="000000"/>
      <w:kern w:val="0"/>
      <w:sz w:val="18"/>
      <w:u w:val="none" w:color="000000"/>
    </w:rPr>
  </w:style>
  <w:style w:type="character" w:customStyle="1" w:styleId="44">
    <w:name w:val="Header Char"/>
    <w:basedOn w:val="25"/>
    <w:link w:val="15"/>
    <w:semiHidden/>
    <w:qFormat/>
    <w:locked/>
    <w:uiPriority w:val="99"/>
    <w:rPr>
      <w:rFonts w:cs="Times New Roman"/>
      <w:color w:val="000000"/>
      <w:kern w:val="0"/>
      <w:sz w:val="18"/>
      <w:u w:val="none" w:color="000000"/>
    </w:rPr>
  </w:style>
  <w:style w:type="character" w:customStyle="1" w:styleId="45">
    <w:name w:val="Body Text 2 Char"/>
    <w:basedOn w:val="25"/>
    <w:link w:val="18"/>
    <w:semiHidden/>
    <w:qFormat/>
    <w:locked/>
    <w:uiPriority w:val="99"/>
    <w:rPr>
      <w:rFonts w:cs="Times New Roman"/>
      <w:color w:val="000000"/>
      <w:kern w:val="0"/>
      <w:sz w:val="20"/>
      <w:u w:val="none" w:color="000000"/>
    </w:rPr>
  </w:style>
  <w:style w:type="character" w:customStyle="1" w:styleId="46">
    <w:name w:val="Comment Subject Char"/>
    <w:basedOn w:val="37"/>
    <w:link w:val="20"/>
    <w:semiHidden/>
    <w:qFormat/>
    <w:locked/>
    <w:uiPriority w:val="99"/>
    <w:rPr>
      <w:b/>
      <w:bCs/>
    </w:rPr>
  </w:style>
  <w:style w:type="character" w:customStyle="1" w:styleId="47">
    <w:name w:val="Body Text First Indent Char"/>
    <w:basedOn w:val="38"/>
    <w:link w:val="21"/>
    <w:semiHidden/>
    <w:qFormat/>
    <w:locked/>
    <w:uiPriority w:val="99"/>
  </w:style>
  <w:style w:type="character" w:customStyle="1" w:styleId="48">
    <w:name w:val="Body Text First Indent 2 Char"/>
    <w:basedOn w:val="39"/>
    <w:link w:val="22"/>
    <w:semiHidden/>
    <w:qFormat/>
    <w:locked/>
    <w:uiPriority w:val="99"/>
    <w:rPr>
      <w:szCs w:val="20"/>
    </w:rPr>
  </w:style>
  <w:style w:type="character" w:customStyle="1" w:styleId="49">
    <w:name w:val="标题 1 Char"/>
    <w:basedOn w:val="25"/>
    <w:link w:val="3"/>
    <w:qFormat/>
    <w:locked/>
    <w:uiPriority w:val="99"/>
    <w:rPr>
      <w:rFonts w:cs="Times New Roman"/>
      <w:b/>
      <w:color w:val="000000"/>
      <w:kern w:val="44"/>
      <w:sz w:val="44"/>
      <w:u w:val="none" w:color="000000"/>
    </w:rPr>
  </w:style>
  <w:style w:type="paragraph" w:customStyle="1" w:styleId="50">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51">
    <w:name w:val="章标题"/>
    <w:basedOn w:val="1"/>
    <w:next w:val="52"/>
    <w:qFormat/>
    <w:uiPriority w:val="99"/>
    <w:pPr>
      <w:spacing w:before="158" w:after="153" w:line="323" w:lineRule="atLeast"/>
      <w:jc w:val="center"/>
    </w:pPr>
    <w:rPr>
      <w:rFonts w:ascii="Arial" w:eastAsia="黑体"/>
      <w:sz w:val="31"/>
    </w:rPr>
  </w:style>
  <w:style w:type="paragraph" w:customStyle="1" w:styleId="52">
    <w:name w:val="节标题"/>
    <w:basedOn w:val="1"/>
    <w:next w:val="53"/>
    <w:qFormat/>
    <w:uiPriority w:val="99"/>
    <w:pPr>
      <w:spacing w:line="289" w:lineRule="atLeast"/>
      <w:jc w:val="center"/>
    </w:pPr>
    <w:rPr>
      <w:sz w:val="28"/>
    </w:rPr>
  </w:style>
  <w:style w:type="paragraph" w:customStyle="1" w:styleId="53">
    <w:name w:val="小节标题"/>
    <w:basedOn w:val="1"/>
    <w:next w:val="1"/>
    <w:qFormat/>
    <w:uiPriority w:val="99"/>
    <w:pPr>
      <w:spacing w:before="175" w:after="102" w:line="351" w:lineRule="atLeast"/>
    </w:pPr>
    <w:rPr>
      <w:rFonts w:eastAsia="黑体"/>
    </w:rPr>
  </w:style>
  <w:style w:type="paragraph" w:customStyle="1" w:styleId="54">
    <w:name w:val="目录2"/>
    <w:basedOn w:val="1"/>
    <w:next w:val="1"/>
    <w:qFormat/>
    <w:uiPriority w:val="99"/>
    <w:pPr>
      <w:tabs>
        <w:tab w:val="left" w:leader="dot" w:pos="8503"/>
      </w:tabs>
      <w:spacing w:line="317" w:lineRule="atLeast"/>
      <w:ind w:firstLine="209"/>
    </w:pPr>
  </w:style>
  <w:style w:type="paragraph" w:customStyle="1" w:styleId="55">
    <w:name w:val="目录4"/>
    <w:basedOn w:val="1"/>
    <w:next w:val="1"/>
    <w:qFormat/>
    <w:uiPriority w:val="99"/>
    <w:pPr>
      <w:tabs>
        <w:tab w:val="left" w:leader="dot" w:pos="8503"/>
      </w:tabs>
      <w:spacing w:line="317" w:lineRule="atLeast"/>
      <w:ind w:firstLine="629"/>
    </w:pPr>
  </w:style>
  <w:style w:type="paragraph" w:customStyle="1" w:styleId="56">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57">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58">
    <w:name w:val="目录3"/>
    <w:basedOn w:val="1"/>
    <w:next w:val="1"/>
    <w:qFormat/>
    <w:uiPriority w:val="99"/>
    <w:pPr>
      <w:tabs>
        <w:tab w:val="left" w:leader="dot" w:pos="8503"/>
      </w:tabs>
      <w:spacing w:line="317" w:lineRule="atLeast"/>
      <w:ind w:firstLine="419"/>
    </w:pPr>
  </w:style>
  <w:style w:type="paragraph" w:customStyle="1" w:styleId="59">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60">
    <w:name w:val="文章总标题"/>
    <w:basedOn w:val="1"/>
    <w:next w:val="61"/>
    <w:qFormat/>
    <w:uiPriority w:val="99"/>
    <w:pPr>
      <w:spacing w:before="566" w:after="544" w:line="566" w:lineRule="atLeast"/>
      <w:jc w:val="center"/>
    </w:pPr>
    <w:rPr>
      <w:rFonts w:ascii="Arial" w:eastAsia="黑体"/>
      <w:sz w:val="54"/>
    </w:rPr>
  </w:style>
  <w:style w:type="paragraph" w:customStyle="1" w:styleId="61">
    <w:name w:val="文章附标题"/>
    <w:basedOn w:val="1"/>
    <w:next w:val="51"/>
    <w:qFormat/>
    <w:uiPriority w:val="99"/>
    <w:pPr>
      <w:spacing w:before="187" w:after="175" w:line="374" w:lineRule="atLeast"/>
      <w:jc w:val="center"/>
    </w:pPr>
    <w:rPr>
      <w:sz w:val="36"/>
    </w:rPr>
  </w:style>
  <w:style w:type="paragraph" w:customStyle="1" w:styleId="62">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63">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64">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65">
    <w:name w:val="WPS Plain"/>
    <w:qFormat/>
    <w:uiPriority w:val="99"/>
    <w:rPr>
      <w:rFonts w:ascii="Times New Roman" w:hAnsi="Times New Roman" w:eastAsia="宋体" w:cs="Times New Roman"/>
      <w:kern w:val="0"/>
      <w:sz w:val="20"/>
      <w:szCs w:val="20"/>
      <w:lang w:val="en-US" w:eastAsia="zh-CN" w:bidi="ar-SA"/>
    </w:rPr>
  </w:style>
  <w:style w:type="paragraph" w:customStyle="1" w:styleId="66">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67">
    <w:name w:val="Default"/>
    <w:qFormat/>
    <w:uiPriority w:val="99"/>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paragraph" w:customStyle="1" w:styleId="68">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9">
    <w:name w:val="List Paragraph1"/>
    <w:basedOn w:val="1"/>
    <w:qFormat/>
    <w:uiPriority w:val="99"/>
    <w:pPr>
      <w:ind w:firstLine="420" w:firstLineChars="200"/>
    </w:pPr>
  </w:style>
  <w:style w:type="character" w:customStyle="1" w:styleId="70">
    <w:name w:val="链接"/>
    <w:qFormat/>
    <w:uiPriority w:val="99"/>
    <w:rPr>
      <w:rFonts w:ascii="Times New Roman" w:eastAsia="宋体"/>
      <w:color w:val="0000FF"/>
      <w:sz w:val="21"/>
      <w:u w:val="single" w:color="0000FF"/>
      <w:lang w:val="en-US" w:eastAsia="zh-CN"/>
    </w:rPr>
  </w:style>
  <w:style w:type="character" w:customStyle="1" w:styleId="71">
    <w:name w:val="超级链接"/>
    <w:qFormat/>
    <w:uiPriority w:val="99"/>
    <w:rPr>
      <w:rFonts w:ascii="Times New Roman" w:eastAsia="宋体"/>
      <w:color w:val="0000FF"/>
      <w:sz w:val="21"/>
      <w:u w:val="single" w:color="0000FF"/>
      <w:lang w:val="en-US" w:eastAsia="zh-CN"/>
    </w:rPr>
  </w:style>
  <w:style w:type="character" w:customStyle="1" w:styleId="72">
    <w:name w:val="param_td12"/>
    <w:qFormat/>
    <w:uiPriority w:val="99"/>
  </w:style>
  <w:style w:type="character" w:customStyle="1" w:styleId="73">
    <w:name w:val="Plain Text Char1"/>
    <w:link w:val="11"/>
    <w:semiHidden/>
    <w:qFormat/>
    <w:locked/>
    <w:uiPriority w:val="99"/>
    <w:rPr>
      <w:rFonts w:ascii="宋体" w:hAnsi="Courier New"/>
      <w:color w:val="000000"/>
      <w:kern w:val="0"/>
      <w:sz w:val="21"/>
      <w:u w:val="none" w:color="000000"/>
    </w:rPr>
  </w:style>
  <w:style w:type="character" w:customStyle="1" w:styleId="74">
    <w:name w:val="纯文本 Char Char"/>
    <w:qFormat/>
    <w:uiPriority w:val="99"/>
    <w:rPr>
      <w:rFonts w:ascii="宋体" w:hAnsi="Courier New" w:eastAsia="宋体"/>
      <w:kern w:val="2"/>
      <w:sz w:val="21"/>
      <w:lang w:val="en-US" w:eastAsia="zh-CN"/>
    </w:rPr>
  </w:style>
  <w:style w:type="character" w:customStyle="1" w:styleId="75">
    <w:name w:val="Char Char4"/>
    <w:qFormat/>
    <w:uiPriority w:val="99"/>
    <w:rPr>
      <w:rFonts w:ascii="宋体" w:eastAsia="宋体"/>
      <w:kern w:val="2"/>
      <w:sz w:val="28"/>
    </w:rPr>
  </w:style>
  <w:style w:type="character" w:customStyle="1" w:styleId="76">
    <w:name w:val="纯文本 Char1"/>
    <w:qFormat/>
    <w:locked/>
    <w:uiPriority w:val="99"/>
    <w:rPr>
      <w:rFonts w:ascii="宋体" w:hAnsi="Courier New"/>
      <w:kern w:val="2"/>
      <w:sz w:val="21"/>
      <w:u w:color="000000"/>
    </w:rPr>
  </w:style>
  <w:style w:type="character" w:customStyle="1" w:styleId="77">
    <w:name w:val="15"/>
    <w:basedOn w:val="25"/>
    <w:qFormat/>
    <w:uiPriority w:val="99"/>
    <w:rPr>
      <w:rFonts w:cs="Times New Roman"/>
    </w:rPr>
  </w:style>
  <w:style w:type="paragraph" w:styleId="78">
    <w:name w:val="List Paragraph"/>
    <w:basedOn w:val="1"/>
    <w:qFormat/>
    <w:uiPriority w:val="99"/>
    <w:pPr>
      <w:widowControl w:val="0"/>
      <w:spacing w:line="240" w:lineRule="auto"/>
      <w:ind w:firstLine="420" w:firstLineChars="200"/>
      <w:textAlignment w:val="auto"/>
    </w:pPr>
    <w:rPr>
      <w:color w:val="auto"/>
      <w:kern w:val="2"/>
      <w:szCs w:val="24"/>
    </w:rPr>
  </w:style>
  <w:style w:type="character" w:customStyle="1" w:styleId="79">
    <w:name w:val="gjfg"/>
    <w:basedOn w:val="25"/>
    <w:qFormat/>
    <w:uiPriority w:val="99"/>
    <w:rPr>
      <w:rFonts w:cs="Times New Roman"/>
    </w:rPr>
  </w:style>
  <w:style w:type="character" w:customStyle="1" w:styleId="80">
    <w:name w:val="redfilenumber"/>
    <w:basedOn w:val="25"/>
    <w:qFormat/>
    <w:uiPriority w:val="99"/>
    <w:rPr>
      <w:rFonts w:cs="Times New Roman"/>
      <w:color w:val="BA2636"/>
      <w:sz w:val="18"/>
      <w:szCs w:val="18"/>
    </w:rPr>
  </w:style>
  <w:style w:type="character" w:customStyle="1" w:styleId="81">
    <w:name w:val="displayarti"/>
    <w:basedOn w:val="25"/>
    <w:qFormat/>
    <w:uiPriority w:val="99"/>
    <w:rPr>
      <w:rFonts w:cs="Times New Roman"/>
      <w:color w:val="FFFFFF"/>
      <w:shd w:val="clear" w:color="auto" w:fill="A00000"/>
    </w:rPr>
  </w:style>
  <w:style w:type="character" w:customStyle="1" w:styleId="82">
    <w:name w:val="redfilefwwh"/>
    <w:basedOn w:val="25"/>
    <w:qFormat/>
    <w:uiPriority w:val="99"/>
    <w:rPr>
      <w:rFonts w:cs="Times New Roman"/>
      <w:color w:val="BA2636"/>
      <w:sz w:val="18"/>
      <w:szCs w:val="18"/>
    </w:rPr>
  </w:style>
  <w:style w:type="character" w:customStyle="1" w:styleId="83">
    <w:name w:val="cfdate"/>
    <w:basedOn w:val="25"/>
    <w:qFormat/>
    <w:uiPriority w:val="99"/>
    <w:rPr>
      <w:rFonts w:cs="Times New Roman"/>
      <w:color w:val="333333"/>
      <w:sz w:val="18"/>
      <w:szCs w:val="18"/>
    </w:rPr>
  </w:style>
  <w:style w:type="character" w:customStyle="1" w:styleId="84">
    <w:name w:val="qxdate"/>
    <w:basedOn w:val="25"/>
    <w:qFormat/>
    <w:uiPriority w:val="99"/>
    <w:rPr>
      <w:rFonts w:cs="Times New Roman"/>
      <w:color w:val="333333"/>
      <w:sz w:val="18"/>
      <w:szCs w:val="18"/>
    </w:rPr>
  </w:style>
  <w:style w:type="paragraph" w:customStyle="1" w:styleId="85">
    <w:name w:val="_Style 16"/>
    <w:basedOn w:val="1"/>
    <w:next w:val="78"/>
    <w:qFormat/>
    <w:uiPriority w:val="99"/>
    <w:pPr>
      <w:ind w:firstLine="420" w:firstLineChars="200"/>
    </w:pPr>
  </w:style>
  <w:style w:type="character" w:customStyle="1" w:styleId="86">
    <w:name w:val="批注文字 Char"/>
    <w:qFormat/>
    <w:uiPriority w:val="99"/>
    <w:rPr>
      <w:rFonts w:ascii="Times New Roman" w:hAnsi="Times New Roman"/>
      <w:kern w:val="2"/>
      <w:sz w:val="24"/>
    </w:rPr>
  </w:style>
  <w:style w:type="table" w:customStyle="1" w:styleId="87">
    <w:name w:val="网格型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8">
    <w:name w:val="c-icon14"/>
    <w:basedOn w:val="25"/>
    <w:qFormat/>
    <w:uiPriority w:val="99"/>
    <w:rPr>
      <w:rFonts w:cs="Times New Roman"/>
    </w:rPr>
  </w:style>
  <w:style w:type="character" w:customStyle="1" w:styleId="89">
    <w:name w:val="c-icon"/>
    <w:basedOn w:val="25"/>
    <w:qFormat/>
    <w:uiPriority w:val="99"/>
    <w:rPr>
      <w:rFonts w:cs="Times New Roman"/>
    </w:rPr>
  </w:style>
  <w:style w:type="paragraph" w:customStyle="1" w:styleId="90">
    <w:name w:val="p0"/>
    <w:basedOn w:val="1"/>
    <w:qFormat/>
    <w:uiPriority w:val="99"/>
    <w:pPr>
      <w:spacing w:before="100" w:beforeAutospacing="1" w:after="100" w:afterAutospacing="1"/>
      <w:jc w:val="left"/>
    </w:pPr>
    <w:rPr>
      <w:rFonts w:ascii="宋体" w:hAnsi="宋体" w:cs="宋体"/>
      <w:sz w:val="24"/>
      <w:szCs w:val="24"/>
    </w:rPr>
  </w:style>
  <w:style w:type="paragraph" w:customStyle="1" w:styleId="91">
    <w:name w:val="列出段落1"/>
    <w:basedOn w:val="1"/>
    <w:qFormat/>
    <w:uiPriority w:val="99"/>
    <w:pPr>
      <w:ind w:firstLine="420" w:firstLineChars="200"/>
    </w:pPr>
  </w:style>
  <w:style w:type="paragraph" w:customStyle="1" w:styleId="92">
    <w:name w:val="列出段落2"/>
    <w:basedOn w:val="1"/>
    <w:qFormat/>
    <w:uiPriority w:val="99"/>
    <w:pPr>
      <w:widowControl w:val="0"/>
      <w:ind w:firstLine="420" w:firstLineChars="200"/>
    </w:pPr>
    <w:rPr>
      <w:rFonts w:ascii="Calibri" w:hAnsi="Calibri"/>
      <w:kern w:val="2"/>
      <w:szCs w:val="22"/>
    </w:rPr>
  </w:style>
  <w:style w:type="paragraph" w:customStyle="1" w:styleId="93">
    <w:name w:val="_Style 14"/>
    <w:basedOn w:val="1"/>
    <w:next w:val="78"/>
    <w:qFormat/>
    <w:uiPriority w:val="99"/>
    <w:pPr>
      <w:ind w:firstLine="420" w:firstLineChars="200"/>
    </w:pPr>
    <w:rPr>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79</Pages>
  <Words>6104</Word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2015-09-13T11:01:00Z</dcterms:created>
  <dc:creator>ZM</dc:creator>
  <cp:lastModifiedBy>Admin</cp:lastModifiedBy>
  <cp:lastPrinted>2020-11-05T03:33:00Z</cp:lastPrinted>
  <dcterms:modified xsi:type="dcterms:W3CDTF">2020-12-04T06:59:21Z</dcterms:modified>
  <dc:title>内黄县第一高级中学所需多媒体教室设备项目</dc:title>
  <cp:revision>523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