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ascii="宋体" w:hAnsi="宋体" w:eastAsia="宋体" w:cs="宋体"/>
          <w:kern w:val="0"/>
          <w:sz w:val="21"/>
          <w:szCs w:val="21"/>
          <w:lang w:val="zh-CN"/>
        </w:rPr>
        <w:t>原采购信息内容：</w:t>
      </w:r>
    </w:p>
    <w:tbl>
      <w:tblPr>
        <w:tblStyle w:val="3"/>
        <w:tblW w:w="8997" w:type="dxa"/>
        <w:tblInd w:w="95" w:type="dxa"/>
        <w:tblLayout w:type="autofit"/>
        <w:tblCellMar>
          <w:top w:w="0" w:type="dxa"/>
          <w:left w:w="20" w:type="dxa"/>
          <w:bottom w:w="0" w:type="dxa"/>
          <w:right w:w="20" w:type="dxa"/>
        </w:tblCellMar>
      </w:tblPr>
      <w:tblGrid>
        <w:gridCol w:w="520"/>
        <w:gridCol w:w="1248"/>
        <w:gridCol w:w="6379"/>
        <w:gridCol w:w="425"/>
        <w:gridCol w:w="425"/>
      </w:tblGrid>
      <w:tr>
        <w:trPr>
          <w:trHeight w:val="450" w:hRule="atLeast"/>
        </w:trPr>
        <w:tc>
          <w:tcPr>
            <w:tcW w:w="8997" w:type="dxa"/>
            <w:gridSpan w:val="5"/>
            <w:tcBorders>
              <w:top w:val="single" w:color="auto" w:sz="4" w:space="0"/>
              <w:left w:val="single" w:color="auto" w:sz="4" w:space="0"/>
              <w:bottom w:val="single" w:color="auto" w:sz="4" w:space="0"/>
              <w:right w:val="single" w:color="auto" w:sz="4" w:space="0"/>
            </w:tcBorders>
            <w:noWrap w:val="0"/>
            <w:vAlign w:val="center"/>
          </w:tcPr>
          <w:p>
            <w:pPr>
              <w:widowControl/>
              <w:spacing w:line="380" w:lineRule="exact"/>
              <w:jc w:val="center"/>
              <w:rPr>
                <w:rFonts w:hint="eastAsia" w:ascii="宋体" w:hAnsi="宋体" w:cs="宋体"/>
                <w:b/>
                <w:bCs/>
                <w:kern w:val="0"/>
                <w:sz w:val="21"/>
                <w:szCs w:val="21"/>
              </w:rPr>
            </w:pPr>
            <w:r>
              <w:rPr>
                <w:rFonts w:hint="eastAsia" w:ascii="宋体" w:hAnsi="宋体" w:cs="宋体"/>
                <w:b/>
                <w:bCs/>
                <w:kern w:val="0"/>
                <w:sz w:val="21"/>
                <w:szCs w:val="21"/>
              </w:rPr>
              <w:t>滑县职业中等专业学校培训需购置设备清单</w:t>
            </w:r>
          </w:p>
        </w:tc>
      </w:tr>
      <w:tr>
        <w:tblPrEx>
          <w:tblCellMar>
            <w:top w:w="0" w:type="dxa"/>
            <w:left w:w="20" w:type="dxa"/>
            <w:bottom w:w="0" w:type="dxa"/>
            <w:right w:w="20" w:type="dxa"/>
          </w:tblCellMar>
        </w:tblPrEx>
        <w:trPr>
          <w:trHeight w:val="314" w:hRule="atLeast"/>
        </w:trPr>
        <w:tc>
          <w:tcPr>
            <w:tcW w:w="520"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s="宋体"/>
                <w:bCs/>
                <w:w w:val="80"/>
                <w:kern w:val="0"/>
                <w:sz w:val="21"/>
                <w:szCs w:val="21"/>
              </w:rPr>
            </w:pPr>
            <w:r>
              <w:rPr>
                <w:rFonts w:hint="eastAsia" w:ascii="宋体" w:hAnsi="宋体" w:cs="宋体"/>
                <w:bCs/>
                <w:w w:val="80"/>
                <w:kern w:val="0"/>
                <w:sz w:val="21"/>
                <w:szCs w:val="21"/>
              </w:rPr>
              <w:t>序号</w:t>
            </w:r>
          </w:p>
        </w:tc>
        <w:tc>
          <w:tcPr>
            <w:tcW w:w="1248" w:type="dxa"/>
            <w:tcBorders>
              <w:top w:val="nil"/>
              <w:left w:val="nil"/>
              <w:bottom w:val="single" w:color="auto" w:sz="4" w:space="0"/>
              <w:right w:val="single" w:color="auto" w:sz="4" w:space="0"/>
            </w:tcBorders>
            <w:noWrap w:val="0"/>
            <w:vAlign w:val="center"/>
          </w:tcPr>
          <w:p>
            <w:pPr>
              <w:widowControl/>
              <w:spacing w:line="360" w:lineRule="exact"/>
              <w:jc w:val="center"/>
              <w:rPr>
                <w:rFonts w:ascii="宋体" w:hAnsi="宋体" w:cs="宋体"/>
                <w:bCs/>
                <w:w w:val="80"/>
                <w:kern w:val="0"/>
                <w:sz w:val="21"/>
                <w:szCs w:val="21"/>
              </w:rPr>
            </w:pPr>
            <w:r>
              <w:rPr>
                <w:rFonts w:hint="eastAsia" w:ascii="宋体" w:hAnsi="宋体" w:cs="宋体"/>
                <w:bCs/>
                <w:w w:val="80"/>
                <w:kern w:val="0"/>
                <w:sz w:val="21"/>
                <w:szCs w:val="21"/>
              </w:rPr>
              <w:t>物品</w:t>
            </w:r>
          </w:p>
        </w:tc>
        <w:tc>
          <w:tcPr>
            <w:tcW w:w="6379" w:type="dxa"/>
            <w:tcBorders>
              <w:top w:val="nil"/>
              <w:left w:val="nil"/>
              <w:bottom w:val="single" w:color="auto" w:sz="4" w:space="0"/>
              <w:right w:val="single" w:color="auto" w:sz="4" w:space="0"/>
            </w:tcBorders>
            <w:noWrap w:val="0"/>
            <w:vAlign w:val="center"/>
          </w:tcPr>
          <w:p>
            <w:pPr>
              <w:widowControl/>
              <w:spacing w:line="360" w:lineRule="exact"/>
              <w:jc w:val="center"/>
              <w:rPr>
                <w:rFonts w:ascii="宋体" w:hAnsi="宋体" w:cs="宋体"/>
                <w:bCs/>
                <w:w w:val="80"/>
                <w:kern w:val="0"/>
                <w:sz w:val="21"/>
                <w:szCs w:val="21"/>
              </w:rPr>
            </w:pPr>
            <w:r>
              <w:rPr>
                <w:rFonts w:hint="eastAsia" w:ascii="宋体" w:hAnsi="宋体" w:cs="宋体"/>
                <w:bCs/>
                <w:w w:val="80"/>
                <w:kern w:val="0"/>
                <w:sz w:val="21"/>
                <w:szCs w:val="21"/>
              </w:rPr>
              <w:t>参数</w:t>
            </w:r>
          </w:p>
        </w:tc>
        <w:tc>
          <w:tcPr>
            <w:tcW w:w="425" w:type="dxa"/>
            <w:tcBorders>
              <w:top w:val="nil"/>
              <w:left w:val="nil"/>
              <w:bottom w:val="single" w:color="auto" w:sz="4" w:space="0"/>
              <w:right w:val="single" w:color="auto" w:sz="4" w:space="0"/>
            </w:tcBorders>
            <w:noWrap w:val="0"/>
            <w:vAlign w:val="center"/>
          </w:tcPr>
          <w:p>
            <w:pPr>
              <w:widowControl/>
              <w:spacing w:line="360" w:lineRule="exact"/>
              <w:jc w:val="center"/>
              <w:rPr>
                <w:rFonts w:ascii="宋体" w:hAnsi="宋体" w:cs="宋体"/>
                <w:bCs/>
                <w:w w:val="80"/>
                <w:kern w:val="0"/>
                <w:sz w:val="21"/>
                <w:szCs w:val="21"/>
              </w:rPr>
            </w:pPr>
            <w:r>
              <w:rPr>
                <w:rFonts w:hint="eastAsia" w:ascii="宋体" w:hAnsi="宋体" w:cs="宋体"/>
                <w:bCs/>
                <w:w w:val="80"/>
                <w:kern w:val="0"/>
                <w:sz w:val="21"/>
                <w:szCs w:val="21"/>
              </w:rPr>
              <w:t>单位</w:t>
            </w:r>
          </w:p>
        </w:tc>
        <w:tc>
          <w:tcPr>
            <w:tcW w:w="425" w:type="dxa"/>
            <w:tcBorders>
              <w:top w:val="nil"/>
              <w:left w:val="nil"/>
              <w:bottom w:val="single" w:color="auto" w:sz="4" w:space="0"/>
              <w:right w:val="single" w:color="auto" w:sz="4" w:space="0"/>
            </w:tcBorders>
            <w:noWrap w:val="0"/>
            <w:vAlign w:val="center"/>
          </w:tcPr>
          <w:p>
            <w:pPr>
              <w:widowControl/>
              <w:spacing w:line="360" w:lineRule="exact"/>
              <w:jc w:val="center"/>
              <w:rPr>
                <w:rFonts w:ascii="宋体" w:hAnsi="宋体" w:cs="宋体"/>
                <w:bCs/>
                <w:w w:val="80"/>
                <w:kern w:val="0"/>
                <w:sz w:val="21"/>
                <w:szCs w:val="21"/>
              </w:rPr>
            </w:pPr>
            <w:r>
              <w:rPr>
                <w:rFonts w:hint="eastAsia" w:ascii="宋体" w:hAnsi="宋体" w:cs="宋体"/>
                <w:bCs/>
                <w:w w:val="80"/>
                <w:kern w:val="0"/>
                <w:sz w:val="21"/>
                <w:szCs w:val="21"/>
              </w:rPr>
              <w:t>数量</w:t>
            </w:r>
          </w:p>
        </w:tc>
      </w:tr>
      <w:tr>
        <w:tblPrEx>
          <w:tblCellMar>
            <w:top w:w="0" w:type="dxa"/>
            <w:left w:w="20" w:type="dxa"/>
            <w:bottom w:w="0" w:type="dxa"/>
            <w:right w:w="20" w:type="dxa"/>
          </w:tblCellMar>
        </w:tblPrEx>
        <w:trPr>
          <w:trHeight w:val="6750" w:hRule="atLeast"/>
        </w:trPr>
        <w:tc>
          <w:tcPr>
            <w:tcW w:w="52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1</w:t>
            </w:r>
          </w:p>
        </w:tc>
        <w:tc>
          <w:tcPr>
            <w:tcW w:w="124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培训用台式电脑</w:t>
            </w:r>
          </w:p>
        </w:tc>
        <w:tc>
          <w:tcPr>
            <w:tcW w:w="6379"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1"/>
                <w:szCs w:val="21"/>
              </w:rPr>
            </w:pPr>
            <w:r>
              <w:rPr>
                <w:rFonts w:hint="eastAsia" w:ascii="宋体" w:hAnsi="宋体" w:cs="宋体"/>
                <w:kern w:val="0"/>
                <w:sz w:val="21"/>
                <w:szCs w:val="21"/>
              </w:rPr>
              <w:t>1.机型：商用台式计算机。</w:t>
            </w:r>
          </w:p>
          <w:p>
            <w:pPr>
              <w:widowControl/>
              <w:jc w:val="left"/>
              <w:rPr>
                <w:rFonts w:ascii="宋体" w:hAnsi="宋体" w:cs="宋体"/>
                <w:kern w:val="0"/>
                <w:sz w:val="21"/>
                <w:szCs w:val="21"/>
              </w:rPr>
            </w:pPr>
            <w:r>
              <w:rPr>
                <w:rFonts w:hint="eastAsia" w:ascii="宋体" w:hAnsi="宋体" w:cs="宋体"/>
                <w:kern w:val="0"/>
                <w:sz w:val="21"/>
                <w:szCs w:val="21"/>
              </w:rPr>
              <w:t>2.处理器：≥Intel I5-9500。</w:t>
            </w:r>
          </w:p>
          <w:p>
            <w:pPr>
              <w:widowControl/>
              <w:jc w:val="left"/>
              <w:rPr>
                <w:rFonts w:ascii="宋体" w:hAnsi="宋体" w:cs="宋体"/>
                <w:kern w:val="0"/>
                <w:sz w:val="21"/>
                <w:szCs w:val="21"/>
              </w:rPr>
            </w:pPr>
            <w:r>
              <w:rPr>
                <w:rFonts w:hint="eastAsia" w:ascii="宋体" w:hAnsi="宋体" w:cs="宋体"/>
                <w:kern w:val="0"/>
                <w:sz w:val="21"/>
                <w:szCs w:val="21"/>
              </w:rPr>
              <w:t>3.内存：≥2个DIMM插槽 ≥4G DDR4 2666内存。</w:t>
            </w:r>
          </w:p>
          <w:p>
            <w:pPr>
              <w:widowControl/>
              <w:jc w:val="left"/>
              <w:rPr>
                <w:rFonts w:ascii="宋体" w:hAnsi="宋体" w:cs="宋体"/>
                <w:kern w:val="0"/>
                <w:sz w:val="21"/>
                <w:szCs w:val="21"/>
              </w:rPr>
            </w:pPr>
            <w:r>
              <w:rPr>
                <w:rFonts w:hint="eastAsia" w:ascii="宋体" w:hAnsi="宋体" w:cs="宋体"/>
                <w:kern w:val="0"/>
                <w:sz w:val="21"/>
                <w:szCs w:val="21"/>
              </w:rPr>
              <w:t>4.插槽：PCIe x16插槽≥1个，PCIe x1插槽≥1 个，M.2插槽≥1个。</w:t>
            </w:r>
          </w:p>
          <w:p>
            <w:pPr>
              <w:widowControl/>
              <w:jc w:val="left"/>
              <w:rPr>
                <w:rFonts w:ascii="宋体" w:hAnsi="宋体" w:cs="宋体"/>
                <w:kern w:val="0"/>
                <w:sz w:val="21"/>
                <w:szCs w:val="21"/>
              </w:rPr>
            </w:pPr>
            <w:r>
              <w:rPr>
                <w:rFonts w:hint="eastAsia" w:ascii="宋体" w:hAnsi="宋体" w:cs="宋体"/>
                <w:kern w:val="0"/>
                <w:sz w:val="21"/>
                <w:szCs w:val="21"/>
              </w:rPr>
              <w:t>5.硬盘：≥1T SATA硬盘。</w:t>
            </w:r>
          </w:p>
          <w:p>
            <w:pPr>
              <w:widowControl/>
              <w:jc w:val="left"/>
              <w:rPr>
                <w:rFonts w:ascii="宋体" w:hAnsi="宋体" w:cs="宋体"/>
                <w:kern w:val="0"/>
                <w:sz w:val="21"/>
                <w:szCs w:val="21"/>
              </w:rPr>
            </w:pPr>
            <w:r>
              <w:rPr>
                <w:rFonts w:hint="eastAsia" w:ascii="宋体" w:hAnsi="宋体" w:cs="宋体"/>
                <w:kern w:val="0"/>
                <w:sz w:val="21"/>
                <w:szCs w:val="21"/>
              </w:rPr>
              <w:t>6.主板：≥Intel 365系列及以上。</w:t>
            </w:r>
          </w:p>
          <w:p>
            <w:pPr>
              <w:widowControl/>
              <w:jc w:val="left"/>
              <w:rPr>
                <w:rFonts w:ascii="宋体" w:hAnsi="宋体" w:cs="宋体"/>
                <w:kern w:val="0"/>
                <w:sz w:val="21"/>
                <w:szCs w:val="21"/>
              </w:rPr>
            </w:pPr>
            <w:r>
              <w:rPr>
                <w:rFonts w:hint="eastAsia" w:ascii="宋体" w:hAnsi="宋体" w:cs="宋体"/>
                <w:kern w:val="0"/>
                <w:sz w:val="21"/>
                <w:szCs w:val="21"/>
              </w:rPr>
              <w:t>7.USB接口：≥8个,(其中前置4个USB3.1,后置4个USB2.0)。</w:t>
            </w:r>
          </w:p>
          <w:p>
            <w:pPr>
              <w:widowControl/>
              <w:jc w:val="left"/>
              <w:rPr>
                <w:rFonts w:ascii="宋体" w:hAnsi="宋体" w:cs="宋体"/>
                <w:kern w:val="0"/>
                <w:sz w:val="21"/>
                <w:szCs w:val="21"/>
              </w:rPr>
            </w:pPr>
            <w:r>
              <w:rPr>
                <w:rFonts w:hint="eastAsia" w:ascii="宋体" w:hAnsi="宋体" w:cs="宋体"/>
                <w:kern w:val="0"/>
                <w:sz w:val="21"/>
                <w:szCs w:val="21"/>
              </w:rPr>
              <w:t>8.电源：≤180W自适应电源。</w:t>
            </w:r>
          </w:p>
          <w:p>
            <w:pPr>
              <w:widowControl/>
              <w:jc w:val="left"/>
              <w:rPr>
                <w:rFonts w:ascii="宋体" w:hAnsi="宋体" w:cs="宋体"/>
                <w:kern w:val="0"/>
                <w:sz w:val="21"/>
                <w:szCs w:val="21"/>
              </w:rPr>
            </w:pPr>
            <w:r>
              <w:rPr>
                <w:rFonts w:hint="eastAsia" w:ascii="宋体" w:hAnsi="宋体" w:cs="宋体"/>
                <w:kern w:val="0"/>
                <w:sz w:val="21"/>
                <w:szCs w:val="21"/>
              </w:rPr>
              <w:t>9.机箱：机箱标配无线网卡带蓝牙。</w:t>
            </w:r>
          </w:p>
          <w:p>
            <w:pPr>
              <w:widowControl/>
              <w:jc w:val="left"/>
              <w:rPr>
                <w:rFonts w:ascii="宋体" w:hAnsi="宋体" w:cs="宋体"/>
                <w:kern w:val="0"/>
                <w:sz w:val="21"/>
                <w:szCs w:val="21"/>
              </w:rPr>
            </w:pPr>
            <w:r>
              <w:rPr>
                <w:rFonts w:hint="eastAsia" w:ascii="宋体" w:hAnsi="宋体" w:cs="宋体"/>
                <w:kern w:val="0"/>
                <w:sz w:val="21"/>
                <w:szCs w:val="21"/>
              </w:rPr>
              <w:t>10.光驱：DVDRW。</w:t>
            </w:r>
          </w:p>
          <w:p>
            <w:pPr>
              <w:widowControl/>
              <w:jc w:val="left"/>
              <w:rPr>
                <w:rFonts w:ascii="宋体" w:hAnsi="宋体" w:cs="宋体"/>
                <w:kern w:val="0"/>
                <w:sz w:val="21"/>
                <w:szCs w:val="21"/>
              </w:rPr>
            </w:pPr>
            <w:r>
              <w:rPr>
                <w:rFonts w:hint="eastAsia" w:ascii="宋体" w:hAnsi="宋体" w:cs="宋体"/>
                <w:kern w:val="0"/>
                <w:sz w:val="21"/>
                <w:szCs w:val="21"/>
              </w:rPr>
              <w:t>11.应用：出厂标配网络同传，最大传输速度7G/分钟；可以以系统内任意一台电脑作为主控端；带有网络传输登录认证和网络传输数据加密功能；带断点续传功能，增量拷贝功能，支持临时增量部署：能使发送端和接收端电脑很快恢复到增量以前状态；智能定位导航：可对多台接收端电脑进行定位和标号，不受接收端发生移动（换网口、网线）影响而变化；自动查找影响网络传输的故障机器；硬盘复制功能：支持小对大复制，支持一对一、一对多传输；带硬盘还原功能，多种还原方式，带分区属性的修改功能、支持共享分区和专属分区的自动清除，支持文件系统清除功能；网络断线自动恢复功能；支持网络克隆，最大支持传输台数254台；支持对计算机的软硬件资产管理；支持远程控制(远程关机/远程重启/远程唤醒)；支持远程锁定键盘、鼠标，USB存储设备，光驱，客户端屏幕；可控制U盘和光驱的使用。</w:t>
            </w:r>
          </w:p>
          <w:p>
            <w:pPr>
              <w:widowControl/>
              <w:jc w:val="left"/>
              <w:rPr>
                <w:rFonts w:ascii="宋体" w:hAnsi="宋体" w:cs="宋体"/>
                <w:kern w:val="0"/>
                <w:sz w:val="21"/>
                <w:szCs w:val="21"/>
              </w:rPr>
            </w:pPr>
            <w:r>
              <w:rPr>
                <w:rFonts w:hint="eastAsia" w:ascii="宋体" w:hAnsi="宋体" w:cs="宋体"/>
                <w:kern w:val="0"/>
                <w:sz w:val="21"/>
                <w:szCs w:val="21"/>
              </w:rPr>
              <w:t>12.键盘及鼠标：USB防水键盘和USB光电鼠标。</w:t>
            </w:r>
          </w:p>
          <w:p>
            <w:pPr>
              <w:widowControl/>
              <w:jc w:val="left"/>
              <w:rPr>
                <w:rFonts w:ascii="宋体" w:hAnsi="宋体" w:cs="宋体"/>
                <w:kern w:val="0"/>
                <w:sz w:val="21"/>
                <w:szCs w:val="21"/>
              </w:rPr>
            </w:pPr>
            <w:r>
              <w:rPr>
                <w:rFonts w:hint="eastAsia" w:ascii="宋体" w:hAnsi="宋体" w:cs="宋体"/>
                <w:kern w:val="0"/>
                <w:sz w:val="21"/>
                <w:szCs w:val="21"/>
              </w:rPr>
              <w:t>13.显示器：与主机同品牌21.5寸显示器，标配VGA+DVI接口。</w:t>
            </w:r>
          </w:p>
        </w:tc>
        <w:tc>
          <w:tcPr>
            <w:tcW w:w="42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台</w:t>
            </w:r>
          </w:p>
        </w:tc>
        <w:tc>
          <w:tcPr>
            <w:tcW w:w="42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332</w:t>
            </w:r>
          </w:p>
        </w:tc>
      </w:tr>
      <w:tr>
        <w:tblPrEx>
          <w:tblCellMar>
            <w:top w:w="0" w:type="dxa"/>
            <w:left w:w="20" w:type="dxa"/>
            <w:bottom w:w="0" w:type="dxa"/>
            <w:right w:w="20" w:type="dxa"/>
          </w:tblCellMar>
        </w:tblPrEx>
        <w:trPr>
          <w:trHeight w:val="3405" w:hRule="atLeast"/>
        </w:trPr>
        <w:tc>
          <w:tcPr>
            <w:tcW w:w="52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20</w:t>
            </w:r>
          </w:p>
        </w:tc>
        <w:tc>
          <w:tcPr>
            <w:tcW w:w="124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人格障碍筛查及辅助诊疗系统</w:t>
            </w:r>
          </w:p>
        </w:tc>
        <w:tc>
          <w:tcPr>
            <w:tcW w:w="6379"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1"/>
                <w:szCs w:val="21"/>
              </w:rPr>
            </w:pPr>
            <w:r>
              <w:rPr>
                <w:rFonts w:hint="eastAsia" w:ascii="宋体" w:hAnsi="宋体" w:cs="宋体"/>
                <w:kern w:val="0"/>
                <w:sz w:val="21"/>
                <w:szCs w:val="21"/>
              </w:rPr>
              <w:t>1、由 PDQC 和 SCICP 两个专业心理测试模块量表组成。2、PDQC 由被测者以自评的形式独立完成，用于人格障碍的初步筛查。通过该部分的测试，能初步鉴别出疑似的八种人格障碍类型（反社会型、冲动型、依赖型、偏执型、焦虑回避型等）。3、SCICP 是由专业人员以晤谈（他评）的形式，通过半定式提问方式，结合被测者具体描述和列举详细的实例，判断出被测者的人格障碍情况（包括多重人格障碍）。4、允许用户自由的添加需要记录的信息及信息中的选择内容。5、系统提供针对人格障碍进行干预的措施及典型案例的方案。6、统计：可生成统计报表，将每种人格障碍的例数以及在所有八种人格障碍中所占的百分比例、分布情况进行记录，使专业人员能及时了解，全面掌握各种人格障碍的发病及情况。7、人格障碍筛查及辅助软件至少包含 PDQC 测试、SCICP 测试、标准、查询、统计等功能。</w:t>
            </w:r>
            <w:r>
              <w:rPr>
                <w:rFonts w:ascii="宋体" w:hAnsi="宋体" w:cs="宋体"/>
                <w:kern w:val="0"/>
                <w:sz w:val="21"/>
                <w:szCs w:val="21"/>
              </w:rPr>
              <w:t xml:space="preserve"> </w:t>
            </w:r>
          </w:p>
        </w:tc>
        <w:tc>
          <w:tcPr>
            <w:tcW w:w="42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套</w:t>
            </w:r>
          </w:p>
        </w:tc>
        <w:tc>
          <w:tcPr>
            <w:tcW w:w="42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1</w:t>
            </w:r>
          </w:p>
        </w:tc>
      </w:tr>
      <w:tr>
        <w:tblPrEx>
          <w:tblCellMar>
            <w:top w:w="0" w:type="dxa"/>
            <w:left w:w="20" w:type="dxa"/>
            <w:bottom w:w="0" w:type="dxa"/>
            <w:right w:w="20" w:type="dxa"/>
          </w:tblCellMar>
        </w:tblPrEx>
        <w:trPr>
          <w:trHeight w:val="553" w:hRule="atLeast"/>
        </w:trPr>
        <w:tc>
          <w:tcPr>
            <w:tcW w:w="52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21</w:t>
            </w:r>
          </w:p>
        </w:tc>
        <w:tc>
          <w:tcPr>
            <w:tcW w:w="1248"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职业生涯规划及辅导软件</w:t>
            </w:r>
          </w:p>
        </w:tc>
        <w:tc>
          <w:tcPr>
            <w:tcW w:w="6379" w:type="dxa"/>
            <w:tcBorders>
              <w:top w:val="nil"/>
              <w:left w:val="nil"/>
              <w:bottom w:val="single" w:color="auto" w:sz="4" w:space="0"/>
              <w:right w:val="single" w:color="auto" w:sz="4" w:space="0"/>
            </w:tcBorders>
            <w:noWrap w:val="0"/>
            <w:vAlign w:val="center"/>
          </w:tcPr>
          <w:p>
            <w:pPr>
              <w:widowControl/>
              <w:jc w:val="left"/>
              <w:rPr>
                <w:rFonts w:ascii="宋体" w:hAnsi="宋体" w:cs="宋体"/>
                <w:kern w:val="0"/>
                <w:sz w:val="21"/>
                <w:szCs w:val="21"/>
              </w:rPr>
            </w:pPr>
            <w:r>
              <w:rPr>
                <w:rFonts w:hint="eastAsia" w:ascii="宋体" w:hAnsi="宋体" w:cs="宋体"/>
                <w:kern w:val="0"/>
                <w:sz w:val="21"/>
                <w:szCs w:val="21"/>
              </w:rPr>
              <w:t>1、系统包含了 11 个国际公认的专业心理测验，从职业价值观、职业能力、职业倾向性、行为模式、个性分析等多方面了解个体的潜在素质特征，匹配相应的职业岗位进行综合分析，生成相应的中、英文文字分析报告。2、测评全面准确报告直观丰富（个性解析图表）。3、两级用户管理模式。4、多人测验数据对比的功能，进行个性、能力特点的对照比较。5、生涯规划择业指导测评软件至少包含测验设置、信息管理、报告管理、统计分析、数据处理、系统设置、在线信息管理、查询报告等功能。</w:t>
            </w:r>
          </w:p>
        </w:tc>
        <w:tc>
          <w:tcPr>
            <w:tcW w:w="42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套</w:t>
            </w:r>
          </w:p>
        </w:tc>
        <w:tc>
          <w:tcPr>
            <w:tcW w:w="42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1</w:t>
            </w:r>
          </w:p>
        </w:tc>
      </w:tr>
      <w:tr>
        <w:tblPrEx>
          <w:tblCellMar>
            <w:top w:w="0" w:type="dxa"/>
            <w:left w:w="20" w:type="dxa"/>
            <w:bottom w:w="0" w:type="dxa"/>
            <w:right w:w="20" w:type="dxa"/>
          </w:tblCellMar>
        </w:tblPrEx>
        <w:trPr>
          <w:trHeight w:val="5526" w:hRule="atLeast"/>
        </w:trPr>
        <w:tc>
          <w:tcPr>
            <w:tcW w:w="52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23</w:t>
            </w:r>
          </w:p>
        </w:tc>
        <w:tc>
          <w:tcPr>
            <w:tcW w:w="124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21"/>
                <w:szCs w:val="21"/>
              </w:rPr>
            </w:pPr>
            <w:r>
              <w:rPr>
                <w:rFonts w:hint="eastAsia" w:ascii="宋体" w:hAnsi="宋体" w:cs="宋体"/>
                <w:color w:val="000000"/>
                <w:kern w:val="0"/>
                <w:sz w:val="21"/>
                <w:szCs w:val="21"/>
              </w:rPr>
              <w:t>智能击打宣泄系统</w:t>
            </w:r>
          </w:p>
        </w:tc>
        <w:tc>
          <w:tcPr>
            <w:tcW w:w="6379" w:type="dxa"/>
            <w:tcBorders>
              <w:top w:val="nil"/>
              <w:left w:val="nil"/>
              <w:bottom w:val="single" w:color="auto" w:sz="4" w:space="0"/>
              <w:right w:val="single" w:color="auto" w:sz="4" w:space="0"/>
            </w:tcBorders>
            <w:noWrap w:val="0"/>
            <w:vAlign w:val="center"/>
          </w:tcPr>
          <w:p>
            <w:pPr>
              <w:widowControl/>
              <w:ind w:firstLine="420" w:firstLineChars="200"/>
              <w:jc w:val="left"/>
              <w:rPr>
                <w:rFonts w:ascii="宋体" w:hAnsi="宋体" w:cs="宋体"/>
                <w:color w:val="000000"/>
                <w:kern w:val="0"/>
                <w:sz w:val="21"/>
                <w:szCs w:val="21"/>
              </w:rPr>
            </w:pPr>
            <w:r>
              <w:rPr>
                <w:rFonts w:hint="eastAsia" w:ascii="宋体" w:hAnsi="宋体" w:cs="宋体"/>
                <w:color w:val="000000"/>
                <w:kern w:val="0"/>
                <w:sz w:val="21"/>
                <w:szCs w:val="21"/>
              </w:rPr>
              <w:t>一、配置要求：1、控制主机：≥双核 3.2G，RAM≥8G，显示器≥50 寸，分辨率≥1920*1080，支持 HDMI 接口；内置光学指纹采集仪，图像分辨率≥500DPI。2、动作捕捉传感器系统：可进行人机手势交互，含红外摄影机、彩色摄像头、红外深度摄影头、仰角控制传动马达等。3、击打宣泄靶柱：圆柱体，注沙式底座，高约 1700mm，靶柱直径约 320mm。4、多通道无线生理传感系统，可分析处理脉搏、心率、HRV 时域频域、呼吸等生理信号（包括 HR、SDNN、LF、HF、LF/HF、BR、I/E 等），通过无线传输方式与控制主机通信。5、击打宣泄软件：至少包含≥35 种以上心理宣泄主题，涵盖工作、学习、情绪、社会等各方面内容。具有智能击打晋级闯关训练、多维度趣味智能互动、生理指标实时监测等功能。</w:t>
            </w:r>
          </w:p>
          <w:p>
            <w:pPr>
              <w:widowControl/>
              <w:ind w:firstLine="420" w:firstLineChars="200"/>
              <w:jc w:val="left"/>
              <w:rPr>
                <w:rFonts w:ascii="宋体" w:hAnsi="宋体" w:cs="宋体"/>
                <w:color w:val="000000"/>
                <w:kern w:val="0"/>
                <w:sz w:val="21"/>
                <w:szCs w:val="21"/>
              </w:rPr>
            </w:pPr>
            <w:r>
              <w:rPr>
                <w:rFonts w:hint="eastAsia" w:ascii="宋体" w:hAnsi="宋体" w:cs="宋体"/>
                <w:color w:val="000000"/>
                <w:kern w:val="0"/>
                <w:sz w:val="21"/>
                <w:szCs w:val="21"/>
              </w:rPr>
              <w:t>二、功能要求：1、互动击打宣泄软件具有指纹登录系统、选择训练模式、选择训练主题、心理状态自评、退出训练系统等功能。2、具有多层晋级过关模式，结合文字、图片、音频等多媒体形式及歌曲、舞蹈、笑话等趣味互动，营造听觉、视觉等多感官宣泄效果。3、智能实时反馈击打力度、击打速度、训练能量，根据训练者状态，智能调整训练内容及反馈语。4、采用骨骼动作捕捉技术，即时捕捉人体动作手势，拓展人机交互。5、训练结束后形成报告，报告内容包括击打力度/速度指数前期值、后期值、平均值、最大值、训练能量、训练时间、及力度和速度柱状图等。</w:t>
            </w:r>
          </w:p>
        </w:tc>
        <w:tc>
          <w:tcPr>
            <w:tcW w:w="42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套</w:t>
            </w:r>
          </w:p>
        </w:tc>
        <w:tc>
          <w:tcPr>
            <w:tcW w:w="42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1</w:t>
            </w:r>
          </w:p>
        </w:tc>
      </w:tr>
      <w:tr>
        <w:tblPrEx>
          <w:tblCellMar>
            <w:top w:w="0" w:type="dxa"/>
            <w:left w:w="20" w:type="dxa"/>
            <w:bottom w:w="0" w:type="dxa"/>
            <w:right w:w="20" w:type="dxa"/>
          </w:tblCellMar>
        </w:tblPrEx>
        <w:trPr>
          <w:trHeight w:val="409" w:hRule="atLeast"/>
        </w:trPr>
        <w:tc>
          <w:tcPr>
            <w:tcW w:w="520"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24</w:t>
            </w:r>
          </w:p>
        </w:tc>
        <w:tc>
          <w:tcPr>
            <w:tcW w:w="124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21"/>
                <w:szCs w:val="21"/>
              </w:rPr>
            </w:pPr>
            <w:r>
              <w:rPr>
                <w:rFonts w:hint="eastAsia" w:ascii="宋体" w:hAnsi="宋体" w:cs="宋体"/>
                <w:color w:val="000000"/>
                <w:kern w:val="0"/>
                <w:sz w:val="21"/>
                <w:szCs w:val="21"/>
              </w:rPr>
              <w:t>智能呐喊宣泄系统</w:t>
            </w:r>
          </w:p>
        </w:tc>
        <w:tc>
          <w:tcPr>
            <w:tcW w:w="6379" w:type="dxa"/>
            <w:tcBorders>
              <w:top w:val="nil"/>
              <w:left w:val="nil"/>
              <w:bottom w:val="single" w:color="auto" w:sz="4" w:space="0"/>
              <w:right w:val="single" w:color="auto" w:sz="4" w:space="0"/>
            </w:tcBorders>
            <w:noWrap w:val="0"/>
            <w:vAlign w:val="center"/>
          </w:tcPr>
          <w:p>
            <w:pPr>
              <w:widowControl/>
              <w:ind w:firstLine="420" w:firstLineChars="200"/>
              <w:jc w:val="left"/>
              <w:rPr>
                <w:rFonts w:ascii="宋体" w:hAnsi="宋体" w:cs="宋体"/>
                <w:color w:val="000000"/>
                <w:kern w:val="0"/>
                <w:sz w:val="21"/>
                <w:szCs w:val="21"/>
              </w:rPr>
            </w:pPr>
            <w:r>
              <w:rPr>
                <w:rFonts w:hint="eastAsia" w:ascii="宋体" w:hAnsi="宋体" w:cs="宋体"/>
                <w:color w:val="000000"/>
                <w:kern w:val="0"/>
                <w:sz w:val="21"/>
                <w:szCs w:val="21"/>
              </w:rPr>
              <w:t>一、配置要求：1、控制主机：≥双核 3.2G，RAM≥8G，显示器≥50 寸，分辨率≥1920*1080，支持 HDMI 接口；内置指纹仪，图象分辨率≥500DPI；2、呐喊传感器：眼镜式圆弧设计，头部佩戴，无线传输。3、多通道无线生理传感系统，可分析处理脉搏、心率、HRV 时域频域、呼吸等生理信号（包括 HR、SDNN、LF、HF、LF/HF、BR、I/E 等）；4、动作捕捉传感器系统：可进行人机手势交互，含红外摄影机、彩色摄像头、红外深度摄影头、仰角控制传动马达等；5、呐喊宣泄软件：至少包含≥35 种以上心理宣泄主题，涵盖工作、学习、情绪、社会等各方面内容。具有智能呐喊晋级闯关训练、多维度趣味智能互动、生理指标实时监测等功能。</w:t>
            </w:r>
          </w:p>
          <w:p>
            <w:pPr>
              <w:widowControl/>
              <w:ind w:firstLine="420" w:firstLineChars="200"/>
              <w:jc w:val="left"/>
              <w:rPr>
                <w:rFonts w:ascii="宋体" w:hAnsi="宋体" w:cs="宋体"/>
                <w:color w:val="000000"/>
                <w:kern w:val="0"/>
                <w:sz w:val="21"/>
                <w:szCs w:val="21"/>
              </w:rPr>
            </w:pPr>
            <w:r>
              <w:rPr>
                <w:rFonts w:hint="eastAsia" w:ascii="宋体" w:hAnsi="宋体" w:cs="宋体"/>
                <w:color w:val="000000"/>
                <w:kern w:val="0"/>
                <w:sz w:val="21"/>
                <w:szCs w:val="21"/>
              </w:rPr>
              <w:t>二、功能要求：1、互动呐喊宣泄软件具有指纹登录系统、选择训练模式、选择训练主题、心理状态自评、退出训练系统等功能。2、采用晋级过关形式，结合文字、图片、音频等多媒体形式及歌曲、舞蹈、笑话等趣味互动，营造听觉、视觉等多感官宣泄效果。3、智能实时反馈呐喊声音、持续时间、训练能量，根据训练者状态，智能调整训练内容及反馈语。4、采用骨骼动作捕捉技术，即时捕捉人体动作手势，拓展人机交互。5、训练结束后形成报告，内容呐喊声音大小/持续指数前期值、后期值、平均值、最大值、训练能量、训练时间及强度和持续时间柱状图等。</w:t>
            </w:r>
          </w:p>
        </w:tc>
        <w:tc>
          <w:tcPr>
            <w:tcW w:w="42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套</w:t>
            </w:r>
          </w:p>
        </w:tc>
        <w:tc>
          <w:tcPr>
            <w:tcW w:w="425" w:type="dxa"/>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1</w:t>
            </w:r>
          </w:p>
        </w:tc>
      </w:tr>
    </w:tbl>
    <w:p>
      <w:pPr>
        <w:pStyle w:val="2"/>
        <w:rPr>
          <w:rFonts w:hAnsi="宋体"/>
          <w:bCs/>
          <w:spacing w:val="2"/>
          <w:sz w:val="21"/>
          <w:szCs w:val="21"/>
        </w:rPr>
      </w:pPr>
    </w:p>
    <w:p>
      <w:pPr>
        <w:pStyle w:val="2"/>
        <w:rPr>
          <w:rFonts w:hint="eastAsia" w:hAnsi="宋体"/>
          <w:bCs/>
          <w:spacing w:val="2"/>
          <w:sz w:val="21"/>
          <w:szCs w:val="21"/>
        </w:rPr>
      </w:pPr>
      <w:r>
        <w:rPr>
          <w:rFonts w:hAnsi="宋体"/>
          <w:bCs/>
          <w:spacing w:val="2"/>
          <w:sz w:val="21"/>
          <w:szCs w:val="21"/>
        </w:rPr>
        <w:t>注：</w:t>
      </w:r>
    </w:p>
    <w:p>
      <w:pPr>
        <w:pStyle w:val="2"/>
        <w:rPr>
          <w:rFonts w:hint="eastAsia"/>
          <w:sz w:val="21"/>
          <w:szCs w:val="21"/>
        </w:rPr>
      </w:pPr>
      <w:r>
        <w:rPr>
          <w:rFonts w:hint="eastAsia" w:hAnsi="宋体"/>
          <w:bCs/>
          <w:spacing w:val="2"/>
          <w:sz w:val="21"/>
          <w:szCs w:val="21"/>
        </w:rPr>
        <w:t>1、</w:t>
      </w:r>
      <w:r>
        <w:rPr>
          <w:rFonts w:hint="eastAsia"/>
          <w:sz w:val="21"/>
          <w:szCs w:val="21"/>
        </w:rPr>
        <w:t>培训用台式电脑</w:t>
      </w:r>
      <w:r>
        <w:rPr>
          <w:sz w:val="21"/>
          <w:szCs w:val="21"/>
        </w:rPr>
        <w:t>、</w:t>
      </w:r>
      <w:r>
        <w:rPr>
          <w:rFonts w:hint="eastAsia"/>
          <w:sz w:val="21"/>
          <w:szCs w:val="21"/>
        </w:rPr>
        <w:t>笔记本电脑、激光打印机</w:t>
      </w:r>
      <w:r>
        <w:rPr>
          <w:sz w:val="21"/>
          <w:szCs w:val="21"/>
        </w:rPr>
        <w:t>是政府强制采购的节能产品，投标人所投产品应在国家有关部门公布的《节能产品政府采购品目清单》中，投标人应附国家确定的认证机构出具的在有效期内的《国家节能产品认证证书》复印件。清单可在中华人民共和国财政部网站（</w:t>
      </w:r>
      <w:r>
        <w:rPr>
          <w:sz w:val="21"/>
          <w:szCs w:val="21"/>
        </w:rPr>
        <w:drawing>
          <wp:inline distT="0" distB="0" distL="114300" distR="114300">
            <wp:extent cx="191135" cy="136525"/>
            <wp:effectExtent l="0" t="0" r="18415" b="15875"/>
            <wp:docPr id="3" name="图片 1" descr="[5UQ[BL(6~BS2JV6W}N6[%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5UQ[BL(6~BS2JV6W}N6[%S"/>
                    <pic:cNvPicPr>
                      <a:picLocks noChangeAspect="1"/>
                    </pic:cNvPicPr>
                  </pic:nvPicPr>
                  <pic:blipFill>
                    <a:blip r:embed="rId4"/>
                    <a:stretch>
                      <a:fillRect/>
                    </a:stretch>
                  </pic:blipFill>
                  <pic:spPr>
                    <a:xfrm>
                      <a:off x="0" y="0"/>
                      <a:ext cx="191135" cy="136525"/>
                    </a:xfrm>
                    <a:prstGeom prst="rect">
                      <a:avLst/>
                    </a:prstGeom>
                    <a:noFill/>
                    <a:ln>
                      <a:noFill/>
                    </a:ln>
                  </pic:spPr>
                </pic:pic>
              </a:graphicData>
            </a:graphic>
          </wp:inline>
        </w:drawing>
      </w:r>
      <w:r>
        <w:rPr>
          <w:sz w:val="21"/>
          <w:szCs w:val="21"/>
        </w:rPr>
        <w:t>http://www.mof.gov.cn）、中国政府采购网（</w:t>
      </w:r>
      <w:r>
        <w:rPr>
          <w:sz w:val="21"/>
          <w:szCs w:val="21"/>
        </w:rPr>
        <w:drawing>
          <wp:inline distT="0" distB="0" distL="114300" distR="114300">
            <wp:extent cx="191135" cy="136525"/>
            <wp:effectExtent l="0" t="0" r="18415" b="15875"/>
            <wp:docPr id="1" name="图片 2" descr="%W@GJ$ACOF(TYDYECOKVDY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W@GJ$ACOF(TYDYECOKVDYB"/>
                    <pic:cNvPicPr>
                      <a:picLocks noChangeAspect="1"/>
                    </pic:cNvPicPr>
                  </pic:nvPicPr>
                  <pic:blipFill>
                    <a:blip r:embed="rId5"/>
                    <a:stretch>
                      <a:fillRect/>
                    </a:stretch>
                  </pic:blipFill>
                  <pic:spPr>
                    <a:xfrm>
                      <a:off x="0" y="0"/>
                      <a:ext cx="191135" cy="136525"/>
                    </a:xfrm>
                    <a:prstGeom prst="rect">
                      <a:avLst/>
                    </a:prstGeom>
                    <a:noFill/>
                    <a:ln>
                      <a:noFill/>
                    </a:ln>
                  </pic:spPr>
                </pic:pic>
              </a:graphicData>
            </a:graphic>
          </wp:inline>
        </w:drawing>
      </w:r>
      <w:r>
        <w:rPr>
          <w:sz w:val="21"/>
          <w:szCs w:val="21"/>
        </w:rPr>
        <w:t>http://www.ccgp.gov.cn/）查阅,否则应当认定其投标无效。</w:t>
      </w:r>
    </w:p>
    <w:p>
      <w:pPr>
        <w:pStyle w:val="2"/>
        <w:rPr>
          <w:rFonts w:hint="eastAsia"/>
          <w:sz w:val="21"/>
          <w:szCs w:val="21"/>
        </w:rPr>
      </w:pPr>
    </w:p>
    <w:p>
      <w:pPr>
        <w:pStyle w:val="2"/>
        <w:rPr>
          <w:rFonts w:hint="eastAsia"/>
          <w:sz w:val="21"/>
          <w:szCs w:val="21"/>
        </w:rPr>
      </w:pPr>
      <w:r>
        <w:rPr>
          <w:rFonts w:hint="eastAsia"/>
          <w:sz w:val="21"/>
          <w:szCs w:val="21"/>
        </w:rPr>
        <w:t>2、培训用台式电脑为本项目核心产品。</w:t>
      </w:r>
    </w:p>
    <w:p>
      <w:pPr>
        <w:pStyle w:val="2"/>
        <w:rPr>
          <w:rFonts w:hint="eastAsia"/>
          <w:sz w:val="21"/>
          <w:szCs w:val="21"/>
        </w:rPr>
      </w:pPr>
    </w:p>
    <w:p>
      <w:pPr>
        <w:rPr>
          <w:sz w:val="21"/>
          <w:szCs w:val="21"/>
        </w:rPr>
      </w:pPr>
      <w:r>
        <w:rPr>
          <w:rFonts w:hint="eastAsia" w:ascii="宋体" w:hAnsi="Times New Roman" w:eastAsia="宋体" w:cs="宋体"/>
          <w:color w:val="000000"/>
          <w:kern w:val="0"/>
          <w:sz w:val="21"/>
          <w:szCs w:val="21"/>
          <w:lang w:val="en-US" w:eastAsia="zh-CN" w:bidi="ar-SA"/>
        </w:rPr>
        <w:t>3、商品包装和快递包装应符合《商品包装政府采购需求标准（试行）》和《快递包装政府采购需求标准（试行）》规定。</w:t>
      </w:r>
    </w:p>
    <w:p>
      <w:pPr>
        <w:pStyle w:val="2"/>
        <w:rPr>
          <w:rFonts w:hint="eastAsia" w:ascii="宋体" w:hAnsi="宋体" w:eastAsia="宋体" w:cs="宋体"/>
          <w:kern w:val="0"/>
          <w:sz w:val="21"/>
          <w:szCs w:val="21"/>
          <w:lang w:val="zh-CN"/>
        </w:rPr>
      </w:pPr>
    </w:p>
    <w:p>
      <w:pPr>
        <w:pStyle w:val="2"/>
        <w:rPr>
          <w:sz w:val="21"/>
          <w:szCs w:val="21"/>
        </w:rPr>
      </w:pPr>
      <w:r>
        <w:rPr>
          <w:rFonts w:hint="eastAsia" w:ascii="宋体" w:hAnsi="宋体" w:eastAsia="宋体" w:cs="宋体"/>
          <w:kern w:val="0"/>
          <w:sz w:val="21"/>
          <w:szCs w:val="21"/>
          <w:lang w:val="zh-CN"/>
        </w:rPr>
        <w:t>变更为：</w:t>
      </w:r>
    </w:p>
    <w:tbl>
      <w:tblPr>
        <w:tblStyle w:val="3"/>
        <w:tblW w:w="5454" w:type="pct"/>
        <w:tblInd w:w="0" w:type="dxa"/>
        <w:tblLayout w:type="autofit"/>
        <w:tblCellMar>
          <w:top w:w="0" w:type="dxa"/>
          <w:left w:w="20" w:type="dxa"/>
          <w:bottom w:w="0" w:type="dxa"/>
          <w:right w:w="20" w:type="dxa"/>
        </w:tblCellMar>
      </w:tblPr>
      <w:tblGrid>
        <w:gridCol w:w="464"/>
        <w:gridCol w:w="7"/>
        <w:gridCol w:w="1142"/>
        <w:gridCol w:w="4"/>
        <w:gridCol w:w="9"/>
        <w:gridCol w:w="6538"/>
        <w:gridCol w:w="73"/>
        <w:gridCol w:w="355"/>
        <w:gridCol w:w="73"/>
        <w:gridCol w:w="390"/>
        <w:gridCol w:w="49"/>
      </w:tblGrid>
      <w:tr>
        <w:tblPrEx>
          <w:tblCellMar>
            <w:top w:w="0" w:type="dxa"/>
            <w:left w:w="20" w:type="dxa"/>
            <w:bottom w:w="0" w:type="dxa"/>
            <w:right w:w="20" w:type="dxa"/>
          </w:tblCellMar>
        </w:tblPrEx>
        <w:trPr>
          <w:trHeight w:val="450" w:hRule="atLeast"/>
        </w:trPr>
        <w:tc>
          <w:tcPr>
            <w:tcW w:w="5000" w:type="pct"/>
            <w:gridSpan w:val="11"/>
            <w:tcBorders>
              <w:top w:val="single" w:color="auto" w:sz="4" w:space="0"/>
              <w:left w:val="single" w:color="auto" w:sz="4" w:space="0"/>
              <w:bottom w:val="single" w:color="auto" w:sz="4" w:space="0"/>
              <w:right w:val="single" w:color="auto" w:sz="4" w:space="0"/>
            </w:tcBorders>
            <w:noWrap w:val="0"/>
            <w:vAlign w:val="center"/>
          </w:tcPr>
          <w:p>
            <w:pPr>
              <w:widowControl/>
              <w:spacing w:line="380" w:lineRule="exact"/>
              <w:jc w:val="center"/>
              <w:rPr>
                <w:rFonts w:ascii="宋体" w:hAnsi="宋体" w:cs="宋体"/>
                <w:b/>
                <w:bCs/>
                <w:kern w:val="0"/>
                <w:sz w:val="21"/>
                <w:szCs w:val="21"/>
              </w:rPr>
            </w:pPr>
            <w:r>
              <w:rPr>
                <w:rFonts w:hint="eastAsia" w:ascii="宋体" w:hAnsi="宋体" w:cs="宋体"/>
                <w:b/>
                <w:bCs/>
                <w:kern w:val="0"/>
                <w:sz w:val="21"/>
                <w:szCs w:val="21"/>
              </w:rPr>
              <w:t>滑县职业中等专业学校培训需购置设备清单</w:t>
            </w:r>
          </w:p>
        </w:tc>
      </w:tr>
      <w:tr>
        <w:tblPrEx>
          <w:tblCellMar>
            <w:top w:w="0" w:type="dxa"/>
            <w:left w:w="20" w:type="dxa"/>
            <w:bottom w:w="0" w:type="dxa"/>
            <w:right w:w="20" w:type="dxa"/>
          </w:tblCellMar>
        </w:tblPrEx>
        <w:trPr>
          <w:trHeight w:val="314" w:hRule="atLeast"/>
        </w:trPr>
        <w:tc>
          <w:tcPr>
            <w:tcW w:w="255" w:type="pc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ascii="宋体" w:hAnsi="宋体" w:cs="宋体"/>
                <w:bCs/>
                <w:w w:val="80"/>
                <w:kern w:val="0"/>
                <w:sz w:val="21"/>
                <w:szCs w:val="21"/>
              </w:rPr>
            </w:pPr>
            <w:r>
              <w:rPr>
                <w:rFonts w:hint="eastAsia" w:ascii="宋体" w:hAnsi="宋体" w:cs="宋体"/>
                <w:bCs/>
                <w:w w:val="80"/>
                <w:kern w:val="0"/>
                <w:sz w:val="21"/>
                <w:szCs w:val="21"/>
              </w:rPr>
              <w:t>序号</w:t>
            </w:r>
          </w:p>
        </w:tc>
        <w:tc>
          <w:tcPr>
            <w:tcW w:w="631" w:type="pct"/>
            <w:gridSpan w:val="2"/>
            <w:tcBorders>
              <w:top w:val="nil"/>
              <w:left w:val="nil"/>
              <w:bottom w:val="single" w:color="auto" w:sz="4" w:space="0"/>
              <w:right w:val="single" w:color="auto" w:sz="4" w:space="0"/>
            </w:tcBorders>
            <w:noWrap w:val="0"/>
            <w:vAlign w:val="center"/>
          </w:tcPr>
          <w:p>
            <w:pPr>
              <w:widowControl/>
              <w:spacing w:line="360" w:lineRule="exact"/>
              <w:jc w:val="center"/>
              <w:rPr>
                <w:rFonts w:ascii="宋体" w:hAnsi="宋体" w:cs="宋体"/>
                <w:bCs/>
                <w:w w:val="80"/>
                <w:kern w:val="0"/>
                <w:sz w:val="21"/>
                <w:szCs w:val="21"/>
              </w:rPr>
            </w:pPr>
            <w:r>
              <w:rPr>
                <w:rFonts w:hint="eastAsia" w:ascii="宋体" w:hAnsi="宋体" w:cs="宋体"/>
                <w:bCs/>
                <w:w w:val="80"/>
                <w:kern w:val="0"/>
                <w:sz w:val="21"/>
                <w:szCs w:val="21"/>
              </w:rPr>
              <w:t>物品</w:t>
            </w:r>
          </w:p>
        </w:tc>
        <w:tc>
          <w:tcPr>
            <w:tcW w:w="3638" w:type="pct"/>
            <w:gridSpan w:val="4"/>
            <w:tcBorders>
              <w:top w:val="nil"/>
              <w:left w:val="nil"/>
              <w:bottom w:val="single" w:color="auto" w:sz="4" w:space="0"/>
              <w:right w:val="single" w:color="auto" w:sz="4" w:space="0"/>
            </w:tcBorders>
            <w:noWrap w:val="0"/>
            <w:vAlign w:val="center"/>
          </w:tcPr>
          <w:p>
            <w:pPr>
              <w:widowControl/>
              <w:spacing w:line="360" w:lineRule="exact"/>
              <w:jc w:val="center"/>
              <w:rPr>
                <w:rFonts w:ascii="宋体" w:hAnsi="宋体" w:cs="宋体"/>
                <w:bCs/>
                <w:w w:val="80"/>
                <w:kern w:val="0"/>
                <w:sz w:val="21"/>
                <w:szCs w:val="21"/>
              </w:rPr>
            </w:pPr>
            <w:r>
              <w:rPr>
                <w:rFonts w:hint="eastAsia" w:ascii="宋体" w:hAnsi="宋体" w:cs="宋体"/>
                <w:bCs/>
                <w:w w:val="80"/>
                <w:kern w:val="0"/>
                <w:sz w:val="21"/>
                <w:szCs w:val="21"/>
              </w:rPr>
              <w:t>参数</w:t>
            </w:r>
          </w:p>
        </w:tc>
        <w:tc>
          <w:tcPr>
            <w:tcW w:w="235" w:type="pct"/>
            <w:gridSpan w:val="2"/>
            <w:tcBorders>
              <w:top w:val="nil"/>
              <w:left w:val="nil"/>
              <w:bottom w:val="single" w:color="auto" w:sz="4" w:space="0"/>
              <w:right w:val="single" w:color="auto" w:sz="4" w:space="0"/>
            </w:tcBorders>
            <w:noWrap w:val="0"/>
            <w:vAlign w:val="center"/>
          </w:tcPr>
          <w:p>
            <w:pPr>
              <w:widowControl/>
              <w:spacing w:line="360" w:lineRule="exact"/>
              <w:jc w:val="center"/>
              <w:rPr>
                <w:rFonts w:ascii="宋体" w:hAnsi="宋体" w:cs="宋体"/>
                <w:bCs/>
                <w:w w:val="80"/>
                <w:kern w:val="0"/>
                <w:sz w:val="21"/>
                <w:szCs w:val="21"/>
              </w:rPr>
            </w:pPr>
            <w:r>
              <w:rPr>
                <w:rFonts w:hint="eastAsia" w:ascii="宋体" w:hAnsi="宋体" w:cs="宋体"/>
                <w:bCs/>
                <w:w w:val="80"/>
                <w:kern w:val="0"/>
                <w:sz w:val="21"/>
                <w:szCs w:val="21"/>
              </w:rPr>
              <w:t>单位</w:t>
            </w:r>
          </w:p>
        </w:tc>
        <w:tc>
          <w:tcPr>
            <w:tcW w:w="240" w:type="pct"/>
            <w:gridSpan w:val="2"/>
            <w:tcBorders>
              <w:top w:val="nil"/>
              <w:left w:val="nil"/>
              <w:bottom w:val="single" w:color="auto" w:sz="4" w:space="0"/>
              <w:right w:val="single" w:color="auto" w:sz="4" w:space="0"/>
            </w:tcBorders>
            <w:noWrap w:val="0"/>
            <w:vAlign w:val="center"/>
          </w:tcPr>
          <w:p>
            <w:pPr>
              <w:widowControl/>
              <w:spacing w:line="360" w:lineRule="exact"/>
              <w:jc w:val="center"/>
              <w:rPr>
                <w:rFonts w:ascii="宋体" w:hAnsi="宋体" w:cs="宋体"/>
                <w:bCs/>
                <w:w w:val="80"/>
                <w:kern w:val="0"/>
                <w:sz w:val="21"/>
                <w:szCs w:val="21"/>
              </w:rPr>
            </w:pPr>
            <w:r>
              <w:rPr>
                <w:rFonts w:hint="eastAsia" w:ascii="宋体" w:hAnsi="宋体" w:cs="宋体"/>
                <w:bCs/>
                <w:w w:val="80"/>
                <w:kern w:val="0"/>
                <w:sz w:val="21"/>
                <w:szCs w:val="21"/>
              </w:rPr>
              <w:t>数量</w:t>
            </w:r>
          </w:p>
        </w:tc>
      </w:tr>
      <w:tr>
        <w:trPr>
          <w:trHeight w:val="3721" w:hRule="atLeast"/>
        </w:trPr>
        <w:tc>
          <w:tcPr>
            <w:tcW w:w="255" w:type="pct"/>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1</w:t>
            </w:r>
          </w:p>
        </w:tc>
        <w:tc>
          <w:tcPr>
            <w:tcW w:w="631" w:type="pct"/>
            <w:gridSpan w:val="2"/>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培训用台式电脑</w:t>
            </w:r>
          </w:p>
        </w:tc>
        <w:tc>
          <w:tcPr>
            <w:tcW w:w="3638" w:type="pct"/>
            <w:gridSpan w:val="4"/>
            <w:tcBorders>
              <w:top w:val="nil"/>
              <w:left w:val="nil"/>
              <w:bottom w:val="single" w:color="auto" w:sz="4" w:space="0"/>
              <w:right w:val="single" w:color="auto" w:sz="4" w:space="0"/>
            </w:tcBorders>
            <w:noWrap w:val="0"/>
            <w:vAlign w:val="center"/>
          </w:tcPr>
          <w:p>
            <w:pPr>
              <w:widowControl/>
              <w:jc w:val="left"/>
              <w:rPr>
                <w:rFonts w:ascii="宋体" w:hAnsi="宋体" w:cs="宋体"/>
                <w:kern w:val="0"/>
                <w:sz w:val="21"/>
                <w:szCs w:val="21"/>
              </w:rPr>
            </w:pPr>
            <w:r>
              <w:rPr>
                <w:rFonts w:hint="eastAsia" w:ascii="宋体" w:hAnsi="宋体" w:cs="宋体"/>
                <w:kern w:val="0"/>
                <w:sz w:val="21"/>
                <w:szCs w:val="21"/>
              </w:rPr>
              <w:t>1.机型：商用台式计算机。</w:t>
            </w:r>
          </w:p>
          <w:p>
            <w:pPr>
              <w:widowControl/>
              <w:jc w:val="left"/>
              <w:rPr>
                <w:rFonts w:ascii="宋体" w:hAnsi="宋体" w:cs="宋体"/>
                <w:kern w:val="0"/>
                <w:sz w:val="21"/>
                <w:szCs w:val="21"/>
              </w:rPr>
            </w:pPr>
            <w:r>
              <w:rPr>
                <w:rFonts w:hint="eastAsia" w:ascii="宋体" w:hAnsi="宋体" w:cs="宋体"/>
                <w:kern w:val="0"/>
                <w:sz w:val="21"/>
                <w:szCs w:val="21"/>
              </w:rPr>
              <w:t>2.处理器：≥Intel I5-9500。</w:t>
            </w:r>
          </w:p>
          <w:p>
            <w:pPr>
              <w:widowControl/>
              <w:jc w:val="left"/>
              <w:rPr>
                <w:rFonts w:ascii="宋体" w:hAnsi="宋体" w:cs="宋体"/>
                <w:kern w:val="0"/>
                <w:sz w:val="21"/>
                <w:szCs w:val="21"/>
              </w:rPr>
            </w:pPr>
            <w:r>
              <w:rPr>
                <w:rFonts w:hint="eastAsia" w:ascii="宋体" w:hAnsi="宋体" w:cs="宋体"/>
                <w:kern w:val="0"/>
                <w:sz w:val="21"/>
                <w:szCs w:val="21"/>
              </w:rPr>
              <w:t>3.内存：≥2个DIMM插槽 ≥4G DDR4 2666内存。</w:t>
            </w:r>
          </w:p>
          <w:p>
            <w:pPr>
              <w:widowControl/>
              <w:jc w:val="left"/>
              <w:rPr>
                <w:rFonts w:ascii="宋体" w:hAnsi="宋体" w:cs="宋体"/>
                <w:kern w:val="0"/>
                <w:sz w:val="21"/>
                <w:szCs w:val="21"/>
              </w:rPr>
            </w:pPr>
            <w:r>
              <w:rPr>
                <w:rFonts w:hint="eastAsia" w:ascii="宋体" w:hAnsi="宋体" w:cs="宋体"/>
                <w:kern w:val="0"/>
                <w:sz w:val="21"/>
                <w:szCs w:val="21"/>
              </w:rPr>
              <w:t>4.插槽：PCIe x16插槽≥1个，PCIe x1插槽≥1 个，M.2插槽≥1个。</w:t>
            </w:r>
          </w:p>
          <w:p>
            <w:pPr>
              <w:widowControl/>
              <w:jc w:val="left"/>
              <w:rPr>
                <w:rFonts w:ascii="宋体" w:hAnsi="宋体" w:cs="宋体"/>
                <w:kern w:val="0"/>
                <w:sz w:val="21"/>
                <w:szCs w:val="21"/>
              </w:rPr>
            </w:pPr>
            <w:r>
              <w:rPr>
                <w:rFonts w:hint="eastAsia" w:ascii="宋体" w:hAnsi="宋体" w:cs="宋体"/>
                <w:kern w:val="0"/>
                <w:sz w:val="21"/>
                <w:szCs w:val="21"/>
              </w:rPr>
              <w:t>5.硬盘：≥1T SATA硬盘。</w:t>
            </w:r>
          </w:p>
          <w:p>
            <w:pPr>
              <w:widowControl/>
              <w:jc w:val="left"/>
              <w:rPr>
                <w:rFonts w:ascii="宋体" w:hAnsi="宋体" w:cs="宋体"/>
                <w:kern w:val="0"/>
                <w:sz w:val="21"/>
                <w:szCs w:val="21"/>
              </w:rPr>
            </w:pPr>
            <w:r>
              <w:rPr>
                <w:rFonts w:hint="eastAsia" w:ascii="宋体" w:hAnsi="宋体" w:cs="宋体"/>
                <w:kern w:val="0"/>
                <w:sz w:val="21"/>
                <w:szCs w:val="21"/>
              </w:rPr>
              <w:t>6.主板：≥Intel 365系列及以上。</w:t>
            </w:r>
          </w:p>
          <w:p>
            <w:pPr>
              <w:widowControl/>
              <w:jc w:val="left"/>
              <w:rPr>
                <w:rFonts w:ascii="宋体" w:hAnsi="宋体" w:cs="宋体"/>
                <w:kern w:val="0"/>
                <w:sz w:val="21"/>
                <w:szCs w:val="21"/>
              </w:rPr>
            </w:pPr>
            <w:r>
              <w:rPr>
                <w:rFonts w:hint="eastAsia" w:ascii="宋体" w:hAnsi="宋体" w:cs="宋体"/>
                <w:kern w:val="0"/>
                <w:sz w:val="21"/>
                <w:szCs w:val="21"/>
              </w:rPr>
              <w:t>7.USB接口：≥8个,(其中前置4个USB3.1,后置4个USB2.0)。</w:t>
            </w:r>
          </w:p>
          <w:p>
            <w:pPr>
              <w:widowControl/>
              <w:jc w:val="left"/>
              <w:rPr>
                <w:rFonts w:ascii="宋体" w:hAnsi="宋体" w:cs="宋体"/>
                <w:kern w:val="0"/>
                <w:sz w:val="21"/>
                <w:szCs w:val="21"/>
              </w:rPr>
            </w:pPr>
            <w:r>
              <w:rPr>
                <w:rFonts w:hint="eastAsia" w:ascii="宋体" w:hAnsi="宋体" w:cs="宋体"/>
                <w:kern w:val="0"/>
                <w:sz w:val="21"/>
                <w:szCs w:val="21"/>
              </w:rPr>
              <w:t>8.电源：≤180W自适应电源。</w:t>
            </w:r>
          </w:p>
          <w:p>
            <w:pPr>
              <w:widowControl/>
              <w:jc w:val="left"/>
              <w:rPr>
                <w:rFonts w:ascii="宋体" w:hAnsi="宋体" w:cs="宋体"/>
                <w:kern w:val="0"/>
                <w:sz w:val="21"/>
                <w:szCs w:val="21"/>
              </w:rPr>
            </w:pPr>
            <w:r>
              <w:rPr>
                <w:rFonts w:hint="eastAsia" w:ascii="宋体" w:hAnsi="宋体" w:cs="宋体"/>
                <w:kern w:val="0"/>
                <w:sz w:val="21"/>
                <w:szCs w:val="21"/>
              </w:rPr>
              <w:t>9.机箱：机箱标配无线网卡带蓝牙。</w:t>
            </w:r>
          </w:p>
          <w:p>
            <w:pPr>
              <w:widowControl/>
              <w:jc w:val="left"/>
              <w:rPr>
                <w:rFonts w:ascii="宋体" w:hAnsi="宋体" w:cs="宋体"/>
                <w:kern w:val="0"/>
                <w:sz w:val="21"/>
                <w:szCs w:val="21"/>
              </w:rPr>
            </w:pPr>
            <w:r>
              <w:rPr>
                <w:rFonts w:hint="eastAsia" w:ascii="宋体" w:hAnsi="宋体" w:cs="宋体"/>
                <w:kern w:val="0"/>
                <w:sz w:val="21"/>
                <w:szCs w:val="21"/>
              </w:rPr>
              <w:t>10.光驱：DVDRW。</w:t>
            </w:r>
          </w:p>
          <w:p>
            <w:pPr>
              <w:widowControl/>
              <w:jc w:val="left"/>
              <w:rPr>
                <w:rFonts w:ascii="宋体" w:hAnsi="宋体" w:cs="宋体"/>
                <w:kern w:val="0"/>
                <w:sz w:val="21"/>
                <w:szCs w:val="21"/>
              </w:rPr>
            </w:pPr>
            <w:r>
              <w:rPr>
                <w:rFonts w:hint="eastAsia" w:ascii="宋体" w:hAnsi="宋体" w:cs="宋体"/>
                <w:kern w:val="0"/>
                <w:sz w:val="21"/>
                <w:szCs w:val="21"/>
              </w:rPr>
              <w:t>1</w:t>
            </w:r>
            <w:r>
              <w:rPr>
                <w:rFonts w:hint="eastAsia" w:ascii="宋体" w:hAnsi="宋体" w:cs="宋体"/>
                <w:kern w:val="0"/>
                <w:sz w:val="21"/>
                <w:szCs w:val="21"/>
                <w:lang w:val="en-US" w:eastAsia="zh-CN"/>
              </w:rPr>
              <w:t>1</w:t>
            </w:r>
            <w:r>
              <w:rPr>
                <w:rFonts w:hint="eastAsia" w:ascii="宋体" w:hAnsi="宋体" w:cs="宋体"/>
                <w:kern w:val="0"/>
                <w:sz w:val="21"/>
                <w:szCs w:val="21"/>
              </w:rPr>
              <w:t>.键盘及鼠标：USB防水键盘和USB光电鼠标。</w:t>
            </w:r>
          </w:p>
          <w:p>
            <w:pPr>
              <w:widowControl/>
              <w:jc w:val="left"/>
              <w:rPr>
                <w:rFonts w:ascii="宋体" w:hAnsi="宋体" w:cs="宋体"/>
                <w:kern w:val="0"/>
                <w:sz w:val="21"/>
                <w:szCs w:val="21"/>
              </w:rPr>
            </w:pPr>
            <w:r>
              <w:rPr>
                <w:rFonts w:hint="eastAsia" w:ascii="宋体" w:hAnsi="宋体" w:cs="宋体"/>
                <w:kern w:val="0"/>
                <w:sz w:val="21"/>
                <w:szCs w:val="21"/>
              </w:rPr>
              <w:t>1</w:t>
            </w:r>
            <w:r>
              <w:rPr>
                <w:rFonts w:hint="eastAsia" w:ascii="宋体" w:hAnsi="宋体" w:cs="宋体"/>
                <w:kern w:val="0"/>
                <w:sz w:val="21"/>
                <w:szCs w:val="21"/>
                <w:lang w:val="en-US" w:eastAsia="zh-CN"/>
              </w:rPr>
              <w:t>2</w:t>
            </w:r>
            <w:r>
              <w:rPr>
                <w:rFonts w:hint="eastAsia" w:ascii="宋体" w:hAnsi="宋体" w:cs="宋体"/>
                <w:kern w:val="0"/>
                <w:sz w:val="21"/>
                <w:szCs w:val="21"/>
              </w:rPr>
              <w:t>.显示器：与主机同品牌21.5寸显示器，标配VGA+DVI接口。</w:t>
            </w:r>
          </w:p>
        </w:tc>
        <w:tc>
          <w:tcPr>
            <w:tcW w:w="235" w:type="pct"/>
            <w:gridSpan w:val="2"/>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台</w:t>
            </w:r>
          </w:p>
        </w:tc>
        <w:tc>
          <w:tcPr>
            <w:tcW w:w="240" w:type="pct"/>
            <w:gridSpan w:val="2"/>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332</w:t>
            </w:r>
          </w:p>
        </w:tc>
      </w:tr>
      <w:tr>
        <w:tblPrEx>
          <w:tblCellMar>
            <w:top w:w="0" w:type="dxa"/>
            <w:left w:w="20" w:type="dxa"/>
            <w:bottom w:w="0" w:type="dxa"/>
            <w:right w:w="20" w:type="dxa"/>
          </w:tblCellMar>
        </w:tblPrEx>
        <w:trPr>
          <w:trHeight w:val="3405" w:hRule="atLeast"/>
        </w:trPr>
        <w:tc>
          <w:tcPr>
            <w:tcW w:w="255" w:type="pct"/>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20</w:t>
            </w:r>
          </w:p>
        </w:tc>
        <w:tc>
          <w:tcPr>
            <w:tcW w:w="633" w:type="pct"/>
            <w:gridSpan w:val="3"/>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人格障碍筛查及辅助诊疗系统</w:t>
            </w:r>
          </w:p>
        </w:tc>
        <w:tc>
          <w:tcPr>
            <w:tcW w:w="3636" w:type="pct"/>
            <w:gridSpan w:val="3"/>
            <w:tcBorders>
              <w:top w:val="nil"/>
              <w:left w:val="nil"/>
              <w:bottom w:val="single" w:color="auto" w:sz="4" w:space="0"/>
              <w:right w:val="single" w:color="auto" w:sz="4" w:space="0"/>
            </w:tcBorders>
            <w:noWrap w:val="0"/>
            <w:vAlign w:val="center"/>
          </w:tcPr>
          <w:p>
            <w:pPr>
              <w:widowControl/>
              <w:jc w:val="left"/>
              <w:rPr>
                <w:rFonts w:ascii="宋体" w:hAnsi="宋体" w:cs="宋体"/>
                <w:kern w:val="0"/>
                <w:sz w:val="21"/>
                <w:szCs w:val="21"/>
              </w:rPr>
            </w:pPr>
            <w:r>
              <w:rPr>
                <w:rFonts w:hint="eastAsia" w:ascii="宋体" w:hAnsi="宋体" w:cs="宋体"/>
                <w:kern w:val="0"/>
                <w:sz w:val="21"/>
                <w:szCs w:val="21"/>
              </w:rPr>
              <w:t>1、由 PDQC 和 SCICP 两个专业心理测试模块量表组成。2、PDQC 由被测者以自评的形式独立完成，用于人格障碍的初步筛查。通过该部分的测试，能初步鉴别出疑似的八种人格障碍类型（反社会型、冲动型、依赖型、偏执型、焦虑回避型等）。3、SCICP 是由专业人员以晤谈（他评）的形式，通过半定式提问方式，结合被测者具体描述和列举详细的实例，判断出被测者的人格障碍情况（包括多重人格障碍）。4、允许用户自由的添加需要记录的信息及信息中的选择内容。5、系统提供针对人格障碍进行干预的措施及典型案例的方案。6、统计：可生成统计报表，将每种人格障碍的例数以及在所有八种人格障碍中所占的百分比例、分布情况进行记录，使专业人员能及时了解，全面掌握各种人格障碍的发病及情况。</w:t>
            </w:r>
            <w:r>
              <w:rPr>
                <w:rFonts w:hint="eastAsia" w:ascii="宋体" w:hAnsi="宋体" w:cs="宋体"/>
                <w:kern w:val="0"/>
                <w:sz w:val="21"/>
                <w:szCs w:val="21"/>
                <w:lang w:val="en-US" w:eastAsia="zh-CN"/>
              </w:rPr>
              <w:t>*7、人格障碍筛查及辅助软件至少包含 PDQC 测试、SCICP 测试、标准、查询、统计等功能。（提供第三方软件评测机构出具的包含以上功能内容的相关检测报告佐证。）</w:t>
            </w:r>
            <w:r>
              <w:rPr>
                <w:rFonts w:hint="eastAsia" w:ascii="宋体" w:hAnsi="宋体" w:cs="宋体"/>
                <w:kern w:val="0"/>
                <w:sz w:val="21"/>
                <w:szCs w:val="21"/>
              </w:rPr>
              <w:t xml:space="preserve"> </w:t>
            </w:r>
          </w:p>
        </w:tc>
        <w:tc>
          <w:tcPr>
            <w:tcW w:w="235" w:type="pct"/>
            <w:gridSpan w:val="2"/>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套</w:t>
            </w:r>
          </w:p>
        </w:tc>
        <w:tc>
          <w:tcPr>
            <w:tcW w:w="240" w:type="pct"/>
            <w:gridSpan w:val="2"/>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1</w:t>
            </w:r>
          </w:p>
        </w:tc>
      </w:tr>
      <w:tr>
        <w:tblPrEx>
          <w:tblCellMar>
            <w:top w:w="0" w:type="dxa"/>
            <w:left w:w="20" w:type="dxa"/>
            <w:bottom w:w="0" w:type="dxa"/>
            <w:right w:w="20" w:type="dxa"/>
          </w:tblCellMar>
        </w:tblPrEx>
        <w:trPr>
          <w:trHeight w:val="553" w:hRule="atLeast"/>
        </w:trPr>
        <w:tc>
          <w:tcPr>
            <w:tcW w:w="255" w:type="pct"/>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21</w:t>
            </w:r>
          </w:p>
        </w:tc>
        <w:tc>
          <w:tcPr>
            <w:tcW w:w="633" w:type="pct"/>
            <w:gridSpan w:val="3"/>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职业生涯规划及辅导软件</w:t>
            </w:r>
          </w:p>
        </w:tc>
        <w:tc>
          <w:tcPr>
            <w:tcW w:w="3636" w:type="pct"/>
            <w:gridSpan w:val="3"/>
            <w:tcBorders>
              <w:top w:val="nil"/>
              <w:left w:val="nil"/>
              <w:bottom w:val="single" w:color="auto" w:sz="4" w:space="0"/>
              <w:right w:val="single" w:color="auto" w:sz="4" w:space="0"/>
            </w:tcBorders>
            <w:noWrap w:val="0"/>
            <w:vAlign w:val="center"/>
          </w:tcPr>
          <w:p>
            <w:pPr>
              <w:widowControl/>
              <w:jc w:val="left"/>
              <w:rPr>
                <w:rFonts w:ascii="宋体" w:hAnsi="宋体" w:cs="宋体"/>
                <w:kern w:val="0"/>
                <w:sz w:val="21"/>
                <w:szCs w:val="21"/>
              </w:rPr>
            </w:pPr>
            <w:r>
              <w:rPr>
                <w:rFonts w:hint="eastAsia" w:ascii="宋体" w:hAnsi="宋体" w:cs="宋体"/>
                <w:kern w:val="0"/>
                <w:sz w:val="21"/>
                <w:szCs w:val="21"/>
              </w:rPr>
              <w:t>1、系统包含了 11 个国际公认的专业心理测验，从职业价值观、职业能力、职业倾向性、行为模式、个性分析等多方面了解个体的潜在素质特征，匹配相应的职业岗位进行综合分析，生成相应的中、英文文字分析报告。2、测评全面准确报告直观丰富（个性解析图表）。3、两级用户管理模式。4、多人测验数据对比的功能，进行个性、能力特点的对照比较。</w:t>
            </w:r>
            <w:r>
              <w:rPr>
                <w:rFonts w:hint="eastAsia" w:ascii="宋体" w:hAnsi="宋体" w:cs="宋体"/>
                <w:kern w:val="0"/>
                <w:sz w:val="21"/>
                <w:szCs w:val="21"/>
                <w:lang w:val="en-US" w:eastAsia="zh-CN"/>
              </w:rPr>
              <w:t>*</w:t>
            </w:r>
            <w:r>
              <w:rPr>
                <w:rFonts w:hint="eastAsia" w:ascii="宋体" w:hAnsi="宋体" w:cs="宋体"/>
                <w:kern w:val="0"/>
                <w:sz w:val="21"/>
                <w:szCs w:val="21"/>
              </w:rPr>
              <w:t>5、生涯规划择业指导测评软件至少包含测验设置、信息管理、报告管理、统计分析、数据处理、系统设置、在线信息管理、查询报告等功能。</w:t>
            </w:r>
            <w:r>
              <w:rPr>
                <w:rFonts w:hint="eastAsia" w:ascii="宋体" w:hAnsi="宋体" w:cs="宋体"/>
                <w:kern w:val="0"/>
                <w:sz w:val="21"/>
                <w:szCs w:val="21"/>
                <w:lang w:val="en-US" w:eastAsia="zh-CN"/>
              </w:rPr>
              <w:t>（提供第三方软件评测机构出具的包含以上功能内容的相关检测报告佐证。）</w:t>
            </w:r>
            <w:r>
              <w:rPr>
                <w:rFonts w:hint="eastAsia" w:ascii="宋体" w:hAnsi="宋体" w:cs="宋体"/>
                <w:kern w:val="0"/>
                <w:sz w:val="21"/>
                <w:szCs w:val="21"/>
              </w:rPr>
              <w:t xml:space="preserve"> </w:t>
            </w:r>
          </w:p>
        </w:tc>
        <w:tc>
          <w:tcPr>
            <w:tcW w:w="235" w:type="pct"/>
            <w:gridSpan w:val="2"/>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套</w:t>
            </w:r>
          </w:p>
        </w:tc>
        <w:tc>
          <w:tcPr>
            <w:tcW w:w="240" w:type="pct"/>
            <w:gridSpan w:val="2"/>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1</w:t>
            </w:r>
          </w:p>
        </w:tc>
      </w:tr>
      <w:tr>
        <w:tblPrEx>
          <w:tblCellMar>
            <w:top w:w="0" w:type="dxa"/>
            <w:left w:w="20" w:type="dxa"/>
            <w:bottom w:w="0" w:type="dxa"/>
            <w:right w:w="20" w:type="dxa"/>
          </w:tblCellMar>
        </w:tblPrEx>
        <w:trPr>
          <w:gridAfter w:val="1"/>
          <w:wAfter w:w="25" w:type="pct"/>
          <w:trHeight w:val="5526" w:hRule="atLeast"/>
        </w:trPr>
        <w:tc>
          <w:tcPr>
            <w:tcW w:w="259" w:type="pct"/>
            <w:gridSpan w:val="2"/>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23</w:t>
            </w:r>
          </w:p>
        </w:tc>
        <w:tc>
          <w:tcPr>
            <w:tcW w:w="634" w:type="pct"/>
            <w:gridSpan w:val="3"/>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21"/>
                <w:szCs w:val="21"/>
              </w:rPr>
            </w:pPr>
            <w:r>
              <w:rPr>
                <w:rFonts w:hint="eastAsia" w:ascii="宋体" w:hAnsi="宋体" w:cs="宋体"/>
                <w:color w:val="000000"/>
                <w:kern w:val="0"/>
                <w:sz w:val="21"/>
                <w:szCs w:val="21"/>
              </w:rPr>
              <w:t>智能击打宣泄系统</w:t>
            </w:r>
          </w:p>
        </w:tc>
        <w:tc>
          <w:tcPr>
            <w:tcW w:w="3591" w:type="pct"/>
            <w:tcBorders>
              <w:top w:val="nil"/>
              <w:left w:val="nil"/>
              <w:bottom w:val="single" w:color="auto" w:sz="4" w:space="0"/>
              <w:right w:val="single" w:color="auto" w:sz="4" w:space="0"/>
            </w:tcBorders>
            <w:noWrap w:val="0"/>
            <w:vAlign w:val="center"/>
          </w:tcPr>
          <w:p>
            <w:pPr>
              <w:widowControl/>
              <w:ind w:firstLine="420" w:firstLineChars="200"/>
              <w:jc w:val="left"/>
              <w:rPr>
                <w:rFonts w:ascii="宋体" w:hAnsi="宋体" w:cs="宋体"/>
                <w:color w:val="000000"/>
                <w:kern w:val="0"/>
                <w:sz w:val="21"/>
                <w:szCs w:val="21"/>
              </w:rPr>
            </w:pPr>
            <w:r>
              <w:rPr>
                <w:rFonts w:hint="eastAsia" w:ascii="宋体" w:hAnsi="宋体" w:cs="宋体"/>
                <w:color w:val="000000"/>
                <w:kern w:val="0"/>
                <w:sz w:val="21"/>
                <w:szCs w:val="21"/>
              </w:rPr>
              <w:t>一、配置要求：1、控制主机：≥双核 3.2G，RAM≥8G，显示器≥50 寸，分辨率≥1920*1080，支持 HDMI 接口；内置光学指纹采集仪，图像分辨率≥500DPI。2、动作捕捉传感器系统：可进行人机手势交互，含红外摄影机、彩色摄像头、红外深度摄影头、仰角控制传动马达等。3、击打宣泄靶柱：圆柱体，注沙式底座，高约 1700mm，靶柱直径约 320mm。4、多通道无线生理传感系统，可分析处理脉搏、心率、HRV 时域频域、呼吸等生理信号（包括 HR、SDNN、LF、HF、LF/HF、BR、I/E 等），通过无线传输方式与控制主机通信。5、击打宣泄软件：至少包含≥35 种以上心理宣泄主题，涵盖工作、学习、情绪、社会等各方面内容。具有智能击打晋级闯关训练、多维度趣味智能互动、生理指标实时监测等功能。</w:t>
            </w:r>
          </w:p>
          <w:p>
            <w:pPr>
              <w:widowControl/>
              <w:ind w:firstLine="420" w:firstLineChars="200"/>
              <w:jc w:val="left"/>
              <w:rPr>
                <w:rFonts w:ascii="宋体" w:hAnsi="宋体" w:cs="宋体"/>
                <w:color w:val="000000"/>
                <w:kern w:val="0"/>
                <w:sz w:val="21"/>
                <w:szCs w:val="21"/>
              </w:rPr>
            </w:pPr>
            <w:r>
              <w:rPr>
                <w:rFonts w:hint="eastAsia" w:ascii="宋体" w:hAnsi="宋体" w:cs="宋体"/>
                <w:color w:val="000000"/>
                <w:kern w:val="0"/>
                <w:sz w:val="21"/>
                <w:szCs w:val="21"/>
              </w:rPr>
              <w:t>二、功能要求：</w:t>
            </w:r>
            <w:r>
              <w:rPr>
                <w:rFonts w:hint="eastAsia" w:ascii="宋体" w:hAnsi="宋体" w:cs="宋体"/>
                <w:color w:val="000000"/>
                <w:kern w:val="0"/>
                <w:sz w:val="21"/>
                <w:szCs w:val="21"/>
                <w:lang w:val="en-US" w:eastAsia="zh-CN"/>
              </w:rPr>
              <w:t>*</w:t>
            </w:r>
            <w:r>
              <w:rPr>
                <w:rFonts w:hint="eastAsia" w:ascii="宋体" w:hAnsi="宋体" w:cs="宋体"/>
                <w:color w:val="000000"/>
                <w:kern w:val="0"/>
                <w:sz w:val="21"/>
                <w:szCs w:val="21"/>
              </w:rPr>
              <w:t>1、互动击打宣泄软件具有指纹登录系统、选择训练模式、选择训练主题、心理状态自评、退出训练系统等功能。</w:t>
            </w:r>
            <w:r>
              <w:rPr>
                <w:rFonts w:hint="eastAsia" w:ascii="宋体" w:hAnsi="宋体" w:cs="宋体"/>
                <w:color w:val="000000"/>
                <w:kern w:val="0"/>
                <w:sz w:val="21"/>
                <w:szCs w:val="21"/>
                <w:lang w:val="en-US" w:eastAsia="zh-CN"/>
              </w:rPr>
              <w:t>（提供第三方软件评测机构出具的包含以上功能内容的相关检测报告佐证。）</w:t>
            </w:r>
            <w:r>
              <w:rPr>
                <w:rFonts w:hint="eastAsia" w:ascii="宋体" w:hAnsi="宋体" w:cs="宋体"/>
                <w:color w:val="000000"/>
                <w:kern w:val="0"/>
                <w:sz w:val="21"/>
                <w:szCs w:val="21"/>
              </w:rPr>
              <w:t>2、具有多层晋级过关模式，结合文字、图片、音频等多媒体形式及歌曲、舞蹈、笑话等趣味互动，营造听觉、视觉等多感官宣泄效果。3、智能实时反馈击打力度、击打速度、训练能量，根据训练者状态，智能调整训练内容及反馈语。4、采用骨骼动作捕捉技术，即时捕捉人体动作手势，拓展人机交互。5、训练结束后形成报告，报告内容包括击打力度/速度指数前期值、后期值、平均值、最大值、训练能量、训练时间、及力度和速度柱状图等。</w:t>
            </w:r>
          </w:p>
        </w:tc>
        <w:tc>
          <w:tcPr>
            <w:tcW w:w="235" w:type="pct"/>
            <w:gridSpan w:val="2"/>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套</w:t>
            </w:r>
          </w:p>
        </w:tc>
        <w:tc>
          <w:tcPr>
            <w:tcW w:w="254" w:type="pct"/>
            <w:gridSpan w:val="2"/>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1</w:t>
            </w:r>
          </w:p>
        </w:tc>
      </w:tr>
      <w:tr>
        <w:tblPrEx>
          <w:tblCellMar>
            <w:top w:w="0" w:type="dxa"/>
            <w:left w:w="20" w:type="dxa"/>
            <w:bottom w:w="0" w:type="dxa"/>
            <w:right w:w="20" w:type="dxa"/>
          </w:tblCellMar>
        </w:tblPrEx>
        <w:trPr>
          <w:gridAfter w:val="1"/>
          <w:wAfter w:w="25" w:type="pct"/>
          <w:trHeight w:val="409" w:hRule="atLeast"/>
        </w:trPr>
        <w:tc>
          <w:tcPr>
            <w:tcW w:w="259" w:type="pct"/>
            <w:gridSpan w:val="2"/>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24</w:t>
            </w:r>
          </w:p>
        </w:tc>
        <w:tc>
          <w:tcPr>
            <w:tcW w:w="634" w:type="pct"/>
            <w:gridSpan w:val="3"/>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21"/>
                <w:szCs w:val="21"/>
              </w:rPr>
            </w:pPr>
            <w:r>
              <w:rPr>
                <w:rFonts w:hint="eastAsia" w:ascii="宋体" w:hAnsi="宋体" w:cs="宋体"/>
                <w:color w:val="000000"/>
                <w:kern w:val="0"/>
                <w:sz w:val="21"/>
                <w:szCs w:val="21"/>
              </w:rPr>
              <w:t>智能呐喊宣泄系统</w:t>
            </w:r>
          </w:p>
        </w:tc>
        <w:tc>
          <w:tcPr>
            <w:tcW w:w="3591" w:type="pct"/>
            <w:tcBorders>
              <w:top w:val="nil"/>
              <w:left w:val="nil"/>
              <w:bottom w:val="single" w:color="auto" w:sz="4" w:space="0"/>
              <w:right w:val="single" w:color="auto" w:sz="4" w:space="0"/>
            </w:tcBorders>
            <w:noWrap w:val="0"/>
            <w:vAlign w:val="center"/>
          </w:tcPr>
          <w:p>
            <w:pPr>
              <w:widowControl/>
              <w:ind w:firstLine="420" w:firstLineChars="200"/>
              <w:jc w:val="left"/>
              <w:rPr>
                <w:rFonts w:ascii="宋体" w:hAnsi="宋体" w:cs="宋体"/>
                <w:color w:val="000000"/>
                <w:kern w:val="0"/>
                <w:sz w:val="21"/>
                <w:szCs w:val="21"/>
              </w:rPr>
            </w:pPr>
            <w:r>
              <w:rPr>
                <w:rFonts w:hint="eastAsia" w:ascii="宋体" w:hAnsi="宋体" w:cs="宋体"/>
                <w:color w:val="000000"/>
                <w:kern w:val="0"/>
                <w:sz w:val="21"/>
                <w:szCs w:val="21"/>
              </w:rPr>
              <w:t>一、配置要求：1、控制主机：≥双核 3.2G，RAM≥8G，显示器≥50 寸，分辨率≥1920*1080，支持 HDMI 接口；内置指纹仪，图象分辨率≥500DPI；2、呐喊传感器：眼镜式圆弧设计，头部佩戴，无线传输。3、多通道无线生理传感系统，可分析处理脉搏、心率、HRV 时域频域、呼吸等生理信号（包括 HR、SDNN、LF、HF、LF/HF、BR、I/E 等）；4、动作捕捉传感器系统：可进行人机手势交互，含红外摄影机、彩色摄像头、红外深度摄影头、仰角控制传动马达等；5、呐喊宣泄软件：至少包含≥35 种以上心理宣泄主题，涵盖工作、学习、情绪、社会等各方面内容。具有智能呐喊晋级闯关训练、多维度趣味智能互动、生理指标实时监测等功能。</w:t>
            </w:r>
          </w:p>
          <w:p>
            <w:pPr>
              <w:widowControl/>
              <w:ind w:firstLine="420" w:firstLineChars="200"/>
              <w:jc w:val="left"/>
              <w:rPr>
                <w:rFonts w:ascii="宋体" w:hAnsi="宋体" w:cs="宋体"/>
                <w:color w:val="000000"/>
                <w:kern w:val="0"/>
                <w:sz w:val="21"/>
                <w:szCs w:val="21"/>
              </w:rPr>
            </w:pPr>
            <w:r>
              <w:rPr>
                <w:rFonts w:hint="eastAsia" w:ascii="宋体" w:hAnsi="宋体" w:cs="宋体"/>
                <w:color w:val="000000"/>
                <w:kern w:val="0"/>
                <w:sz w:val="21"/>
                <w:szCs w:val="21"/>
              </w:rPr>
              <w:t>二、功能要求：</w:t>
            </w:r>
            <w:r>
              <w:rPr>
                <w:rFonts w:hint="eastAsia" w:ascii="宋体" w:hAnsi="宋体" w:cs="宋体"/>
                <w:color w:val="000000"/>
                <w:kern w:val="0"/>
                <w:sz w:val="21"/>
                <w:szCs w:val="21"/>
                <w:lang w:val="en-US" w:eastAsia="zh-CN"/>
              </w:rPr>
              <w:t>*</w:t>
            </w:r>
            <w:r>
              <w:rPr>
                <w:rFonts w:hint="eastAsia" w:ascii="宋体" w:hAnsi="宋体" w:cs="宋体"/>
                <w:color w:val="000000"/>
                <w:kern w:val="0"/>
                <w:sz w:val="21"/>
                <w:szCs w:val="21"/>
              </w:rPr>
              <w:t>1、互动呐喊宣泄软件具有指纹登录系统、选择训练模式、选择训练主题、心理状态自评、退出训练系统等功能。</w:t>
            </w:r>
            <w:r>
              <w:rPr>
                <w:rFonts w:hint="eastAsia" w:ascii="宋体" w:hAnsi="宋体" w:cs="宋体"/>
                <w:color w:val="000000"/>
                <w:kern w:val="0"/>
                <w:sz w:val="21"/>
                <w:szCs w:val="21"/>
                <w:lang w:val="en-US" w:eastAsia="zh-CN"/>
              </w:rPr>
              <w:t>（提供第三方软件评测机构出具的包含以上功能内容的相关检测报告佐证。）</w:t>
            </w:r>
            <w:r>
              <w:rPr>
                <w:rFonts w:hint="eastAsia" w:ascii="宋体" w:hAnsi="宋体" w:cs="宋体"/>
                <w:color w:val="000000"/>
                <w:kern w:val="0"/>
                <w:sz w:val="21"/>
                <w:szCs w:val="21"/>
              </w:rPr>
              <w:t>2、采用晋级过关形式，结合文字、图片、音频等多媒体形式及歌曲、舞蹈、笑话等趣味互动，营造听觉、视觉等多感官宣泄效果。3、智能实时反馈呐喊声音、持续时间、训练能量，根据训练者状态，智能调整训练内容及反馈语。4、采用骨骼动作捕捉技术，即时捕捉人体动作手势，拓展人机交互。5、训练结束后形成报告，内容呐喊声音大小/持续指数前期值、后期值、平均值、最大值、训练能量、训练时间及强度和持续时间柱状图等。</w:t>
            </w:r>
          </w:p>
        </w:tc>
        <w:tc>
          <w:tcPr>
            <w:tcW w:w="235" w:type="pct"/>
            <w:gridSpan w:val="2"/>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套</w:t>
            </w:r>
          </w:p>
        </w:tc>
        <w:tc>
          <w:tcPr>
            <w:tcW w:w="254" w:type="pct"/>
            <w:gridSpan w:val="2"/>
            <w:tcBorders>
              <w:top w:val="nil"/>
              <w:left w:val="nil"/>
              <w:bottom w:val="single" w:color="auto" w:sz="4" w:space="0"/>
              <w:right w:val="single" w:color="auto" w:sz="4" w:space="0"/>
            </w:tcBorders>
            <w:noWrap w:val="0"/>
            <w:vAlign w:val="center"/>
          </w:tcPr>
          <w:p>
            <w:pPr>
              <w:widowControl/>
              <w:jc w:val="center"/>
              <w:rPr>
                <w:rFonts w:ascii="宋体" w:hAnsi="宋体" w:cs="宋体"/>
                <w:kern w:val="0"/>
                <w:sz w:val="21"/>
                <w:szCs w:val="21"/>
              </w:rPr>
            </w:pPr>
            <w:r>
              <w:rPr>
                <w:rFonts w:hint="eastAsia" w:ascii="宋体" w:hAnsi="宋体" w:cs="宋体"/>
                <w:kern w:val="0"/>
                <w:sz w:val="21"/>
                <w:szCs w:val="21"/>
              </w:rPr>
              <w:t>1</w:t>
            </w:r>
          </w:p>
        </w:tc>
      </w:tr>
    </w:tbl>
    <w:p>
      <w:pPr>
        <w:pStyle w:val="2"/>
        <w:rPr>
          <w:rFonts w:hAnsi="宋体"/>
          <w:bCs/>
          <w:spacing w:val="2"/>
          <w:sz w:val="21"/>
          <w:szCs w:val="21"/>
        </w:rPr>
      </w:pPr>
    </w:p>
    <w:p>
      <w:pPr>
        <w:pStyle w:val="2"/>
        <w:rPr>
          <w:rFonts w:hint="eastAsia" w:hAnsi="宋体"/>
          <w:bCs/>
          <w:spacing w:val="2"/>
          <w:sz w:val="21"/>
          <w:szCs w:val="21"/>
        </w:rPr>
      </w:pPr>
      <w:r>
        <w:rPr>
          <w:rFonts w:hAnsi="宋体"/>
          <w:bCs/>
          <w:spacing w:val="2"/>
          <w:sz w:val="21"/>
          <w:szCs w:val="21"/>
        </w:rPr>
        <w:t>注：</w:t>
      </w:r>
    </w:p>
    <w:p>
      <w:pPr>
        <w:pStyle w:val="2"/>
        <w:rPr>
          <w:rFonts w:hint="eastAsia"/>
          <w:sz w:val="21"/>
          <w:szCs w:val="21"/>
        </w:rPr>
      </w:pPr>
      <w:r>
        <w:rPr>
          <w:rFonts w:hint="eastAsia" w:hAnsi="宋体"/>
          <w:bCs/>
          <w:spacing w:val="2"/>
          <w:sz w:val="21"/>
          <w:szCs w:val="21"/>
        </w:rPr>
        <w:t>1、</w:t>
      </w:r>
      <w:r>
        <w:rPr>
          <w:rFonts w:hint="eastAsia"/>
          <w:sz w:val="21"/>
          <w:szCs w:val="21"/>
        </w:rPr>
        <w:t>培训用台式电脑</w:t>
      </w:r>
      <w:r>
        <w:rPr>
          <w:sz w:val="21"/>
          <w:szCs w:val="21"/>
        </w:rPr>
        <w:t>、</w:t>
      </w:r>
      <w:r>
        <w:rPr>
          <w:rFonts w:hint="eastAsia"/>
          <w:sz w:val="21"/>
          <w:szCs w:val="21"/>
        </w:rPr>
        <w:t>笔记本电脑、激光打印机</w:t>
      </w:r>
      <w:r>
        <w:rPr>
          <w:sz w:val="21"/>
          <w:szCs w:val="21"/>
        </w:rPr>
        <w:t>是政府强制采购的节能产品，投标人所投产品应在国家有关部门公布的《节能产品政府采购品目清单》中，投标人应附国家确定的认证机构出具的在有效期内的《国家节能产品认证证书》复印件。清单可在中华人民共和国财政部网站（</w:t>
      </w:r>
      <w:r>
        <w:rPr>
          <w:sz w:val="21"/>
          <w:szCs w:val="21"/>
        </w:rPr>
        <w:drawing>
          <wp:inline distT="0" distB="0" distL="114300" distR="114300">
            <wp:extent cx="191135" cy="136525"/>
            <wp:effectExtent l="0" t="0" r="18415" b="15875"/>
            <wp:docPr id="4" name="图片 1" descr="[5UQ[BL(6~BS2JV6W}N6[%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5UQ[BL(6~BS2JV6W}N6[%S"/>
                    <pic:cNvPicPr>
                      <a:picLocks noChangeAspect="1"/>
                    </pic:cNvPicPr>
                  </pic:nvPicPr>
                  <pic:blipFill>
                    <a:blip r:embed="rId4"/>
                    <a:stretch>
                      <a:fillRect/>
                    </a:stretch>
                  </pic:blipFill>
                  <pic:spPr>
                    <a:xfrm>
                      <a:off x="0" y="0"/>
                      <a:ext cx="191135" cy="136525"/>
                    </a:xfrm>
                    <a:prstGeom prst="rect">
                      <a:avLst/>
                    </a:prstGeom>
                    <a:noFill/>
                    <a:ln>
                      <a:noFill/>
                    </a:ln>
                  </pic:spPr>
                </pic:pic>
              </a:graphicData>
            </a:graphic>
          </wp:inline>
        </w:drawing>
      </w:r>
      <w:r>
        <w:rPr>
          <w:sz w:val="21"/>
          <w:szCs w:val="21"/>
        </w:rPr>
        <w:t>http://www.mof.gov.cn）、中国政府采购网（</w:t>
      </w:r>
      <w:r>
        <w:rPr>
          <w:sz w:val="21"/>
          <w:szCs w:val="21"/>
        </w:rPr>
        <w:drawing>
          <wp:inline distT="0" distB="0" distL="114300" distR="114300">
            <wp:extent cx="191135" cy="136525"/>
            <wp:effectExtent l="0" t="0" r="18415" b="15875"/>
            <wp:docPr id="2" name="图片 2" descr="%W@GJ$ACOF(TYDYECOKVDY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GJ$ACOF(TYDYECOKVDYB"/>
                    <pic:cNvPicPr>
                      <a:picLocks noChangeAspect="1"/>
                    </pic:cNvPicPr>
                  </pic:nvPicPr>
                  <pic:blipFill>
                    <a:blip r:embed="rId5"/>
                    <a:stretch>
                      <a:fillRect/>
                    </a:stretch>
                  </pic:blipFill>
                  <pic:spPr>
                    <a:xfrm>
                      <a:off x="0" y="0"/>
                      <a:ext cx="191135" cy="136525"/>
                    </a:xfrm>
                    <a:prstGeom prst="rect">
                      <a:avLst/>
                    </a:prstGeom>
                    <a:noFill/>
                    <a:ln>
                      <a:noFill/>
                    </a:ln>
                  </pic:spPr>
                </pic:pic>
              </a:graphicData>
            </a:graphic>
          </wp:inline>
        </w:drawing>
      </w:r>
      <w:r>
        <w:rPr>
          <w:sz w:val="21"/>
          <w:szCs w:val="21"/>
        </w:rPr>
        <w:t>http://www.ccgp.gov.cn/）查阅,否则应当认定其投标无效。</w:t>
      </w:r>
    </w:p>
    <w:p>
      <w:pPr>
        <w:pStyle w:val="2"/>
        <w:rPr>
          <w:rFonts w:hint="eastAsia"/>
          <w:sz w:val="21"/>
          <w:szCs w:val="21"/>
        </w:rPr>
      </w:pPr>
    </w:p>
    <w:p>
      <w:pPr>
        <w:pStyle w:val="2"/>
        <w:rPr>
          <w:rFonts w:hint="eastAsia"/>
          <w:sz w:val="21"/>
          <w:szCs w:val="21"/>
        </w:rPr>
      </w:pPr>
      <w:r>
        <w:rPr>
          <w:rFonts w:hint="eastAsia"/>
          <w:sz w:val="21"/>
          <w:szCs w:val="21"/>
        </w:rPr>
        <w:t>2、培训用台式电脑为本项目核心产品。</w:t>
      </w:r>
    </w:p>
    <w:p>
      <w:pPr>
        <w:pStyle w:val="2"/>
        <w:rPr>
          <w:rFonts w:hint="eastAsia"/>
          <w:sz w:val="21"/>
          <w:szCs w:val="21"/>
        </w:rPr>
      </w:pPr>
    </w:p>
    <w:p>
      <w:pPr>
        <w:pStyle w:val="2"/>
        <w:numPr>
          <w:ilvl w:val="0"/>
          <w:numId w:val="1"/>
        </w:numPr>
        <w:rPr>
          <w:rFonts w:hint="eastAsia"/>
          <w:sz w:val="21"/>
          <w:szCs w:val="21"/>
        </w:rPr>
      </w:pPr>
      <w:r>
        <w:rPr>
          <w:rFonts w:hint="eastAsia"/>
          <w:sz w:val="21"/>
          <w:szCs w:val="21"/>
        </w:rPr>
        <w:t>商品包装和快递包装应符合《商品包装政府采购需求标准（试行）》和《快递包装政府采购需求标准（试行）》规定。</w:t>
      </w:r>
    </w:p>
    <w:p>
      <w:pPr>
        <w:pStyle w:val="2"/>
        <w:widowControl w:val="0"/>
        <w:numPr>
          <w:ilvl w:val="0"/>
          <w:numId w:val="0"/>
        </w:numPr>
        <w:autoSpaceDE w:val="0"/>
        <w:autoSpaceDN w:val="0"/>
        <w:adjustRightInd w:val="0"/>
        <w:rPr>
          <w:rFonts w:hint="eastAsia"/>
          <w:sz w:val="21"/>
          <w:szCs w:val="21"/>
          <w:lang w:val="en-US" w:eastAsia="zh-CN"/>
        </w:rPr>
      </w:pPr>
    </w:p>
    <w:p>
      <w:pPr>
        <w:pStyle w:val="2"/>
        <w:numPr>
          <w:ilvl w:val="0"/>
          <w:numId w:val="1"/>
        </w:numPr>
        <w:rPr>
          <w:rFonts w:hint="eastAsia" w:hAnsi="Times New Roman"/>
          <w:sz w:val="21"/>
          <w:szCs w:val="21"/>
        </w:rPr>
      </w:pPr>
      <w:r>
        <w:rPr>
          <w:rFonts w:hint="eastAsia" w:hAnsi="Times New Roman"/>
          <w:sz w:val="21"/>
          <w:szCs w:val="21"/>
          <w:lang w:val="en-US" w:eastAsia="zh-CN"/>
        </w:rPr>
        <w:t>以上参数加*部分为重要证明材料，如无法提供相关佐证材料，按供货</w:t>
      </w:r>
      <w:bookmarkStart w:id="0" w:name="_GoBack"/>
      <w:bookmarkEnd w:id="0"/>
      <w:r>
        <w:rPr>
          <w:rFonts w:hint="eastAsia" w:hAnsi="Times New Roman"/>
          <w:sz w:val="21"/>
          <w:szCs w:val="21"/>
          <w:lang w:val="en-US" w:eastAsia="zh-CN"/>
        </w:rPr>
        <w:t>范围缺漏扣分处理。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5C5026"/>
    <w:multiLevelType w:val="singleLevel"/>
    <w:tmpl w:val="CF5C5026"/>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C01A2F"/>
    <w:rsid w:val="13C02BBF"/>
    <w:rsid w:val="1B370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2020-08-24T04:27:00Z</dcterms:created>
  <dc:creator>Administrator</dc:creator>
  <cp:lastModifiedBy>将心比心</cp:lastModifiedBy>
  <dcterms:modified xsi:type="dcterms:W3CDTF">2020-08-24T07:02:12Z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